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Neuronetics,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Jorey Chernett</w:t>
              <w:br/>
              <w:t xml:space="preserve">6222 Indianwood Tr., </w:t>
              <w:br/>
              <w:t>Bloomfield Hills, MI, 48301</w:t>
              <w:br/>
              <w:t>(248) 469-8811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Chernett Jorey</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10,602,988.00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10,588,988.00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10,602,988.00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13.92 %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13"/>
        <w:gridCol w:w="8930"/>
        <w:gridCol w:w="162"/>
      </w:tblGrid>
      <w:tr>
        <w:trPr/>
        <w:tc>
          <w:tcPr>
            <w:tcW w:w="1113" w:type="dxa"/>
            <w:tcBorders/>
            <w:vAlign w:val="center"/>
          </w:tcPr>
          <w:p>
            <w:pPr>
              <w:pStyle w:val="TableContents"/>
              <w:bidi w:val="0"/>
              <w:spacing w:before="0" w:after="283"/>
              <w:jc w:val="left"/>
              <w:rPr/>
            </w:pPr>
            <w:r>
              <w:rPr/>
              <w:t>Item 1.</w:t>
            </w:r>
          </w:p>
        </w:tc>
        <w:tc>
          <w:tcPr>
            <w:tcW w:w="8930" w:type="dxa"/>
            <w:tcBorders/>
            <w:vAlign w:val="center"/>
          </w:tcPr>
          <w:p>
            <w:pPr>
              <w:pStyle w:val="TableContents"/>
              <w:bidi w:val="0"/>
              <w:spacing w:before="0" w:after="283"/>
              <w:jc w:val="left"/>
              <w:rPr/>
            </w:pPr>
            <w:r>
              <w:rPr/>
              <w:t>Security and Issuer</w:t>
            </w:r>
          </w:p>
        </w:tc>
        <w:tc>
          <w:tcPr>
            <w:tcW w:w="16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6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Name of Issuer: </w:t>
            </w:r>
          </w:p>
          <w:p>
            <w:pPr>
              <w:pStyle w:val="TableContents"/>
              <w:bidi w:val="0"/>
              <w:spacing w:before="0" w:after="0"/>
              <w:jc w:val="left"/>
              <w:rPr/>
            </w:pPr>
            <w:r>
              <w:rPr/>
              <w:t>Neuronetics, Inc.</w:t>
            </w:r>
          </w:p>
        </w:tc>
        <w:tc>
          <w:tcPr>
            <w:tcW w:w="16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3222 PHOENIXVILLE PIKE, MALVERN, PENNSYLVANIA , 19355.</w:t>
            </w:r>
          </w:p>
        </w:tc>
        <w:tc>
          <w:tcPr>
            <w:tcW w:w="162"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to Schedule 13D ("Amendment No. 4") amends and supplements the Schedule 13D initially filed by the Reporting Person on March 31, 2026, as subsequently amended (the "Schedule 13D") with respect to the Shares. The filing of this Amendment No. 4 is being made primarily to reflect the Reporting Person's current ownership percentage resulting from a change in the Issuer's outstanding shares, as reported in the Issuer's Quarterly Report on Form 10-Q filed on August 11, 2026. Except as specifically amended and supplemented hereby, the Schedule 13D remains in full force and effect. Capitalized terms used but not defined herein shall have the meanings ascribed to them in the Schedule 13D.</w:t>
            </w:r>
          </w:p>
        </w:tc>
      </w:tr>
      <w:tr>
        <w:trPr/>
        <w:tc>
          <w:tcPr>
            <w:tcW w:w="1113" w:type="dxa"/>
            <w:tcBorders/>
            <w:vAlign w:val="center"/>
          </w:tcPr>
          <w:p>
            <w:pPr>
              <w:pStyle w:val="TableContents"/>
              <w:bidi w:val="0"/>
              <w:spacing w:before="0" w:after="283"/>
              <w:jc w:val="left"/>
              <w:rPr/>
            </w:pPr>
            <w:r>
              <w:rPr/>
              <w:t>Item 3.</w:t>
            </w:r>
          </w:p>
        </w:tc>
        <w:tc>
          <w:tcPr>
            <w:tcW w:w="8930" w:type="dxa"/>
            <w:tcBorders/>
            <w:vAlign w:val="center"/>
          </w:tcPr>
          <w:p>
            <w:pPr>
              <w:pStyle w:val="TableContents"/>
              <w:bidi w:val="0"/>
              <w:spacing w:before="0" w:after="283"/>
              <w:jc w:val="left"/>
              <w:rPr/>
            </w:pPr>
            <w:r>
              <w:rPr/>
              <w:t>Source and Amount of Funds or Other Consideration</w:t>
            </w:r>
          </w:p>
        </w:tc>
        <w:tc>
          <w:tcPr>
            <w:tcW w:w="16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Item 3 is hereby amended and restated as follows: The 10,602,988 Shares held by Mr. Chernett were purchased with personal funds for an aggregate purchase price of approximately $20,726,476.</w:t>
            </w:r>
          </w:p>
        </w:tc>
        <w:tc>
          <w:tcPr>
            <w:tcW w:w="16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5.</w:t>
            </w:r>
          </w:p>
        </w:tc>
        <w:tc>
          <w:tcPr>
            <w:tcW w:w="8930" w:type="dxa"/>
            <w:tcBorders/>
            <w:vAlign w:val="center"/>
          </w:tcPr>
          <w:p>
            <w:pPr>
              <w:pStyle w:val="TableContents"/>
              <w:bidi w:val="0"/>
              <w:spacing w:before="0" w:after="283"/>
              <w:jc w:val="left"/>
              <w:rPr/>
            </w:pPr>
            <w:r>
              <w:rPr/>
              <w:t>Interest in Securities of the Issuer</w:t>
            </w:r>
          </w:p>
        </w:tc>
        <w:tc>
          <w:tcPr>
            <w:tcW w:w="16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spacing w:before="0" w:after="0"/>
              <w:jc w:val="left"/>
              <w:rPr/>
            </w:pPr>
            <w:r>
              <w:rPr/>
              <w:t>Item 5(a) is hereby amended and restated as follows: The aggregate percentage of Shares beneficially owned by the Reporting Person is based upon 76,197,222 Shares outstanding as of August 5, 2026, as disclosed in the Issuer's Quarterly Report on Form 10-Q, filed with the U.S. Securities and Exchange Commission (the "SEC") on August 11, 2026. As of the close of business on the date hereof, the Reporting Person beneficially owned 10,602,988 Shares. Percentage: Approximately 13.92%</w:t>
            </w:r>
          </w:p>
        </w:tc>
        <w:tc>
          <w:tcPr>
            <w:tcW w:w="16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spacing w:before="0" w:after="0"/>
              <w:jc w:val="left"/>
              <w:rPr/>
            </w:pPr>
            <w:r>
              <w:rPr/>
              <w:t>Item 5(b) is hereby amended and restated as follows: 1. Sole power to vote or direct vote: 10,602,988 2. Shared power to vote or direct vote: 0 3. Sole power to dispose or direct the disposition: 10,602,988 4. Shared power to dispose or direct the disposition: 0</w:t>
            </w:r>
          </w:p>
        </w:tc>
        <w:tc>
          <w:tcPr>
            <w:tcW w:w="16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spacing w:before="0" w:after="0"/>
              <w:jc w:val="left"/>
              <w:rPr/>
            </w:pPr>
            <w:r>
              <w:rPr/>
              <w:t>Item 5(c) is hereby amended and restated as follows: The transactions in the Shares by the Reporting Person since the filing of Amendment No. 3 to the Schedule 13D are set forth in more detail in Exhibit 1 attached hereto.</w:t>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Chernett Jorey</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Jorey Chernett</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Jorey Chernett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14" w:name="ex1to13da414528003_082426.htm"/>
      <w:bookmarkStart w:id="15" w:name="ksex1to13da414528003_082426"/>
      <w:bookmarkEnd w:id="14"/>
      <w:bookmarkEnd w:id="15"/>
      <w:r>
        <w:rPr>
          <w:rFonts w:ascii="Times New Roman;Times;Serif" w:hAnsi="Times New Roman;Times;Serif"/>
          <w:b w:val="false"/>
          <w:i w:val="false"/>
          <w:caps w:val="false"/>
          <w:smallCaps w:val="false"/>
          <w:sz w:val="20"/>
        </w:rPr>
        <w:t>Exhibit 1</w:t>
      </w:r>
      <w:r>
        <w:br w:type="page"/>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Securities of the Issuer Since the Filing of Amendment No. 3 to the Schedule 13D</w:t>
      </w:r>
    </w:p>
    <w:p>
      <w:pPr>
        <w:pStyle w:val="TextBody"/>
        <w:bidi w:val="0"/>
        <w:jc w:val="center"/>
        <w:rPr>
          <w:caps w:val="false"/>
          <w:smallCaps w:val="false"/>
        </w:rPr>
      </w:pPr>
      <w:r>
        <w:rPr>
          <w:caps w:val="false"/>
          <w:smallCaps w:val="false"/>
        </w:rPr>
        <w:t> </w:t>
      </w:r>
    </w:p>
    <w:tbl>
      <w:tblPr>
        <w:tblW w:w="4155" w:type="dxa"/>
        <w:jc w:val="left"/>
        <w:tblInd w:w="0" w:type="dxa"/>
        <w:tblLayout w:type="fixed"/>
        <w:tblCellMar>
          <w:top w:w="0" w:type="dxa"/>
          <w:left w:w="0" w:type="dxa"/>
          <w:bottom w:w="0" w:type="dxa"/>
          <w:right w:w="0" w:type="dxa"/>
        </w:tblCellMar>
      </w:tblPr>
      <w:tblGrid>
        <w:gridCol w:w="2075"/>
        <w:gridCol w:w="830"/>
        <w:gridCol w:w="1250"/>
      </w:tblGrid>
      <w:tr>
        <w:trPr/>
        <w:tc>
          <w:tcPr>
            <w:tcW w:w="207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Purchased/(Sold)</w:t>
            </w:r>
          </w:p>
        </w:tc>
        <w:tc>
          <w:tcPr>
            <w:tcW w:w="83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Per</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w:t>
            </w:r>
            <w:r>
              <w:rPr>
                <w:rFonts w:ascii="Times New Roman;Times;Serif" w:hAnsi="Times New Roman;Times;Serif"/>
                <w:b w:val="false"/>
                <w:i w:val="false"/>
                <w:caps w:val="false"/>
                <w:smallCaps w:val="false"/>
                <w:position w:val="7"/>
                <w:sz w:val="16"/>
                <w:sz w:val="20"/>
                <w:u w:val="single"/>
              </w:rPr>
              <w:t>1</w:t>
            </w:r>
          </w:p>
        </w:tc>
        <w:tc>
          <w:tcPr>
            <w:tcW w:w="125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 / Sale</w:t>
            </w:r>
          </w:p>
        </w:tc>
      </w:tr>
    </w:tbl>
    <w:p>
      <w:pPr>
        <w:pStyle w:val="TextBody"/>
        <w:bidi w:val="0"/>
        <w:jc w:val="left"/>
        <w:rPr>
          <w:caps w:val="false"/>
          <w:smallCaps w:val="false"/>
        </w:rPr>
      </w:pPr>
      <w:r>
        <w:rPr>
          <w:caps w:val="false"/>
          <w:smallCaps w:val="false"/>
        </w:rPr>
        <w:t> </w:t>
      </w:r>
    </w:p>
    <w:tbl>
      <w:tblPr>
        <w:tblW w:w="1875" w:type="dxa"/>
        <w:jc w:val="left"/>
        <w:tblInd w:w="0" w:type="dxa"/>
        <w:tblLayout w:type="fixed"/>
        <w:tblCellMar>
          <w:top w:w="0" w:type="dxa"/>
          <w:left w:w="0" w:type="dxa"/>
          <w:bottom w:w="0" w:type="dxa"/>
          <w:right w:w="0" w:type="dxa"/>
        </w:tblCellMar>
      </w:tblPr>
      <w:tblGrid>
        <w:gridCol w:w="605"/>
        <w:gridCol w:w="380"/>
        <w:gridCol w:w="890"/>
      </w:tblGrid>
      <w:tr>
        <w:trPr/>
        <w:tc>
          <w:tcPr>
            <w:tcW w:w="6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8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8/14/2026</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price reported in this column is a weighted average price, rounded to the nearest cent. These shares were purchased in multiple transactions at prices ranging from $3.13 to $3.17, rounded to the nearest cent, inclusive. The Reporting Person undertakes to provide the Issuer and any security holder of the Issuer, or the staff of the Securities and Exchange Commission, upon request, full information regarding the number of shares purchased at each separate price such shares were purchased.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825</Words>
  <Characters>4286</Characters>
  <CharactersWithSpaces>5061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