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tim-20230331x10q.htm"/>
        <w:bookmarkStart w:id="1" w:name="ksstim20230331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00"/>
        <w:ind w:left="0" w:right="0" w:hanging="0"/>
        <w:jc w:val="center"/>
        <w:rPr/>
      </w:pPr>
      <w:bookmarkStart w:id="2" w:name="_Hlk134418335"/>
      <w:bookmarkEnd w:id="2"/>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3" w:name="_dfea472c_a4a7_4ffb_8cf4_a1e60c24492b"/>
      <w:bookmarkEnd w:id="3"/>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00"/>
        <w:ind w:left="0" w:right="0" w:hanging="0"/>
        <w:jc w:val="center"/>
        <w:rPr>
          <w:rFonts w:ascii="Arial;Helvetica;sans-serif" w:hAnsi="Arial;Helvetica;sans-serif"/>
          <w:b/>
          <w:sz w:val="22"/>
        </w:rPr>
      </w:pPr>
      <w:r>
        <w:rPr>
          <w:rFonts w:ascii="Arial;Helvetica;sans-serif" w:hAnsi="Arial;Helvetica;sans-serif"/>
          <w:b/>
          <w:sz w:val="22"/>
        </w:rPr>
        <w:t>FORM 10-Q</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00"/>
              <w:jc w:val="left"/>
              <w:rPr/>
            </w:pPr>
            <w:r>
              <w:rPr/>
              <w:t>☒</w:t>
            </w:r>
          </w:p>
        </w:tc>
        <w:tc>
          <w:tcPr>
            <w:tcW w:w="9874" w:type="dxa"/>
            <w:tcBorders/>
            <w:vAlign w:val="center"/>
          </w:tcPr>
          <w:p>
            <w:pPr>
              <w:pStyle w:val="TableContents"/>
              <w:bidi w:val="0"/>
              <w:spacing w:before="0" w:after="100"/>
              <w:jc w:val="left"/>
              <w:rPr>
                <w:rFonts w:ascii="Arial;Helvetica;sans-serif" w:hAnsi="Arial;Helvetica;sans-serif"/>
                <w:sz w:val="16"/>
              </w:rPr>
            </w:pPr>
            <w:r>
              <w:rPr>
                <w:rFonts w:ascii="Arial;Helvetica;sans-serif" w:hAnsi="Arial;Helvetica;sans-serif"/>
                <w:sz w:val="16"/>
              </w:rPr>
              <w:t>QUARTERLY REPORT PURSUANT TO SECTION 13 OR 15(d) OF THE SECURITIES EXCHANGE ACT OF 1934 For the quarterly period ended March 31, 2023</w:t>
            </w:r>
          </w:p>
        </w:tc>
      </w:tr>
    </w:tbl>
    <w:p>
      <w:pPr>
        <w:pStyle w:val="TextBody"/>
        <w:bidi w:val="0"/>
        <w:spacing w:before="0" w:after="100"/>
        <w:ind w:left="0" w:right="0" w:hanging="0"/>
        <w:jc w:val="center"/>
        <w:rPr>
          <w:rFonts w:ascii="Arial;Helvetica;sans-serif" w:hAnsi="Arial;Helvetica;sans-serif"/>
          <w:sz w:val="16"/>
        </w:rPr>
      </w:pPr>
      <w:r>
        <w:rPr>
          <w:rFonts w:ascii="Arial;Helvetica;sans-serif" w:hAnsi="Arial;Helvetica;sans-serif"/>
          <w:sz w:val="16"/>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40"/>
              <w:jc w:val="left"/>
              <w:rPr/>
            </w:pPr>
            <w:r>
              <w:rPr/>
              <w:t>☐</w:t>
            </w:r>
          </w:p>
        </w:tc>
        <w:tc>
          <w:tcPr>
            <w:tcW w:w="9874"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TRANSITION REPORT PURSUANT TO SECTION 13 OR 15(d) OF THE SECURITIES EXCHANGE ACT OF 1934 For the transition period from _______ to _______</w:t>
            </w:r>
          </w:p>
        </w:tc>
      </w:tr>
    </w:tbl>
    <w:p>
      <w:pPr>
        <w:pStyle w:val="TextBody"/>
        <w:bidi w:val="0"/>
        <w:spacing w:before="0" w:after="100"/>
        <w:ind w:left="0" w:right="0" w:hanging="0"/>
        <w:jc w:val="center"/>
        <w:rPr>
          <w:rFonts w:ascii="Arial;Helvetica;sans-serif" w:hAnsi="Arial;Helvetica;sans-serif"/>
          <w:sz w:val="20"/>
        </w:rPr>
      </w:pPr>
      <w:r>
        <w:rPr>
          <w:rFonts w:ascii="Arial;Helvetica;sans-serif" w:hAnsi="Arial;Helvetica;sans-serif"/>
          <w:sz w:val="16"/>
        </w:rPr>
        <w:t xml:space="preserve">Commission File Number: </w:t>
      </w:r>
      <w:r>
        <w:rPr>
          <w:rFonts w:ascii="Arial;Helvetica;sans-serif" w:hAnsi="Arial;Helvetica;sans-serif"/>
          <w:b/>
          <w:sz w:val="16"/>
        </w:rPr>
        <w:t>001-38546</w:t>
      </w:r>
    </w:p>
    <w:p>
      <w:pPr>
        <w:pStyle w:val="TextBody"/>
        <w:bidi w:val="0"/>
        <w:spacing w:before="0" w:after="100"/>
        <w:ind w:left="0" w:right="0" w:hanging="0"/>
        <w:jc w:val="center"/>
        <w:rPr>
          <w:rFonts w:ascii="Arial;Helvetica;sans-serif" w:hAnsi="Arial;Helvetica;sans-serif"/>
          <w:b/>
          <w:sz w:val="42"/>
        </w:rPr>
      </w:pPr>
      <w:r>
        <w:rPr>
          <w:rFonts w:ascii="Arial;Helvetica;sans-serif" w:hAnsi="Arial;Helvetica;sans-serif"/>
          <w:b/>
          <w:sz w:val="42"/>
        </w:rPr>
        <w:t>NEURONETICS, INC.</w:t>
      </w:r>
    </w:p>
    <w:p>
      <w:pPr>
        <w:pStyle w:val="TextBody"/>
        <w:bidi w:val="0"/>
        <w:spacing w:before="0" w:after="100"/>
        <w:ind w:left="0" w:right="0" w:hanging="0"/>
        <w:jc w:val="center"/>
        <w:rPr>
          <w:rFonts w:ascii="Arial;Helvetica;sans-serif" w:hAnsi="Arial;Helvetica;sans-serif"/>
          <w:sz w:val="12"/>
        </w:rPr>
      </w:pPr>
      <w:r>
        <w:rPr>
          <w:rFonts w:ascii="Arial;Helvetica;sans-serif" w:hAnsi="Arial;Helvetica;sans-serif"/>
          <w:sz w:val="12"/>
        </w:rPr>
        <w:t>(Exact name of registrant as specified in its charter)</w:t>
      </w:r>
    </w:p>
    <w:p>
      <w:pPr>
        <w:pStyle w:val="Normal"/>
        <w:bidi w:val="0"/>
        <w:spacing w:before="0" w:after="0"/>
        <w:jc w:val="left"/>
        <w:rPr>
          <w:sz w:val="4"/>
          <w:szCs w:val="4"/>
        </w:rPr>
      </w:pPr>
      <w:r>
        <w:rPr>
          <w:sz w:val="4"/>
          <w:szCs w:val="4"/>
        </w:rPr>
      </w:r>
      <w:bookmarkStart w:id="4" w:name="Tc_jDR740JAv0Wd0amUy9wq-A_8_0"/>
      <w:bookmarkStart w:id="5" w:name="Tc_sk5adzRAJUmKQfRNHsYkow_7_0"/>
      <w:bookmarkStart w:id="6" w:name="Tc_RfUty8WqCUGnnjInHOMpCQ_6_1"/>
      <w:bookmarkStart w:id="7" w:name="Tc_70adD9SKmEau-UAIcz2g3w_6_0"/>
      <w:bookmarkStart w:id="8" w:name="Tc_AtKG95ivIkC7MzmLD0IACA_5_0"/>
      <w:bookmarkStart w:id="9" w:name="Tc_PEkL-HjVdUK3SHZcHtL0Og_3_0"/>
      <w:bookmarkStart w:id="10" w:name="Tc__XvytlodAEGdVYlziIjU0Q_2_1"/>
      <w:bookmarkStart w:id="11" w:name="Tc_ZoLQfQWoSkiv3Jar5PgCKg_2_0"/>
      <w:bookmarkStart w:id="12" w:name="_ec82af97_dc44_4c46_9e94_2313c816db73"/>
      <w:bookmarkStart w:id="13" w:name="Tc_jDR740JAv0Wd0amUy9wq-A_8_0"/>
      <w:bookmarkStart w:id="14" w:name="Tc_sk5adzRAJUmKQfRNHsYkow_7_0"/>
      <w:bookmarkStart w:id="15" w:name="Tc_RfUty8WqCUGnnjInHOMpCQ_6_1"/>
      <w:bookmarkStart w:id="16" w:name="Tc_70adD9SKmEau-UAIcz2g3w_6_0"/>
      <w:bookmarkStart w:id="17" w:name="Tc_AtKG95ivIkC7MzmLD0IACA_5_0"/>
      <w:bookmarkStart w:id="18" w:name="Tc_PEkL-HjVdUK3SHZcHtL0Og_3_0"/>
      <w:bookmarkStart w:id="19" w:name="Tc__XvytlodAEGdVYlziIjU0Q_2_1"/>
      <w:bookmarkStart w:id="20" w:name="Tc_ZoLQfQWoSkiv3Jar5PgCKg_2_0"/>
      <w:bookmarkStart w:id="21" w:name="_ec82af97_dc44_4c46_9e94_2313c816db73"/>
      <w:bookmarkEnd w:id="13"/>
      <w:bookmarkEnd w:id="14"/>
      <w:bookmarkEnd w:id="15"/>
      <w:bookmarkEnd w:id="16"/>
      <w:bookmarkEnd w:id="17"/>
      <w:bookmarkEnd w:id="18"/>
      <w:bookmarkEnd w:id="19"/>
      <w:bookmarkEnd w:id="20"/>
      <w:bookmarkEnd w:id="21"/>
    </w:p>
    <w:tbl>
      <w:tblPr>
        <w:tblW w:w="4802" w:type="dxa"/>
        <w:jc w:val="left"/>
        <w:tblInd w:w="0" w:type="dxa"/>
        <w:tblLayout w:type="fixed"/>
        <w:tblCellMar>
          <w:top w:w="0" w:type="dxa"/>
          <w:left w:w="0" w:type="dxa"/>
          <w:bottom w:w="0" w:type="dxa"/>
          <w:right w:w="0" w:type="dxa"/>
        </w:tblCellMar>
      </w:tblPr>
      <w:tblGrid>
        <w:gridCol w:w="2881"/>
        <w:gridCol w:w="1921"/>
      </w:tblGrid>
      <w:tr>
        <w:trPr/>
        <w:tc>
          <w:tcPr>
            <w:tcW w:w="2881"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9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33-1051425</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(State or other jurisdiction of</w:t>
            </w:r>
          </w:p>
        </w:tc>
        <w:tc>
          <w:tcPr>
            <w:tcW w:w="192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(I.R.S. Employer Identification No.)</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incorporation or organization)</w:t>
            </w:r>
          </w:p>
        </w:tc>
        <w:tc>
          <w:tcPr>
            <w:tcW w:w="1921" w:type="dxa"/>
            <w:tcBorders/>
            <w:vAlign w:val="center"/>
          </w:tcPr>
          <w:p>
            <w:pPr>
              <w:pStyle w:val="TableContents"/>
              <w:bidi w:val="0"/>
              <w:spacing w:before="0" w:after="200"/>
              <w:ind w:left="0" w:right="0" w:hanging="0"/>
              <w:jc w:val="center"/>
              <w:rPr/>
            </w:pPr>
            <w:r>
              <w:rPr/>
              <w:t>​</w:t>
            </w:r>
          </w:p>
        </w:tc>
      </w:tr>
      <w:tr>
        <w:trPr/>
        <w:tc>
          <w:tcPr>
            <w:tcW w:w="2881" w:type="dxa"/>
            <w:tcBorders/>
            <w:vAlign w:val="center"/>
          </w:tcPr>
          <w:p>
            <w:pPr>
              <w:pStyle w:val="TableContents"/>
              <w:bidi w:val="0"/>
              <w:spacing w:before="0" w:after="200"/>
              <w:ind w:left="0" w:right="0" w:hanging="0"/>
              <w:jc w:val="center"/>
              <w:rPr/>
            </w:pPr>
            <w:r>
              <w:rPr/>
              <w:t>​</w:t>
            </w:r>
          </w:p>
        </w:tc>
        <w:tc>
          <w:tcPr>
            <w:tcW w:w="1921" w:type="dxa"/>
            <w:tcBorders/>
            <w:vAlign w:val="center"/>
          </w:tcPr>
          <w:p>
            <w:pPr>
              <w:pStyle w:val="TableContents"/>
              <w:bidi w:val="0"/>
              <w:spacing w:before="0" w:after="200"/>
              <w:ind w:left="0" w:right="0" w:hanging="0"/>
              <w:jc w:val="center"/>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3222 Phoenixville Pike, Malvern, PA</w:t>
            </w:r>
          </w:p>
        </w:tc>
        <w:tc>
          <w:tcPr>
            <w:tcW w:w="19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19355</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(Address of principal executive offices)</w:t>
            </w:r>
          </w:p>
        </w:tc>
        <w:tc>
          <w:tcPr>
            <w:tcW w:w="192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(Zip Code)</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(610) 640-4202</w:t>
            </w:r>
          </w:p>
        </w:tc>
        <w:tc>
          <w:tcPr>
            <w:tcW w:w="1921" w:type="dxa"/>
            <w:tcBorders/>
            <w:vAlign w:val="center"/>
          </w:tcPr>
          <w:p>
            <w:pPr>
              <w:pStyle w:val="TableContents"/>
              <w:bidi w:val="0"/>
              <w:spacing w:before="0" w:after="200"/>
              <w:ind w:left="0" w:right="0" w:hanging="0"/>
              <w:jc w:val="left"/>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(Registrant’s telephone number, including area code)</w:t>
            </w:r>
          </w:p>
        </w:tc>
        <w:tc>
          <w:tcPr>
            <w:tcW w:w="1921" w:type="dxa"/>
            <w:tcBorders/>
            <w:vAlign w:val="center"/>
          </w:tcPr>
          <w:p>
            <w:pPr>
              <w:pStyle w:val="TableContents"/>
              <w:bidi w:val="0"/>
              <w:spacing w:before="0" w:after="20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Not applicable.</w:t>
      </w:r>
    </w:p>
    <w:p>
      <w:pPr>
        <w:pStyle w:val="TextBody"/>
        <w:bidi w:val="0"/>
        <w:spacing w:before="0" w:after="100"/>
        <w:ind w:left="0" w:right="0" w:hanging="0"/>
        <w:jc w:val="center"/>
        <w:rPr>
          <w:rFonts w:ascii="Arial;Helvetica;sans-serif" w:hAnsi="Arial;Helvetica;sans-serif"/>
          <w:sz w:val="12"/>
        </w:rPr>
      </w:pPr>
      <w:r>
        <w:rPr>
          <w:rFonts w:ascii="Arial;Helvetica;sans-serif" w:hAnsi="Arial;Helvetica;sans-serif"/>
          <w:sz w:val="12"/>
        </w:rPr>
        <w:t>(Former name, former address and former fiscal year, if changed since last report)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2" w:name="Tc_gadUTIqEzkWFq63P-7u-_g_1_4"/>
      <w:bookmarkStart w:id="23" w:name="Tc_cASxtvInCkqJdY9p1rgA_A_1_2"/>
      <w:bookmarkStart w:id="24" w:name="Tc_RZDTrzgzwES93vS_o9e0zA_1_0"/>
      <w:bookmarkStart w:id="25" w:name="_075b92ff_4e66_4a55_bd6d_9d052ef3f423"/>
      <w:bookmarkStart w:id="26" w:name="Tc_gadUTIqEzkWFq63P-7u-_g_1_4"/>
      <w:bookmarkStart w:id="27" w:name="Tc_cASxtvInCkqJdY9p1rgA_A_1_2"/>
      <w:bookmarkStart w:id="28" w:name="Tc_RZDTrzgzwES93vS_o9e0zA_1_0"/>
      <w:bookmarkStart w:id="29" w:name="_075b92ff_4e66_4a55_bd6d_9d052ef3f423"/>
      <w:bookmarkEnd w:id="26"/>
      <w:bookmarkEnd w:id="27"/>
      <w:bookmarkEnd w:id="28"/>
      <w:bookmarkEnd w:id="29"/>
    </w:p>
    <w:tbl>
      <w:tblPr>
        <w:tblW w:w="7855" w:type="dxa"/>
        <w:jc w:val="left"/>
        <w:tblInd w:w="0" w:type="dxa"/>
        <w:tblLayout w:type="fixed"/>
        <w:tblCellMar>
          <w:top w:w="0" w:type="dxa"/>
          <w:left w:w="0" w:type="dxa"/>
          <w:bottom w:w="0" w:type="dxa"/>
          <w:right w:w="0" w:type="dxa"/>
        </w:tblCellMar>
      </w:tblPr>
      <w:tblGrid>
        <w:gridCol w:w="2536"/>
        <w:gridCol w:w="326"/>
        <w:gridCol w:w="961"/>
        <w:gridCol w:w="326"/>
        <w:gridCol w:w="370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10235" cy="175260"/>
                      <wp:effectExtent l="0" t="0" r="0" b="0"/>
                      <wp:wrapNone/>
                      <wp:docPr id="2" name="Frame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53310" cy="175260"/>
                      <wp:effectExtent l="0" t="0" r="0" b="0"/>
                      <wp:wrapNone/>
                      <wp:docPr id="3" name="Frame3"/>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Trading</w:t>
              <w:br/>
              <w:t>Symbol (s)</w:t>
            </w:r>
          </w:p>
        </w:tc>
        <w:tc>
          <w:tcPr>
            <w:tcW w:w="326" w:type="dxa"/>
            <w:tcBorders/>
            <w:vAlign w:val="center"/>
          </w:tcPr>
          <w:p>
            <w:pPr>
              <w:pStyle w:val="TableContents"/>
              <w:bidi w:val="0"/>
              <w:spacing w:before="0" w:after="0"/>
              <w:ind w:left="0" w:right="0" w:hanging="0"/>
              <w:jc w:val="left"/>
              <w:rPr/>
            </w:pPr>
            <w:r>
              <w:rPr/>
              <w:t>    </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 on each exchange on which registered</w:t>
            </w:r>
          </w:p>
        </w:tc>
      </w:tr>
      <w:tr>
        <w:trPr/>
        <w:tc>
          <w:tcPr>
            <w:tcW w:w="253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Common Stock ($0.01 par value)</w:t>
            </w:r>
          </w:p>
        </w:tc>
        <w:tc>
          <w:tcPr>
            <w:tcW w:w="326" w:type="dxa"/>
            <w:tcBorders/>
            <w:vAlign w:val="center"/>
          </w:tcPr>
          <w:p>
            <w:pPr>
              <w:pStyle w:val="TableContents"/>
              <w:bidi w:val="0"/>
              <w:spacing w:before="0" w:after="0"/>
              <w:ind w:left="0" w:right="0" w:hanging="0"/>
              <w:jc w:val="left"/>
              <w:rPr/>
            </w:pPr>
            <w:r>
              <w:rPr/>
              <w:t>​</w:t>
            </w:r>
          </w:p>
        </w:tc>
        <w:tc>
          <w:tcPr>
            <w:tcW w:w="9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STIM</w:t>
            </w:r>
          </w:p>
        </w:tc>
        <w:tc>
          <w:tcPr>
            <w:tcW w:w="326" w:type="dxa"/>
            <w:tcBorders/>
            <w:vAlign w:val="center"/>
          </w:tcPr>
          <w:p>
            <w:pPr>
              <w:pStyle w:val="TableContents"/>
              <w:bidi w:val="0"/>
              <w:spacing w:before="0" w:after="0"/>
              <w:ind w:left="0" w:right="0" w:hanging="0"/>
              <w:jc w:val="left"/>
              <w:rPr/>
            </w:pPr>
            <w:r>
              <w:rPr/>
              <w:t>​</w:t>
            </w:r>
          </w:p>
        </w:tc>
        <w:tc>
          <w:tcPr>
            <w:tcW w:w="370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The Nasdaq Global Market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30" w:name="Tc_xubJTR7Em0mXGg2gk9pFhw_3_2"/>
      <w:bookmarkStart w:id="31" w:name="Tc_vvIVEoqaVkefVGs_0e-QIA_2_2"/>
      <w:bookmarkStart w:id="32" w:name="Tc_ciU6vbEuo02q2HbDHxRebA_2_1"/>
      <w:bookmarkStart w:id="33" w:name="Tc_J0AHsCMe3k-GWv8G_uM8Tg_1_3"/>
      <w:bookmarkStart w:id="34" w:name="Tc_I57PK5j6kUKQVEgiezVshA_1_2"/>
      <w:bookmarkStart w:id="35" w:name="Tc_L3G2x_K840yh0Uw0XgF2Dw_1_1"/>
      <w:bookmarkStart w:id="36" w:name="Tc_oAOPQ5OrtkyBwyia4OVdBQ_1_0"/>
      <w:bookmarkStart w:id="37" w:name="_d60860df_f18c_4bec_9d29_6d5f22c17201"/>
      <w:bookmarkStart w:id="38" w:name="Tc_xubJTR7Em0mXGg2gk9pFhw_3_2"/>
      <w:bookmarkStart w:id="39" w:name="Tc_vvIVEoqaVkefVGs_0e-QIA_2_2"/>
      <w:bookmarkStart w:id="40" w:name="Tc_ciU6vbEuo02q2HbDHxRebA_2_1"/>
      <w:bookmarkStart w:id="41" w:name="Tc_J0AHsCMe3k-GWv8G_uM8Tg_1_3"/>
      <w:bookmarkStart w:id="42" w:name="Tc_I57PK5j6kUKQVEgiezVshA_1_2"/>
      <w:bookmarkStart w:id="43" w:name="Tc_L3G2x_K840yh0Uw0XgF2Dw_1_1"/>
      <w:bookmarkStart w:id="44" w:name="Tc_oAOPQ5OrtkyBwyia4OVdBQ_1_0"/>
      <w:bookmarkStart w:id="45" w:name="_d60860df_f18c_4bec_9d29_6d5f22c17201"/>
      <w:bookmarkEnd w:id="38"/>
      <w:bookmarkEnd w:id="39"/>
      <w:bookmarkEnd w:id="40"/>
      <w:bookmarkEnd w:id="41"/>
      <w:bookmarkEnd w:id="42"/>
      <w:bookmarkEnd w:id="43"/>
      <w:bookmarkEnd w:id="44"/>
      <w:bookmarkEnd w:id="45"/>
    </w:p>
    <w:tbl>
      <w:tblPr>
        <w:tblW w:w="4474" w:type="dxa"/>
        <w:jc w:val="left"/>
        <w:tblInd w:w="0" w:type="dxa"/>
        <w:tblLayout w:type="fixed"/>
        <w:tblCellMar>
          <w:top w:w="0" w:type="dxa"/>
          <w:left w:w="0" w:type="dxa"/>
          <w:bottom w:w="0" w:type="dxa"/>
          <w:right w:w="0" w:type="dxa"/>
        </w:tblCellMar>
      </w:tblPr>
      <w:tblGrid>
        <w:gridCol w:w="1741"/>
        <w:gridCol w:w="316"/>
        <w:gridCol w:w="205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00"/>
              <w:ind w:left="0" w:right="0" w:hanging="0"/>
              <w:jc w:val="left"/>
              <w:rPr/>
            </w:pPr>
            <w:r>
              <w:rPr/>
              <w:t>​</w:t>
            </w:r>
          </w:p>
        </w:tc>
        <w:tc>
          <w:tcPr>
            <w:tcW w:w="316" w:type="dxa"/>
            <w:tcBorders/>
            <w:vAlign w:val="center"/>
          </w:tcPr>
          <w:p>
            <w:pPr>
              <w:pStyle w:val="TableContents"/>
              <w:bidi w:val="0"/>
              <w:spacing w:before="0" w:after="20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 xml:space="preserve">☐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16"/>
        </w:rPr>
        <w:t>Indicate by check mark whether the registrant is a shell company (as defined in Rule 12b-2 of the Exchange Act)</w:t>
      </w:r>
      <w:r>
        <w:rPr>
          <w:rFonts w:ascii="Times New Roman;Times;serif" w:hAnsi="Times New Roman;Times;serif"/>
          <w:sz w:val="16"/>
        </w:rPr>
        <w:t xml:space="preserve">.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 xml:space="preserve">☒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There were 28,500,652 shares of the registrant’s common stock outstanding as of May 11, 2023.</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46" w:name="_69a3884f_cead_47da_8ab3_45a7988e8059"/>
      <w:bookmarkEnd w:id="46"/>
      <w:r>
        <w:rPr>
          <w:rFonts w:ascii="Arial;Helvetica;sans-serif" w:hAnsi="Arial;Helvetica;sans-serif"/>
          <w:b/>
          <w:sz w:val="20"/>
        </w:rPr>
        <w:t>NEURONETICS, INC.</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b/>
          <w:sz w:val="18"/>
        </w:rPr>
        <w:t xml:space="preserve">Quarterly Report on </w:t>
      </w:r>
      <w:r>
        <w:rPr>
          <w:rFonts w:ascii="Arial;Helvetica;sans-serif" w:hAnsi="Arial;Helvetica;sans-serif"/>
          <w:b/>
          <w:sz w:val="20"/>
        </w:rPr>
        <w:t>Form</w:t>
      </w:r>
      <w:r>
        <w:rPr>
          <w:rFonts w:ascii="Arial;Helvetica;sans-serif" w:hAnsi="Arial;Helvetica;sans-serif"/>
          <w:sz w:val="18"/>
        </w:rPr>
        <w:t> </w:t>
      </w:r>
      <w:r>
        <w:rPr>
          <w:rFonts w:ascii="Arial;Helvetica;sans-serif" w:hAnsi="Arial;Helvetica;sans-serif"/>
          <w:b/>
          <w:sz w:val="18"/>
        </w:rPr>
        <w:t>10-Q for the quarterly period ended March 31, 2023</w:t>
      </w:r>
    </w:p>
    <w:p>
      <w:pPr>
        <w:pStyle w:val="TextBody"/>
        <w:bidi w:val="0"/>
        <w:spacing w:before="0" w:after="0"/>
        <w:ind w:left="0" w:right="0" w:hanging="0"/>
        <w:jc w:val="center"/>
        <w:rPr>
          <w:rFonts w:ascii="Arial;Helvetica;sans-serif" w:hAnsi="Arial;Helvetica;sans-serif"/>
          <w:b/>
          <w:sz w:val="18"/>
        </w:rPr>
      </w:pPr>
      <w:bookmarkStart w:id="47" w:name="TOC"/>
      <w:bookmarkEnd w:id="47"/>
      <w:r>
        <w:rPr>
          <w:rFonts w:ascii="Arial;Helvetica;sans-serif" w:hAnsi="Arial;Helvetica;sans-serif"/>
          <w:b/>
          <w:sz w:val="18"/>
        </w:rPr>
        <w:t>Table of Contents</w:t>
      </w:r>
    </w:p>
    <w:p>
      <w:pPr>
        <w:pStyle w:val="TextBody"/>
        <w:bidi w:val="0"/>
        <w:spacing w:before="0" w:after="20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53"/>
        <w:gridCol w:w="8735"/>
        <w:gridCol w:w="617"/>
      </w:tblGrid>
      <w:tr>
        <w:trPr/>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41655" cy="175260"/>
                      <wp:effectExtent l="0" t="0" r="0" b="0"/>
                      <wp:wrapNone/>
                      <wp:docPr id="4" name="Frame4"/>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546725" cy="175260"/>
                      <wp:effectExtent l="0" t="0" r="0" b="0"/>
                      <wp:wrapNone/>
                      <wp:docPr id="5" name="Frame5"/>
                      <a:graphic xmlns:a="http://schemas.openxmlformats.org/drawingml/2006/main">
                        <a:graphicData uri="http://schemas.microsoft.com/office/word/2010/wordprocessingShape">
                          <wps:wsp>
                            <wps:cNvSpPr txBox="1"/>
                            <wps:spPr>
                              <a:xfrm>
                                <a:off x="0" y="0"/>
                                <a:ext cx="554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91795" cy="175260"/>
                      <wp:effectExtent l="0" t="0" r="0" b="0"/>
                      <wp:wrapNone/>
                      <wp:docPr id="6" name="Frame6"/>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88" w:type="dxa"/>
            <w:gridSpan w:val="2"/>
            <w:tcBorders/>
            <w:vAlign w:val="center"/>
          </w:tcPr>
          <w:p>
            <w:pPr>
              <w:pStyle w:val="TableContents"/>
              <w:bidi w:val="0"/>
              <w:spacing w:before="0" w:after="0"/>
              <w:ind w:left="0" w:right="0" w:hanging="0"/>
              <w:jc w:val="center"/>
              <w:rPr/>
            </w:pPr>
            <w:r>
              <w:rPr/>
              <w:t>​</w:t>
            </w:r>
          </w:p>
        </w:tc>
        <w:tc>
          <w:tcPr>
            <w:tcW w:w="617"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127712">
              <w:r>
                <w:rPr>
                  <w:rStyle w:val="InternetLink"/>
                  <w:rFonts w:ascii="Arial;Helvetica;sans-serif" w:hAnsi="Arial;Helvetica;sans-serif"/>
                  <w:b/>
                  <w:i w:val="false"/>
                  <w:caps w:val="false"/>
                  <w:smallCaps w:val="false"/>
                  <w:sz w:val="20"/>
                </w:rPr>
                <w:t>PART I – FINANCIAL INFORMATION</w:t>
              </w:r>
            </w:hyperlink>
          </w:p>
        </w:tc>
      </w:tr>
      <w:tr>
        <w:trPr/>
        <w:tc>
          <w:tcPr>
            <w:tcW w:w="853" w:type="dxa"/>
            <w:tcBorders/>
            <w:vAlign w:val="center"/>
          </w:tcPr>
          <w:p>
            <w:pPr>
              <w:pStyle w:val="TableContents"/>
              <w:bidi w:val="0"/>
              <w:spacing w:before="0" w:after="0"/>
              <w:ind w:left="0" w:right="0" w:hanging="0"/>
              <w:jc w:val="left"/>
              <w:rPr/>
            </w:pPr>
            <w:r>
              <w:rPr/>
              <w:t>​</w:t>
            </w:r>
          </w:p>
        </w:tc>
        <w:tc>
          <w:tcPr>
            <w:tcW w:w="8735"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r>
      <w:tr>
        <w:trPr/>
        <w:tc>
          <w:tcPr>
            <w:tcW w:w="853" w:type="dxa"/>
            <w:tcBorders/>
            <w:vAlign w:val="center"/>
          </w:tcPr>
          <w:p>
            <w:pPr>
              <w:pStyle w:val="TableContents"/>
              <w:bidi w:val="0"/>
              <w:spacing w:before="0" w:after="0"/>
              <w:ind w:left="0" w:right="0" w:hanging="0"/>
              <w:jc w:val="left"/>
              <w:rPr/>
            </w:pPr>
            <w:hyperlink w:anchor="Item1FinancialStatements_941444">
              <w:r>
                <w:rPr>
                  <w:rStyle w:val="InternetLink"/>
                  <w:rFonts w:ascii="Arial;Helvetica;sans-serif" w:hAnsi="Arial;Helvetica;sans-serif"/>
                  <w:b/>
                  <w:i w:val="false"/>
                  <w:caps w:val="false"/>
                  <w:smallCaps w:val="false"/>
                  <w:sz w:val="20"/>
                </w:rPr>
                <w:t>Item 1.</w:t>
              </w:r>
            </w:hyperlink>
          </w:p>
        </w:tc>
        <w:tc>
          <w:tcPr>
            <w:tcW w:w="8735" w:type="dxa"/>
            <w:tcBorders/>
            <w:vAlign w:val="center"/>
          </w:tcPr>
          <w:p>
            <w:pPr>
              <w:pStyle w:val="TableContents"/>
              <w:bidi w:val="0"/>
              <w:spacing w:before="0" w:after="0"/>
              <w:ind w:left="0" w:right="0" w:hanging="0"/>
              <w:jc w:val="left"/>
              <w:rPr/>
            </w:pPr>
            <w:hyperlink w:anchor="Item1FinancialStatements_941444">
              <w:r>
                <w:rPr>
                  <w:rStyle w:val="InternetLink"/>
                  <w:rFonts w:ascii="Arial;Helvetica;sans-serif" w:hAnsi="Arial;Helvetica;sans-serif"/>
                  <w:b/>
                  <w:i w:val="false"/>
                  <w:caps w:val="false"/>
                  <w:smallCaps w:val="false"/>
                  <w:sz w:val="20"/>
                </w:rPr>
                <w:t>Financial Statements.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53" w:type="dxa"/>
            <w:tcBorders/>
            <w:vAlign w:val="center"/>
          </w:tcPr>
          <w:p>
            <w:pPr>
              <w:pStyle w:val="TableContents"/>
              <w:bidi w:val="0"/>
              <w:spacing w:before="0" w:after="0"/>
              <w:ind w:left="0" w:right="0" w:hanging="0"/>
              <w:jc w:val="left"/>
              <w:rPr/>
            </w:pPr>
            <w:r>
              <w:rPr/>
              <w:t>​</w:t>
            </w:r>
          </w:p>
        </w:tc>
        <w:tc>
          <w:tcPr>
            <w:tcW w:w="8735" w:type="dxa"/>
            <w:tcBorders/>
            <w:vAlign w:val="center"/>
          </w:tcPr>
          <w:p>
            <w:pPr>
              <w:pStyle w:val="TableContents"/>
              <w:bidi w:val="0"/>
              <w:spacing w:before="0" w:after="0"/>
              <w:ind w:left="0" w:right="0" w:hanging="0"/>
              <w:jc w:val="left"/>
              <w:rPr/>
            </w:pPr>
            <w:hyperlink w:anchor="BalanceSheets_181538">
              <w:r>
                <w:rPr>
                  <w:rStyle w:val="InternetLink"/>
                  <w:rFonts w:ascii="Arial;Helvetica;sans-serif" w:hAnsi="Arial;Helvetica;sans-serif"/>
                  <w:b/>
                  <w:i w:val="false"/>
                  <w:caps w:val="false"/>
                  <w:smallCaps w:val="false"/>
                  <w:sz w:val="20"/>
                </w:rPr>
                <w:t>Balance Sheets as of March 31, 2023 and December 31,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53" w:type="dxa"/>
            <w:tcBorders/>
            <w:vAlign w:val="center"/>
          </w:tcPr>
          <w:p>
            <w:pPr>
              <w:pStyle w:val="TableContents"/>
              <w:bidi w:val="0"/>
              <w:spacing w:before="0" w:after="0"/>
              <w:ind w:left="0" w:right="0" w:hanging="0"/>
              <w:jc w:val="left"/>
              <w:rPr/>
            </w:pPr>
            <w:r>
              <w:rPr/>
              <w:t>​</w:t>
            </w:r>
          </w:p>
        </w:tc>
        <w:tc>
          <w:tcPr>
            <w:tcW w:w="8735" w:type="dxa"/>
            <w:tcBorders/>
            <w:vAlign w:val="center"/>
          </w:tcPr>
          <w:p>
            <w:pPr>
              <w:pStyle w:val="TableContents"/>
              <w:bidi w:val="0"/>
              <w:spacing w:before="0" w:after="0"/>
              <w:ind w:left="0" w:right="0" w:hanging="0"/>
              <w:jc w:val="left"/>
              <w:rPr/>
            </w:pPr>
            <w:hyperlink w:anchor="StatementsofOperations_587719">
              <w:r>
                <w:rPr>
                  <w:rStyle w:val="InternetLink"/>
                  <w:rFonts w:ascii="Arial;Helvetica;sans-serif" w:hAnsi="Arial;Helvetica;sans-serif"/>
                  <w:b/>
                  <w:i w:val="false"/>
                  <w:caps w:val="false"/>
                  <w:smallCaps w:val="false"/>
                  <w:sz w:val="20"/>
                </w:rPr>
                <w:t>Statements of Operations for the Three Months ended March 31,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w:t>
            </w:r>
          </w:p>
        </w:tc>
      </w:tr>
      <w:tr>
        <w:trPr/>
        <w:tc>
          <w:tcPr>
            <w:tcW w:w="853" w:type="dxa"/>
            <w:tcBorders/>
            <w:vAlign w:val="center"/>
          </w:tcPr>
          <w:p>
            <w:pPr>
              <w:pStyle w:val="TableContents"/>
              <w:bidi w:val="0"/>
              <w:spacing w:before="0" w:after="0"/>
              <w:ind w:left="0" w:right="0" w:hanging="0"/>
              <w:jc w:val="left"/>
              <w:rPr/>
            </w:pPr>
            <w:r>
              <w:rPr/>
              <w:t>​</w:t>
            </w:r>
          </w:p>
        </w:tc>
        <w:tc>
          <w:tcPr>
            <w:tcW w:w="8735" w:type="dxa"/>
            <w:tcBorders/>
            <w:vAlign w:val="center"/>
          </w:tcPr>
          <w:p>
            <w:pPr>
              <w:pStyle w:val="TableContents"/>
              <w:bidi w:val="0"/>
              <w:spacing w:before="0" w:after="0"/>
              <w:ind w:left="0" w:right="0" w:hanging="0"/>
              <w:jc w:val="left"/>
              <w:rPr/>
            </w:pPr>
            <w:hyperlink w:anchor="StatementofChangesinStockholders_240276">
              <w:r>
                <w:rPr>
                  <w:rStyle w:val="InternetLink"/>
                  <w:rFonts w:ascii="Arial;Helvetica;sans-serif" w:hAnsi="Arial;Helvetica;sans-serif"/>
                  <w:b/>
                  <w:i w:val="false"/>
                  <w:caps w:val="false"/>
                  <w:smallCaps w:val="false"/>
                  <w:sz w:val="20"/>
                </w:rPr>
                <w:t>Statements of Changes in Stockholders’ Equity for the Three Months ended March 31,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r>
      <w:tr>
        <w:trPr/>
        <w:tc>
          <w:tcPr>
            <w:tcW w:w="853" w:type="dxa"/>
            <w:tcBorders/>
            <w:vAlign w:val="center"/>
          </w:tcPr>
          <w:p>
            <w:pPr>
              <w:pStyle w:val="TableContents"/>
              <w:bidi w:val="0"/>
              <w:spacing w:before="0" w:after="0"/>
              <w:ind w:left="0" w:right="0" w:hanging="0"/>
              <w:jc w:val="left"/>
              <w:rPr/>
            </w:pPr>
            <w:r>
              <w:rPr/>
              <w:t>​</w:t>
            </w:r>
          </w:p>
        </w:tc>
        <w:tc>
          <w:tcPr>
            <w:tcW w:w="8735" w:type="dxa"/>
            <w:tcBorders/>
            <w:vAlign w:val="center"/>
          </w:tcPr>
          <w:p>
            <w:pPr>
              <w:pStyle w:val="TableContents"/>
              <w:bidi w:val="0"/>
              <w:spacing w:before="0" w:after="0"/>
              <w:ind w:left="0" w:right="0" w:hanging="0"/>
              <w:jc w:val="left"/>
              <w:rPr/>
            </w:pPr>
            <w:hyperlink w:anchor="StatementsofCashFlows_296622">
              <w:r>
                <w:rPr>
                  <w:rStyle w:val="InternetLink"/>
                  <w:rFonts w:ascii="Arial;Helvetica;sans-serif" w:hAnsi="Arial;Helvetica;sans-serif"/>
                  <w:b/>
                  <w:i w:val="false"/>
                  <w:caps w:val="false"/>
                  <w:smallCaps w:val="false"/>
                  <w:sz w:val="20"/>
                </w:rPr>
                <w:t>Statements of Cash Flows for the Three Months ended March 31,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w:t>
            </w:r>
          </w:p>
        </w:tc>
      </w:tr>
      <w:tr>
        <w:trPr/>
        <w:tc>
          <w:tcPr>
            <w:tcW w:w="853" w:type="dxa"/>
            <w:tcBorders/>
            <w:vAlign w:val="center"/>
          </w:tcPr>
          <w:p>
            <w:pPr>
              <w:pStyle w:val="TableContents"/>
              <w:bidi w:val="0"/>
              <w:spacing w:before="0" w:after="0"/>
              <w:ind w:left="0" w:right="0" w:hanging="0"/>
              <w:jc w:val="left"/>
              <w:rPr/>
            </w:pPr>
            <w:r>
              <w:rPr/>
              <w:t>​</w:t>
            </w:r>
          </w:p>
        </w:tc>
        <w:tc>
          <w:tcPr>
            <w:tcW w:w="8735" w:type="dxa"/>
            <w:tcBorders/>
            <w:vAlign w:val="center"/>
          </w:tcPr>
          <w:p>
            <w:pPr>
              <w:pStyle w:val="TableContents"/>
              <w:bidi w:val="0"/>
              <w:spacing w:before="0" w:after="0"/>
              <w:ind w:left="0" w:right="0" w:hanging="0"/>
              <w:jc w:val="left"/>
              <w:rPr/>
            </w:pPr>
            <w:hyperlink w:anchor="a1DESCRIPTIONOFBUSINESS_936106">
              <w:r>
                <w:rPr>
                  <w:rStyle w:val="InternetLink"/>
                  <w:rFonts w:ascii="Arial;Helvetica;sans-serif" w:hAnsi="Arial;Helvetica;sans-serif"/>
                  <w:b/>
                  <w:i w:val="false"/>
                  <w:caps w:val="false"/>
                  <w:smallCaps w:val="false"/>
                  <w:sz w:val="20"/>
                </w:rPr>
                <w:t>Notes to Interim Financial Statements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w:t>
            </w:r>
          </w:p>
        </w:tc>
      </w:tr>
      <w:tr>
        <w:trPr/>
        <w:tc>
          <w:tcPr>
            <w:tcW w:w="853" w:type="dxa"/>
            <w:tcBorders/>
            <w:vAlign w:val="center"/>
          </w:tcPr>
          <w:p>
            <w:pPr>
              <w:pStyle w:val="TableContents"/>
              <w:bidi w:val="0"/>
              <w:spacing w:before="0" w:after="0"/>
              <w:ind w:left="0" w:right="0" w:hanging="0"/>
              <w:jc w:val="both"/>
              <w:rPr/>
            </w:pPr>
            <w:hyperlink w:anchor="Item2ManagementsDiscussionandAnalysisofF">
              <w:r>
                <w:rPr>
                  <w:rStyle w:val="InternetLink"/>
                  <w:rFonts w:ascii="Arial;Helvetica;sans-serif" w:hAnsi="Arial;Helvetica;sans-serif"/>
                  <w:b/>
                  <w:i w:val="false"/>
                  <w:caps w:val="false"/>
                  <w:smallCaps w:val="false"/>
                  <w:sz w:val="20"/>
                </w:rPr>
                <w:t>Item 2.</w:t>
              </w:r>
            </w:hyperlink>
          </w:p>
        </w:tc>
        <w:tc>
          <w:tcPr>
            <w:tcW w:w="8735"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i w:val="false"/>
                  <w:caps w:val="false"/>
                  <w:smallCaps w:val="false"/>
                  <w:sz w:val="20"/>
                </w:rPr>
                <w:t>Management’s Discussion and Analysis of Financial Condition and Results of Operations.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20</w:t>
            </w:r>
          </w:p>
        </w:tc>
      </w:tr>
      <w:tr>
        <w:trPr/>
        <w:tc>
          <w:tcPr>
            <w:tcW w:w="853"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i w:val="false"/>
                  <w:caps w:val="false"/>
                  <w:smallCaps w:val="false"/>
                  <w:sz w:val="20"/>
                </w:rPr>
                <w:t>Item 3.</w:t>
              </w:r>
            </w:hyperlink>
          </w:p>
        </w:tc>
        <w:tc>
          <w:tcPr>
            <w:tcW w:w="8735"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i w:val="false"/>
                  <w:caps w:val="false"/>
                  <w:smallCaps w:val="false"/>
                  <w:sz w:val="20"/>
                </w:rPr>
                <w:t>Quantitative and Qualitative Disclosures About Market Risk.</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29</w:t>
            </w:r>
          </w:p>
        </w:tc>
      </w:tr>
      <w:tr>
        <w:trPr/>
        <w:tc>
          <w:tcPr>
            <w:tcW w:w="853" w:type="dxa"/>
            <w:tcBorders/>
            <w:vAlign w:val="center"/>
          </w:tcPr>
          <w:p>
            <w:pPr>
              <w:pStyle w:val="TableContents"/>
              <w:bidi w:val="0"/>
              <w:spacing w:before="0" w:after="0"/>
              <w:ind w:left="0" w:right="0" w:hanging="0"/>
              <w:jc w:val="left"/>
              <w:rPr/>
            </w:pPr>
            <w:hyperlink w:anchor="Item4ControlsandProcedures_938545">
              <w:r>
                <w:rPr>
                  <w:rStyle w:val="InternetLink"/>
                  <w:rFonts w:ascii="Arial;Helvetica;sans-serif" w:hAnsi="Arial;Helvetica;sans-serif"/>
                  <w:b/>
                  <w:i w:val="false"/>
                  <w:caps w:val="false"/>
                  <w:smallCaps w:val="false"/>
                  <w:sz w:val="20"/>
                </w:rPr>
                <w:t>Item 4.</w:t>
              </w:r>
            </w:hyperlink>
          </w:p>
        </w:tc>
        <w:tc>
          <w:tcPr>
            <w:tcW w:w="8735" w:type="dxa"/>
            <w:tcBorders/>
            <w:vAlign w:val="center"/>
          </w:tcPr>
          <w:p>
            <w:pPr>
              <w:pStyle w:val="TableContents"/>
              <w:bidi w:val="0"/>
              <w:spacing w:before="0" w:after="0"/>
              <w:ind w:left="0" w:right="0" w:hanging="0"/>
              <w:jc w:val="left"/>
              <w:rPr/>
            </w:pPr>
            <w:hyperlink w:anchor="Item4ControlsandProcedures_938545">
              <w:r>
                <w:rPr>
                  <w:rStyle w:val="InternetLink"/>
                  <w:rFonts w:ascii="Arial;Helvetica;sans-serif" w:hAnsi="Arial;Helvetica;sans-serif"/>
                  <w:b/>
                  <w:i w:val="false"/>
                  <w:caps w:val="false"/>
                  <w:smallCaps w:val="false"/>
                  <w:sz w:val="20"/>
                </w:rPr>
                <w:t>Controls and Procedures.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29</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67954">
              <w:r>
                <w:rPr>
                  <w:rStyle w:val="InternetLink"/>
                  <w:rFonts w:ascii="Arial;Helvetica;sans-serif" w:hAnsi="Arial;Helvetica;sans-serif"/>
                  <w:b/>
                  <w:i w:val="false"/>
                  <w:caps w:val="false"/>
                  <w:smallCaps w:val="false"/>
                  <w:sz w:val="20"/>
                </w:rPr>
                <w:t>PART II – OTHER INFORMATION</w:t>
              </w:r>
            </w:hyperlink>
          </w:p>
        </w:tc>
      </w:tr>
      <w:tr>
        <w:trPr/>
        <w:tc>
          <w:tcPr>
            <w:tcW w:w="853" w:type="dxa"/>
            <w:tcBorders/>
            <w:vAlign w:val="center"/>
          </w:tcPr>
          <w:p>
            <w:pPr>
              <w:pStyle w:val="TableContents"/>
              <w:bidi w:val="0"/>
              <w:spacing w:before="0" w:after="0"/>
              <w:ind w:left="0" w:right="0" w:hanging="0"/>
              <w:jc w:val="left"/>
              <w:rPr/>
            </w:pPr>
            <w:hyperlink w:anchor="Item1LegalProceedings_301773">
              <w:r>
                <w:rPr>
                  <w:rStyle w:val="InternetLink"/>
                  <w:rFonts w:ascii="Arial;Helvetica;sans-serif" w:hAnsi="Arial;Helvetica;sans-serif"/>
                  <w:b/>
                  <w:i w:val="false"/>
                  <w:caps w:val="false"/>
                  <w:smallCaps w:val="false"/>
                  <w:sz w:val="20"/>
                </w:rPr>
                <w:t>Item 1.</w:t>
              </w:r>
            </w:hyperlink>
          </w:p>
        </w:tc>
        <w:tc>
          <w:tcPr>
            <w:tcW w:w="8735" w:type="dxa"/>
            <w:tcBorders/>
            <w:vAlign w:val="center"/>
          </w:tcPr>
          <w:p>
            <w:pPr>
              <w:pStyle w:val="TableContents"/>
              <w:bidi w:val="0"/>
              <w:spacing w:before="0" w:after="0"/>
              <w:ind w:left="0" w:right="0" w:hanging="0"/>
              <w:jc w:val="left"/>
              <w:rPr/>
            </w:pPr>
            <w:hyperlink w:anchor="Item1LegalProceedings_301773">
              <w:r>
                <w:rPr>
                  <w:rStyle w:val="InternetLink"/>
                  <w:rFonts w:ascii="Arial;Helvetica;sans-serif" w:hAnsi="Arial;Helvetica;sans-serif"/>
                  <w:b/>
                  <w:i w:val="false"/>
                  <w:caps w:val="false"/>
                  <w:smallCaps w:val="false"/>
                  <w:sz w:val="20"/>
                </w:rPr>
                <w:t>Legal Proceedings.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853" w:type="dxa"/>
            <w:tcBorders/>
            <w:vAlign w:val="center"/>
          </w:tcPr>
          <w:p>
            <w:pPr>
              <w:pStyle w:val="TableContents"/>
              <w:bidi w:val="0"/>
              <w:spacing w:before="0" w:after="0"/>
              <w:ind w:left="0" w:right="0" w:hanging="0"/>
              <w:jc w:val="left"/>
              <w:rPr/>
            </w:pPr>
            <w:hyperlink w:anchor="Item1ARiskFactors_843057">
              <w:r>
                <w:rPr>
                  <w:rStyle w:val="InternetLink"/>
                  <w:rFonts w:ascii="Arial;Helvetica;sans-serif" w:hAnsi="Arial;Helvetica;sans-serif"/>
                  <w:b/>
                  <w:i w:val="false"/>
                  <w:caps w:val="false"/>
                  <w:smallCaps w:val="false"/>
                  <w:sz w:val="20"/>
                </w:rPr>
                <w:t>Item 1A</w:t>
              </w:r>
            </w:hyperlink>
            <w:r>
              <w:rPr>
                <w:rFonts w:ascii="Arial;Helvetica;sans-serif" w:hAnsi="Arial;Helvetica;sans-serif"/>
                <w:b/>
                <w:sz w:val="20"/>
              </w:rPr>
              <w:t>.</w:t>
            </w:r>
          </w:p>
        </w:tc>
        <w:tc>
          <w:tcPr>
            <w:tcW w:w="8735" w:type="dxa"/>
            <w:tcBorders/>
            <w:vAlign w:val="center"/>
          </w:tcPr>
          <w:p>
            <w:pPr>
              <w:pStyle w:val="TableContents"/>
              <w:bidi w:val="0"/>
              <w:spacing w:before="0" w:after="0"/>
              <w:ind w:left="0" w:right="0" w:hanging="0"/>
              <w:jc w:val="left"/>
              <w:rPr/>
            </w:pPr>
            <w:hyperlink w:anchor="Item1ARiskFactors_843057">
              <w:r>
                <w:rPr>
                  <w:rStyle w:val="InternetLink"/>
                  <w:rFonts w:ascii="Arial;Helvetica;sans-serif" w:hAnsi="Arial;Helvetica;sans-serif"/>
                  <w:b/>
                  <w:i w:val="false"/>
                  <w:caps w:val="false"/>
                  <w:smallCaps w:val="false"/>
                  <w:sz w:val="20"/>
                </w:rPr>
                <w:t>Risk Factors</w:t>
              </w:r>
            </w:hyperlink>
            <w:r>
              <w:rPr>
                <w:rFonts w:ascii="Arial;Helvetica;sans-serif" w:hAnsi="Arial;Helvetica;sans-serif"/>
                <w:b/>
                <w:sz w:val="20"/>
              </w:rPr>
              <w:t>.</w:t>
            </w:r>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853"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i w:val="false"/>
                  <w:caps w:val="false"/>
                  <w:smallCaps w:val="false"/>
                  <w:sz w:val="20"/>
                </w:rPr>
                <w:t>Item 2.</w:t>
              </w:r>
            </w:hyperlink>
          </w:p>
        </w:tc>
        <w:tc>
          <w:tcPr>
            <w:tcW w:w="8735"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i w:val="false"/>
                  <w:caps w:val="false"/>
                  <w:smallCaps w:val="false"/>
                  <w:sz w:val="20"/>
                </w:rPr>
                <w:t>Unregistered Sales of Equity Securities and Use of Proceeds.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853" w:type="dxa"/>
            <w:tcBorders/>
            <w:vAlign w:val="center"/>
          </w:tcPr>
          <w:p>
            <w:pPr>
              <w:pStyle w:val="TableContents"/>
              <w:bidi w:val="0"/>
              <w:spacing w:before="0" w:after="0"/>
              <w:ind w:left="0" w:right="0" w:hanging="0"/>
              <w:jc w:val="left"/>
              <w:rPr/>
            </w:pPr>
            <w:hyperlink w:anchor="Item3DefaultsUponSeniorSecurities_544144">
              <w:r>
                <w:rPr>
                  <w:rStyle w:val="InternetLink"/>
                  <w:rFonts w:ascii="Arial;Helvetica;sans-serif" w:hAnsi="Arial;Helvetica;sans-serif"/>
                  <w:b/>
                  <w:i w:val="false"/>
                  <w:caps w:val="false"/>
                  <w:smallCaps w:val="false"/>
                  <w:sz w:val="20"/>
                </w:rPr>
                <w:t>Item 3.</w:t>
              </w:r>
            </w:hyperlink>
          </w:p>
        </w:tc>
        <w:tc>
          <w:tcPr>
            <w:tcW w:w="8735" w:type="dxa"/>
            <w:tcBorders/>
            <w:vAlign w:val="center"/>
          </w:tcPr>
          <w:p>
            <w:pPr>
              <w:pStyle w:val="TableContents"/>
              <w:bidi w:val="0"/>
              <w:spacing w:before="0" w:after="0"/>
              <w:ind w:left="0" w:right="0" w:hanging="0"/>
              <w:jc w:val="left"/>
              <w:rPr/>
            </w:pPr>
            <w:hyperlink w:anchor="Item3DefaultsUponSeniorSecurities_544144">
              <w:r>
                <w:rPr>
                  <w:rStyle w:val="InternetLink"/>
                  <w:rFonts w:ascii="Arial;Helvetica;sans-serif" w:hAnsi="Arial;Helvetica;sans-serif"/>
                  <w:b/>
                  <w:i w:val="false"/>
                  <w:caps w:val="false"/>
                  <w:smallCaps w:val="false"/>
                  <w:sz w:val="20"/>
                </w:rPr>
                <w:t>Defaults Upon Senior Securities.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853" w:type="dxa"/>
            <w:tcBorders/>
            <w:vAlign w:val="center"/>
          </w:tcPr>
          <w:p>
            <w:pPr>
              <w:pStyle w:val="TableContents"/>
              <w:bidi w:val="0"/>
              <w:spacing w:before="0" w:after="0"/>
              <w:ind w:left="0" w:right="0" w:hanging="0"/>
              <w:jc w:val="left"/>
              <w:rPr/>
            </w:pPr>
            <w:hyperlink w:anchor="Item4MineSafetyDisclosures_535317">
              <w:r>
                <w:rPr>
                  <w:rStyle w:val="InternetLink"/>
                  <w:rFonts w:ascii="Arial;Helvetica;sans-serif" w:hAnsi="Arial;Helvetica;sans-serif"/>
                  <w:b/>
                  <w:i w:val="false"/>
                  <w:caps w:val="false"/>
                  <w:smallCaps w:val="false"/>
                  <w:sz w:val="20"/>
                </w:rPr>
                <w:t>Item 4.</w:t>
              </w:r>
            </w:hyperlink>
          </w:p>
        </w:tc>
        <w:tc>
          <w:tcPr>
            <w:tcW w:w="8735" w:type="dxa"/>
            <w:tcBorders/>
            <w:vAlign w:val="center"/>
          </w:tcPr>
          <w:p>
            <w:pPr>
              <w:pStyle w:val="TableContents"/>
              <w:bidi w:val="0"/>
              <w:spacing w:before="0" w:after="0"/>
              <w:ind w:left="0" w:right="0" w:hanging="0"/>
              <w:jc w:val="left"/>
              <w:rPr/>
            </w:pPr>
            <w:hyperlink w:anchor="Item4MineSafetyDisclosures_535317">
              <w:r>
                <w:rPr>
                  <w:rStyle w:val="InternetLink"/>
                  <w:rFonts w:ascii="Arial;Helvetica;sans-serif" w:hAnsi="Arial;Helvetica;sans-serif"/>
                  <w:b/>
                  <w:i w:val="false"/>
                  <w:caps w:val="false"/>
                  <w:smallCaps w:val="false"/>
                  <w:sz w:val="20"/>
                </w:rPr>
                <w:t>Mine Safety Disclosures.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853" w:type="dxa"/>
            <w:tcBorders/>
            <w:vAlign w:val="center"/>
          </w:tcPr>
          <w:p>
            <w:pPr>
              <w:pStyle w:val="TableContents"/>
              <w:bidi w:val="0"/>
              <w:spacing w:before="0" w:after="0"/>
              <w:ind w:left="0" w:right="0" w:hanging="0"/>
              <w:jc w:val="left"/>
              <w:rPr/>
            </w:pPr>
            <w:hyperlink w:anchor="Item5OtherInformation_821519">
              <w:r>
                <w:rPr>
                  <w:rStyle w:val="InternetLink"/>
                  <w:rFonts w:ascii="Arial;Helvetica;sans-serif" w:hAnsi="Arial;Helvetica;sans-serif"/>
                  <w:b/>
                  <w:i w:val="false"/>
                  <w:caps w:val="false"/>
                  <w:smallCaps w:val="false"/>
                  <w:sz w:val="20"/>
                </w:rPr>
                <w:t>Item 5.</w:t>
              </w:r>
            </w:hyperlink>
          </w:p>
        </w:tc>
        <w:tc>
          <w:tcPr>
            <w:tcW w:w="8735" w:type="dxa"/>
            <w:tcBorders/>
            <w:vAlign w:val="center"/>
          </w:tcPr>
          <w:p>
            <w:pPr>
              <w:pStyle w:val="TableContents"/>
              <w:bidi w:val="0"/>
              <w:spacing w:before="0" w:after="0"/>
              <w:ind w:left="0" w:right="0" w:hanging="0"/>
              <w:jc w:val="left"/>
              <w:rPr/>
            </w:pPr>
            <w:hyperlink w:anchor="Item5OtherInformation_821519">
              <w:r>
                <w:rPr>
                  <w:rStyle w:val="InternetLink"/>
                  <w:rFonts w:ascii="Arial;Helvetica;sans-serif" w:hAnsi="Arial;Helvetica;sans-serif"/>
                  <w:b/>
                  <w:i w:val="false"/>
                  <w:caps w:val="false"/>
                  <w:smallCaps w:val="false"/>
                  <w:sz w:val="20"/>
                </w:rPr>
                <w:t>Other Information.</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853"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b/>
                  <w:i w:val="false"/>
                  <w:caps w:val="false"/>
                  <w:smallCaps w:val="false"/>
                  <w:sz w:val="20"/>
                </w:rPr>
                <w:t>Item 6.</w:t>
              </w:r>
            </w:hyperlink>
          </w:p>
        </w:tc>
        <w:tc>
          <w:tcPr>
            <w:tcW w:w="8735"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b/>
                  <w:i w:val="false"/>
                  <w:caps w:val="false"/>
                  <w:smallCaps w:val="false"/>
                  <w:sz w:val="20"/>
                </w:rPr>
                <w:t>Exhibits.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32</w:t>
            </w:r>
          </w:p>
        </w:tc>
      </w:tr>
      <w:tr>
        <w:trPr/>
        <w:tc>
          <w:tcPr>
            <w:tcW w:w="853" w:type="dxa"/>
            <w:tcBorders/>
            <w:vAlign w:val="center"/>
          </w:tcPr>
          <w:p>
            <w:pPr>
              <w:pStyle w:val="TableContents"/>
              <w:bidi w:val="0"/>
              <w:spacing w:before="0" w:after="0"/>
              <w:ind w:left="0" w:right="0" w:hanging="0"/>
              <w:jc w:val="left"/>
              <w:rPr/>
            </w:pPr>
            <w:r>
              <w:rPr/>
              <w:t>​</w:t>
            </w:r>
          </w:p>
        </w:tc>
        <w:tc>
          <w:tcPr>
            <w:tcW w:w="8735" w:type="dxa"/>
            <w:tcBorders/>
            <w:vAlign w:val="center"/>
          </w:tcPr>
          <w:p>
            <w:pPr>
              <w:pStyle w:val="TableContents"/>
              <w:bidi w:val="0"/>
              <w:spacing w:before="0" w:after="0"/>
              <w:ind w:left="0" w:right="0" w:hanging="0"/>
              <w:jc w:val="left"/>
              <w:rPr/>
            </w:pPr>
            <w:hyperlink w:anchor="SIGNATURES_811098">
              <w:r>
                <w:rPr>
                  <w:rStyle w:val="InternetLink"/>
                  <w:rFonts w:ascii="Arial;Helvetica;sans-serif" w:hAnsi="Arial;Helvetica;sans-serif"/>
                  <w:b/>
                  <w:i w:val="false"/>
                  <w:caps w:val="false"/>
                  <w:smallCaps w:val="false"/>
                  <w:sz w:val="20"/>
                </w:rPr>
                <w:t>SIGNATURES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19"/>
        </w:rPr>
      </w:pPr>
      <w:bookmarkStart w:id="48" w:name="PARTIFINANCIALINFORMATION_127712"/>
      <w:bookmarkStart w:id="49" w:name="_b98df6c9_6652_41d8_8e47_6f2e9480b8d7"/>
      <w:bookmarkEnd w:id="48"/>
      <w:bookmarkEnd w:id="49"/>
      <w:r>
        <w:rPr>
          <w:rFonts w:ascii="Arial;Helvetica;sans-serif" w:hAnsi="Arial;Helvetica;sans-serif"/>
          <w:b/>
          <w:sz w:val="19"/>
        </w:rPr>
        <w:t>PART I - FINANCIAL INFORMATION</w:t>
      </w:r>
    </w:p>
    <w:p>
      <w:pPr>
        <w:pStyle w:val="TextBody"/>
        <w:bidi w:val="0"/>
        <w:spacing w:before="0" w:after="200"/>
        <w:ind w:left="0" w:right="0" w:hanging="0"/>
        <w:jc w:val="left"/>
        <w:rPr>
          <w:rFonts w:ascii="Arial;Helvetica;sans-serif" w:hAnsi="Arial;Helvetica;sans-serif"/>
          <w:b/>
          <w:sz w:val="19"/>
        </w:rPr>
      </w:pPr>
      <w:bookmarkStart w:id="50" w:name="Item1FinancialStatements_941444"/>
      <w:bookmarkEnd w:id="50"/>
      <w:r>
        <w:rPr>
          <w:rFonts w:ascii="Arial;Helvetica;sans-serif" w:hAnsi="Arial;Helvetica;sans-serif"/>
          <w:b/>
          <w:sz w:val="19"/>
        </w:rPr>
        <w:t>Item 1.     Financial Statements.</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NEURONETICS, INC.</w:t>
      </w:r>
    </w:p>
    <w:p>
      <w:pPr>
        <w:pStyle w:val="TextBody"/>
        <w:bidi w:val="0"/>
        <w:spacing w:before="0" w:after="0"/>
        <w:ind w:left="0" w:right="0" w:hanging="0"/>
        <w:jc w:val="center"/>
        <w:rPr>
          <w:rFonts w:ascii="Arial;Helvetica;sans-serif" w:hAnsi="Arial;Helvetica;sans-serif"/>
          <w:b/>
          <w:sz w:val="19"/>
        </w:rPr>
      </w:pPr>
      <w:bookmarkStart w:id="51" w:name="BalanceSheets_181538"/>
      <w:bookmarkEnd w:id="51"/>
      <w:r>
        <w:rPr>
          <w:rFonts w:ascii="Arial;Helvetica;sans-serif" w:hAnsi="Arial;Helvetica;sans-serif"/>
          <w:b/>
          <w:sz w:val="19"/>
        </w:rPr>
        <w:t>Balance Sheets</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(Unaudited; In thousands, except per share data)</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52" w:name="Tc_3Ka-U8_KjEi-9vQBwWqXsA_39_5"/>
      <w:bookmarkStart w:id="53" w:name="Tc_hT01kSSDbU-0n2nzZf08eg_39_2"/>
      <w:bookmarkStart w:id="54" w:name="Tc_NLo2wDF0gU-A60bnGtxa8g_39_0"/>
      <w:bookmarkStart w:id="55" w:name="Tc_EsPDZa1lF0aSVhJz_b36vA_38_0"/>
      <w:bookmarkStart w:id="56" w:name="Tc_-onqhk31G0KzUjXpis3rkw_37_0"/>
      <w:bookmarkStart w:id="57" w:name="Tc_e1Zg7lj1gEe-j0nJMw-OwQ_36_0"/>
      <w:bookmarkStart w:id="58" w:name="Tc_igOZMHgjBEecGQzu1UIKVA_35_0"/>
      <w:bookmarkStart w:id="59" w:name="_5004f9ad_97d8_4d4a_8d55_fb21bb0df282_3"/>
      <w:bookmarkStart w:id="60" w:name="_5004f9ad_97d8_4d4a_8d55_fb21bb0df282_2"/>
      <w:bookmarkStart w:id="61" w:name="_5004f9ad_97d8_4d4a_8d55_fb21bb0df282"/>
      <w:bookmarkStart w:id="62" w:name="Tc_NJJIuaiFNE2DTM1RCUqVyg_34_0"/>
      <w:bookmarkStart w:id="63" w:name="Tc_Grjy01b9YkSePqMTvLXVXw_33_0"/>
      <w:bookmarkStart w:id="64" w:name="Tc_C47CP_WE_U-4TuYHaGSAmw_32_0"/>
      <w:bookmarkStart w:id="65" w:name="Tc_6VUmhCF9RkGhfwVeS_x6eQ_31_0"/>
      <w:bookmarkStart w:id="66" w:name="Tc_zSc_qteEeE-KWDykaYfylw_30_0"/>
      <w:bookmarkStart w:id="67" w:name="Tc_zWKvh_ovhk-jm86oQB11PQ_29_0"/>
      <w:bookmarkStart w:id="68" w:name="Tc_Ip5ZUY7S3Ua9jxdttDLlHg_28_0"/>
      <w:bookmarkStart w:id="69" w:name="Tc_f4A7RCEgm0-_Ot0cguIAiA_27_0"/>
      <w:bookmarkStart w:id="70" w:name="Tc_Coyyly7Wf0yg74vSb-7qEQ_26_3"/>
      <w:bookmarkStart w:id="71" w:name="Tc_sE-hMKdO4kybLmCAeXAw6A_26_0"/>
      <w:bookmarkStart w:id="72" w:name="Tc_dgZq3iIypkGJwOKfSLj_pw_25_0"/>
      <w:bookmarkStart w:id="73" w:name="Tc_74gLmEDXnEWyxAwf9B-d7A_24_0"/>
      <w:bookmarkStart w:id="74" w:name="Tc_7Cx99Jx690WO-JiTrgM3Lg_23_0"/>
      <w:bookmarkStart w:id="75" w:name="Tc_kNKS6UzM50yyRoyRF-BZCg_22_5"/>
      <w:bookmarkStart w:id="76" w:name="Tc_1JQsEmw62E6fYyinYjYF2Q_22_2"/>
      <w:bookmarkStart w:id="77" w:name="Tc_ScRiz0merEODBIG3nllMgA_22_0"/>
      <w:bookmarkStart w:id="78" w:name="Tc_w8pdoCqdRESsJrNdVYmEww_21_0"/>
      <w:bookmarkStart w:id="79" w:name="Tc_DmCHYahMyE63KZHo7xgRug_20_0"/>
      <w:bookmarkStart w:id="80" w:name="Tc_QkC5Rv-YDUqL-GM0qX0fZw_19_5"/>
      <w:bookmarkStart w:id="81" w:name="Tc_BkYYiBQSDUWNmmVglrZa9w_19_2"/>
      <w:bookmarkStart w:id="82" w:name="Tc_irZLVuThWUS6QU8a7nwaDA_19_0"/>
      <w:bookmarkStart w:id="83" w:name="Tc_XvHSLV-IGUWOpAr5IOZXuQ_18_0"/>
      <w:bookmarkStart w:id="84" w:name="Tc_OxvfofRwO0qhnj4Ap36Ukg_17_0"/>
      <w:bookmarkStart w:id="85" w:name="Tc__AO4ChjyP0a8Jo_p6UDhlQ_16_0"/>
      <w:bookmarkStart w:id="86" w:name="Tc_rShymDBa1E-cT71tA4lNEQ_15_0"/>
      <w:bookmarkStart w:id="87" w:name="Tc_6pxXp3UzL0uC7oQidQQ1Qg_14_0"/>
      <w:bookmarkStart w:id="88" w:name="Tc_KHC5UMt8Qk67DRv28Gjj6w_13_0"/>
      <w:bookmarkStart w:id="89" w:name="Tc__jZEIIduhU6CzLWqyqMKDg_12_0"/>
      <w:bookmarkStart w:id="90" w:name="Tc_Y3E9u9RZGkqpPrjwmsf06w_11_0"/>
      <w:bookmarkStart w:id="91" w:name="Tc_c2Ujh8ss4ESp7EI3B_8-FA_10_0"/>
      <w:bookmarkStart w:id="92" w:name="Tc_3wD1p4fbEUmj0ijPBzRy9g_9_0"/>
      <w:bookmarkStart w:id="93" w:name="Tc_uXGbfYp6BkS_QTg__OelYg_8_0"/>
      <w:bookmarkStart w:id="94" w:name="Tc_Wl5lRJFDNE6zyJJ5JWm3dA_7_0"/>
      <w:bookmarkStart w:id="95" w:name="Tc_6q10CAQsUEC49Z_iAJ5dKw_6_0"/>
      <w:bookmarkStart w:id="96" w:name="Tc_mR8NVmZTV0C1lxjjjif_4Q_5_5"/>
      <w:bookmarkStart w:id="97" w:name="Tc__tozReZuO02lqlhXVfEyqg_5_2"/>
      <w:bookmarkStart w:id="98" w:name="Tc_ZyepqpaMMky4rGCcNvi4Kg_5_0"/>
      <w:bookmarkStart w:id="99" w:name="Tc_0D0Xmz5vjkG_eHkooV_Bwg_4_0"/>
      <w:bookmarkStart w:id="100" w:name="Tc_0U4L1nu850m24xi3iTiIkQ_3_0"/>
      <w:bookmarkStart w:id="101" w:name="Tc_thIk44S3eEq3xJhcht3-lg_2_5"/>
      <w:bookmarkStart w:id="102" w:name="Tc__3rfMk7n2k2xKQK-FR6vKQ_2_2"/>
      <w:bookmarkStart w:id="103" w:name="Tc_w24Ol12Hg0a8MDSrfD56fw_1_5"/>
      <w:bookmarkStart w:id="104" w:name="Tc_isShvD-WEUm3EcP0WhL91w_1_2"/>
      <w:bookmarkStart w:id="105" w:name="_aaff082b_7635_44cb_8d6f_041faac73a23"/>
      <w:bookmarkStart w:id="106" w:name="Tc_3Ka-U8_KjEi-9vQBwWqXsA_39_5"/>
      <w:bookmarkStart w:id="107" w:name="Tc_hT01kSSDbU-0n2nzZf08eg_39_2"/>
      <w:bookmarkStart w:id="108" w:name="Tc_NLo2wDF0gU-A60bnGtxa8g_39_0"/>
      <w:bookmarkStart w:id="109" w:name="Tc_EsPDZa1lF0aSVhJz_b36vA_38_0"/>
      <w:bookmarkStart w:id="110" w:name="Tc_-onqhk31G0KzUjXpis3rkw_37_0"/>
      <w:bookmarkStart w:id="111" w:name="Tc_e1Zg7lj1gEe-j0nJMw-OwQ_36_0"/>
      <w:bookmarkStart w:id="112" w:name="Tc_igOZMHgjBEecGQzu1UIKVA_35_0"/>
      <w:bookmarkStart w:id="113" w:name="_5004f9ad_97d8_4d4a_8d55_fb21bb0df282_3"/>
      <w:bookmarkStart w:id="114" w:name="_5004f9ad_97d8_4d4a_8d55_fb21bb0df282_2"/>
      <w:bookmarkStart w:id="115" w:name="_5004f9ad_97d8_4d4a_8d55_fb21bb0df282"/>
      <w:bookmarkStart w:id="116" w:name="Tc_NJJIuaiFNE2DTM1RCUqVyg_34_0"/>
      <w:bookmarkStart w:id="117" w:name="Tc_Grjy01b9YkSePqMTvLXVXw_33_0"/>
      <w:bookmarkStart w:id="118" w:name="Tc_C47CP_WE_U-4TuYHaGSAmw_32_0"/>
      <w:bookmarkStart w:id="119" w:name="Tc_6VUmhCF9RkGhfwVeS_x6eQ_31_0"/>
      <w:bookmarkStart w:id="120" w:name="Tc_zSc_qteEeE-KWDykaYfylw_30_0"/>
      <w:bookmarkStart w:id="121" w:name="Tc_zWKvh_ovhk-jm86oQB11PQ_29_0"/>
      <w:bookmarkStart w:id="122" w:name="Tc_Ip5ZUY7S3Ua9jxdttDLlHg_28_0"/>
      <w:bookmarkStart w:id="123" w:name="Tc_f4A7RCEgm0-_Ot0cguIAiA_27_0"/>
      <w:bookmarkStart w:id="124" w:name="Tc_Coyyly7Wf0yg74vSb-7qEQ_26_3"/>
      <w:bookmarkStart w:id="125" w:name="Tc_sE-hMKdO4kybLmCAeXAw6A_26_0"/>
      <w:bookmarkStart w:id="126" w:name="Tc_dgZq3iIypkGJwOKfSLj_pw_25_0"/>
      <w:bookmarkStart w:id="127" w:name="Tc_74gLmEDXnEWyxAwf9B-d7A_24_0"/>
      <w:bookmarkStart w:id="128" w:name="Tc_7Cx99Jx690WO-JiTrgM3Lg_23_0"/>
      <w:bookmarkStart w:id="129" w:name="Tc_kNKS6UzM50yyRoyRF-BZCg_22_5"/>
      <w:bookmarkStart w:id="130" w:name="Tc_1JQsEmw62E6fYyinYjYF2Q_22_2"/>
      <w:bookmarkStart w:id="131" w:name="Tc_ScRiz0merEODBIG3nllMgA_22_0"/>
      <w:bookmarkStart w:id="132" w:name="Tc_w8pdoCqdRESsJrNdVYmEww_21_0"/>
      <w:bookmarkStart w:id="133" w:name="Tc_DmCHYahMyE63KZHo7xgRug_20_0"/>
      <w:bookmarkStart w:id="134" w:name="Tc_QkC5Rv-YDUqL-GM0qX0fZw_19_5"/>
      <w:bookmarkStart w:id="135" w:name="Tc_BkYYiBQSDUWNmmVglrZa9w_19_2"/>
      <w:bookmarkStart w:id="136" w:name="Tc_irZLVuThWUS6QU8a7nwaDA_19_0"/>
      <w:bookmarkStart w:id="137" w:name="Tc_XvHSLV-IGUWOpAr5IOZXuQ_18_0"/>
      <w:bookmarkStart w:id="138" w:name="Tc_OxvfofRwO0qhnj4Ap36Ukg_17_0"/>
      <w:bookmarkStart w:id="139" w:name="Tc__AO4ChjyP0a8Jo_p6UDhlQ_16_0"/>
      <w:bookmarkStart w:id="140" w:name="Tc_rShymDBa1E-cT71tA4lNEQ_15_0"/>
      <w:bookmarkStart w:id="141" w:name="Tc_6pxXp3UzL0uC7oQidQQ1Qg_14_0"/>
      <w:bookmarkStart w:id="142" w:name="Tc_KHC5UMt8Qk67DRv28Gjj6w_13_0"/>
      <w:bookmarkStart w:id="143" w:name="Tc__jZEIIduhU6CzLWqyqMKDg_12_0"/>
      <w:bookmarkStart w:id="144" w:name="Tc_Y3E9u9RZGkqpPrjwmsf06w_11_0"/>
      <w:bookmarkStart w:id="145" w:name="Tc_c2Ujh8ss4ESp7EI3B_8-FA_10_0"/>
      <w:bookmarkStart w:id="146" w:name="Tc_3wD1p4fbEUmj0ijPBzRy9g_9_0"/>
      <w:bookmarkStart w:id="147" w:name="Tc_uXGbfYp6BkS_QTg__OelYg_8_0"/>
      <w:bookmarkStart w:id="148" w:name="Tc_Wl5lRJFDNE6zyJJ5JWm3dA_7_0"/>
      <w:bookmarkStart w:id="149" w:name="Tc_6q10CAQsUEC49Z_iAJ5dKw_6_0"/>
      <w:bookmarkStart w:id="150" w:name="Tc_mR8NVmZTV0C1lxjjjif_4Q_5_5"/>
      <w:bookmarkStart w:id="151" w:name="Tc__tozReZuO02lqlhXVfEyqg_5_2"/>
      <w:bookmarkStart w:id="152" w:name="Tc_ZyepqpaMMky4rGCcNvi4Kg_5_0"/>
      <w:bookmarkStart w:id="153" w:name="Tc_0D0Xmz5vjkG_eHkooV_Bwg_4_0"/>
      <w:bookmarkStart w:id="154" w:name="Tc_0U4L1nu850m24xi3iTiIkQ_3_0"/>
      <w:bookmarkStart w:id="155" w:name="Tc_thIk44S3eEq3xJhcht3-lg_2_5"/>
      <w:bookmarkStart w:id="156" w:name="Tc__3rfMk7n2k2xKQK-FR6vKQ_2_2"/>
      <w:bookmarkStart w:id="157" w:name="Tc_w24Ol12Hg0a8MDSrfD56fw_1_5"/>
      <w:bookmarkStart w:id="158" w:name="Tc_isShvD-WEUm3EcP0WhL91w_1_2"/>
      <w:bookmarkStart w:id="159" w:name="_aaff082b_7635_44cb_8d6f_041faac73a23"/>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tbl>
      <w:tblPr>
        <w:tblW w:w="10205" w:type="dxa"/>
        <w:jc w:val="left"/>
        <w:tblInd w:w="0" w:type="dxa"/>
        <w:tblLayout w:type="fixed"/>
        <w:tblCellMar>
          <w:top w:w="0" w:type="dxa"/>
          <w:left w:w="0" w:type="dxa"/>
          <w:bottom w:w="0" w:type="dxa"/>
          <w:right w:w="0" w:type="dxa"/>
        </w:tblCellMar>
      </w:tblPr>
      <w:tblGrid>
        <w:gridCol w:w="7144"/>
        <w:gridCol w:w="326"/>
        <w:gridCol w:w="211"/>
        <w:gridCol w:w="880"/>
        <w:gridCol w:w="326"/>
        <w:gridCol w:w="217"/>
        <w:gridCol w:w="945"/>
        <w:gridCol w:w="156"/>
      </w:tblGrid>
      <w:tr>
        <w:trPr/>
        <w:tc>
          <w:tcPr>
            <w:tcW w:w="7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536440" cy="175260"/>
                      <wp:effectExtent l="0" t="0" r="0" b="0"/>
                      <wp:wrapNone/>
                      <wp:docPr id="7" name="Frame7"/>
                      <a:graphic xmlns:a="http://schemas.openxmlformats.org/drawingml/2006/main">
                        <a:graphicData uri="http://schemas.microsoft.com/office/word/2010/wordprocessingShape">
                          <wps:wsp>
                            <wps:cNvSpPr txBox="1"/>
                            <wps:spPr>
                              <a:xfrm>
                                <a:off x="0" y="0"/>
                                <a:ext cx="453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8800" cy="175260"/>
                      <wp:effectExtent l="0" t="0" r="0" b="0"/>
                      <wp:wrapNone/>
                      <wp:docPr id="10" name="Frame10"/>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7795" cy="175260"/>
                      <wp:effectExtent l="0" t="0" r="0" b="0"/>
                      <wp:wrapNone/>
                      <wp:docPr id="12" name="Frame1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00075" cy="175260"/>
                      <wp:effectExtent l="0" t="0" r="0" b="0"/>
                      <wp:wrapNone/>
                      <wp:docPr id="13" name="Frame13"/>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9060" cy="175260"/>
                      <wp:effectExtent l="0" t="0" r="0" b="0"/>
                      <wp:wrapNone/>
                      <wp:docPr id="14" name="Frame14"/>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16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6" w:type="dxa"/>
            <w:tcBorders/>
            <w:vAlign w:val="center"/>
          </w:tcPr>
          <w:p>
            <w:pPr>
              <w:pStyle w:val="TableContents"/>
              <w:bidi w:val="0"/>
              <w:spacing w:before="0" w:after="1"/>
              <w:ind w:left="0" w:right="0" w:hanging="0"/>
              <w:jc w:val="center"/>
              <w:rPr/>
            </w:pPr>
            <w:r>
              <w:rPr/>
              <w:t>​</w:t>
            </w:r>
          </w:p>
        </w:tc>
      </w:tr>
      <w:tr>
        <w:trPr/>
        <w:tc>
          <w:tcPr>
            <w:tcW w:w="71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6" w:type="dxa"/>
            <w:tcBorders/>
            <w:vAlign w:val="center"/>
          </w:tcPr>
          <w:p>
            <w:pPr>
              <w:pStyle w:val="TableContents"/>
              <w:bidi w:val="0"/>
              <w:spacing w:before="0" w:after="1"/>
              <w:ind w:left="0" w:right="0" w:hanging="0"/>
              <w:jc w:val="center"/>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55,443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70,340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9,452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13,591</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9,142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8,899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net investments in sales-type leases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1,257</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1,538</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prepaid commission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note receivables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1,498</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81,107</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98,769</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3,193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3,327</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investments in sales-type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Prepaid commission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7,643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7,568</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note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5,189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3,493</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3,645</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103,604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116,884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4,970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2,433</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7,440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14,837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1,980</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long-term debt,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13,125</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15,130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33,199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36,641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22,829</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2,817</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2,967</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55,259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59,824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 (Note 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Arial;Helvetica;sans-serif" w:hAnsi="Arial;Helvetica;sans-serif"/>
                <w:sz w:val="20"/>
              </w:rPr>
              <w:t>Preferred stock, $0.01</w:t>
            </w:r>
            <w:r>
              <w:rPr>
                <w:rFonts w:ascii="Times New Roman;Times;serif" w:hAnsi="Times New Roman;Times;serif"/>
                <w:sz w:val="20"/>
              </w:rPr>
              <w:t xml:space="preserve"> </w:t>
            </w:r>
            <w:r>
              <w:rPr>
                <w:rFonts w:ascii="Arial;Helvetica;sans-serif" w:hAnsi="Arial;Helvetica;sans-serif"/>
                <w:sz w:val="20"/>
              </w:rPr>
              <w:t>par value: 10,000</w:t>
            </w:r>
            <w:r>
              <w:rPr>
                <w:rFonts w:ascii="Times New Roman;Times;serif" w:hAnsi="Times New Roman;Times;serif"/>
                <w:sz w:val="20"/>
              </w:rPr>
              <w:t xml:space="preserve"> </w:t>
            </w:r>
            <w:r>
              <w:rPr>
                <w:rFonts w:ascii="Arial;Helvetica;sans-serif" w:hAnsi="Arial;Helvetica;sans-serif"/>
                <w:sz w:val="20"/>
              </w:rPr>
              <w:t>shares authorized; no</w:t>
            </w:r>
            <w:r>
              <w:rPr>
                <w:rFonts w:ascii="Times New Roman;Times;serif" w:hAnsi="Times New Roman;Times;serif"/>
                <w:sz w:val="20"/>
              </w:rPr>
              <w:t xml:space="preserve"> </w:t>
            </w:r>
            <w:r>
              <w:rPr>
                <w:rFonts w:ascii="Arial;Helvetica;sans-serif" w:hAnsi="Arial;Helvetica;sans-serif"/>
                <w:sz w:val="20"/>
              </w:rPr>
              <w:t>shares issued</w:t>
            </w:r>
            <w:r>
              <w:rPr>
                <w:rFonts w:ascii="Times New Roman;Times;serif" w:hAnsi="Times New Roman;Times;serif"/>
                <w:sz w:val="20"/>
              </w:rPr>
              <w:t xml:space="preserve"> </w:t>
            </w:r>
            <w:r>
              <w:rPr>
                <w:rFonts w:ascii="Arial;Helvetica;sans-serif" w:hAnsi="Arial;Helvetica;sans-serif"/>
                <w:sz w:val="20"/>
              </w:rPr>
              <w:t>or outstanding on March 31, 2023 and December 31, 2022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Arial;Helvetica;sans-serif" w:hAnsi="Arial;Helvetica;sans-serif"/>
                <w:sz w:val="20"/>
              </w:rPr>
              <w:t>Common stock, $0.01</w:t>
            </w:r>
            <w:r>
              <w:rPr>
                <w:rFonts w:ascii="Times New Roman;Times;serif" w:hAnsi="Times New Roman;Times;serif"/>
                <w:sz w:val="20"/>
              </w:rPr>
              <w:t xml:space="preserve"> </w:t>
            </w:r>
            <w:r>
              <w:rPr>
                <w:rFonts w:ascii="Arial;Helvetica;sans-serif" w:hAnsi="Arial;Helvetica;sans-serif"/>
                <w:sz w:val="20"/>
              </w:rPr>
              <w:t>par value: 200,000</w:t>
            </w:r>
            <w:r>
              <w:rPr>
                <w:rFonts w:ascii="Times New Roman;Times;serif" w:hAnsi="Times New Roman;Times;serif"/>
                <w:sz w:val="20"/>
              </w:rPr>
              <w:t xml:space="preserve"> </w:t>
            </w:r>
            <w:r>
              <w:rPr>
                <w:rFonts w:ascii="Arial;Helvetica;sans-serif" w:hAnsi="Arial;Helvetica;sans-serif"/>
                <w:sz w:val="20"/>
              </w:rPr>
              <w:t>shares authorized; 28,465</w:t>
            </w:r>
            <w:r>
              <w:rPr>
                <w:rFonts w:ascii="Times New Roman;Times;serif" w:hAnsi="Times New Roman;Times;serif"/>
                <w:sz w:val="20"/>
              </w:rPr>
              <w:t xml:space="preserve"> </w:t>
            </w:r>
            <w:r>
              <w:rPr>
                <w:rFonts w:ascii="Arial;Helvetica;sans-serif" w:hAnsi="Arial;Helvetica;sans-serif"/>
                <w:sz w:val="20"/>
              </w:rPr>
              <w:t>and 27,268</w:t>
            </w:r>
            <w:r>
              <w:rPr>
                <w:rFonts w:ascii="Times New Roman;Times;serif" w:hAnsi="Times New Roman;Times;serif"/>
                <w:sz w:val="20"/>
              </w:rPr>
              <w:t xml:space="preserve"> </w:t>
            </w:r>
            <w:r>
              <w:rPr>
                <w:rFonts w:ascii="Arial;Helvetica;sans-serif" w:hAnsi="Arial;Helvetica;sans-serif"/>
                <w:sz w:val="20"/>
              </w:rPr>
              <w:t xml:space="preserve">shares </w:t>
            </w:r>
            <w:r>
              <w:rPr>
                <w:rFonts w:ascii="Arial;Helvetica;sans-serif" w:hAnsi="Arial;Helvetica;sans-serif"/>
                <w:b w:val="false"/>
                <w:i w:val="false"/>
                <w:caps w:val="false"/>
                <w:smallCaps w:val="false"/>
                <w:sz w:val="20"/>
              </w:rPr>
              <w:t>issued</w:t>
            </w:r>
            <w:r>
              <w:rPr>
                <w:rFonts w:ascii="Times New Roman;Times;serif" w:hAnsi="Times New Roman;Times;serif"/>
                <w:sz w:val="20"/>
              </w:rPr>
              <w:t xml:space="preserve"> </w:t>
            </w:r>
            <w:r>
              <w:rPr>
                <w:rFonts w:ascii="Arial;Helvetica;sans-serif" w:hAnsi="Arial;Helvetica;sans-serif"/>
                <w:sz w:val="20"/>
              </w:rPr>
              <w:t xml:space="preserve">and </w:t>
            </w:r>
            <w:r>
              <w:rPr>
                <w:rFonts w:ascii="Arial;Helvetica;sans-serif" w:hAnsi="Arial;Helvetica;sans-serif"/>
                <w:b w:val="false"/>
                <w:i w:val="false"/>
                <w:caps w:val="false"/>
                <w:smallCaps w:val="false"/>
                <w:sz w:val="20"/>
              </w:rPr>
              <w:t>outstanding</w:t>
            </w:r>
            <w:r>
              <w:rPr>
                <w:rFonts w:ascii="Times New Roman;Times;serif" w:hAnsi="Times New Roman;Times;serif"/>
                <w:sz w:val="20"/>
              </w:rPr>
              <w:t xml:space="preserve"> </w:t>
            </w:r>
            <w:r>
              <w:rPr>
                <w:rFonts w:ascii="Arial;Helvetica;sans-serif" w:hAnsi="Arial;Helvetica;sans-serif"/>
                <w:sz w:val="20"/>
              </w:rPr>
              <w:t>on March 31,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404,472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402,679</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(356,412)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(345,892)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4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48,345</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57,060</w:t>
            </w:r>
          </w:p>
        </w:tc>
        <w:tc>
          <w:tcPr>
            <w:tcW w:w="156" w:type="dxa"/>
            <w:tcBorders/>
            <w:vAlign w:val="center"/>
          </w:tcPr>
          <w:p>
            <w:pPr>
              <w:pStyle w:val="TableContents"/>
              <w:bidi w:val="0"/>
              <w:spacing w:before="0" w:after="1"/>
              <w:ind w:left="0" w:right="0" w:hanging="0"/>
              <w:jc w:val="left"/>
              <w:rPr/>
            </w:pPr>
            <w:r>
              <w:rPr/>
              <w:t>​</w:t>
            </w:r>
          </w:p>
        </w:tc>
      </w:tr>
      <w:tr>
        <w:trPr/>
        <w:tc>
          <w:tcPr>
            <w:tcW w:w="714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103,604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116,884</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9"/>
        </w:rPr>
      </w:pPr>
      <w:r>
        <w:rPr>
          <w:rFonts w:ascii="Arial;Helvetica;sans-serif" w:hAnsi="Arial;Helvetica;sans-serif"/>
          <w:sz w:val="19"/>
        </w:rPr>
        <w:t>The accompanying notes are an integral part of these unaudited interim financial statements.</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60" w:name="_4cd880bd_a661_42ac_9ff0_3abfc486430c"/>
      <w:bookmarkEnd w:id="160"/>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161" w:name="StatementsofOperations_587719"/>
      <w:bookmarkEnd w:id="161"/>
      <w:r>
        <w:rPr>
          <w:rFonts w:ascii="Arial;Helvetica;sans-serif" w:hAnsi="Arial;Helvetica;sans-serif"/>
          <w:b/>
          <w:sz w:val="20"/>
        </w:rPr>
        <w:t>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 except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62" w:name="Tc_ZT2vj6EouUal6HPvMkJKoA_18_0"/>
      <w:bookmarkStart w:id="163" w:name="Tc_AuKnOAJGUkCx-uhUMJ0Yxg_17_5"/>
      <w:bookmarkStart w:id="164" w:name="Tc_vmroQcse20a_B9pSVSNk1w_17_2"/>
      <w:bookmarkStart w:id="165" w:name="Tc_4Wsp-uaixkKp73oHklUz8w_17_0"/>
      <w:bookmarkStart w:id="166" w:name="Tc_iUpqRaxgfkyXPFFu2l7IUw_16_5"/>
      <w:bookmarkStart w:id="167" w:name="Tc_4hhDIk4-eEWK1q3ANAXfHg_16_2"/>
      <w:bookmarkStart w:id="168" w:name="Tc_l562YETyKECSOnod4Vcx1A_16_0"/>
      <w:bookmarkStart w:id="169" w:name="Tc_Pyl0Othca0u9YlWIBs_GTQ_15_0"/>
      <w:bookmarkStart w:id="170" w:name="Tc_jeeMXvDookSfKVOl4Oq8EQ_14_0"/>
      <w:bookmarkStart w:id="171" w:name="Tc_YsA3MzgIDUmQoZoCD34y6g_13_0"/>
      <w:bookmarkStart w:id="172" w:name="Tc_1HB_41-PjE62Co_IAiWhmw_12_0"/>
      <w:bookmarkStart w:id="173" w:name="Tc_9kHYT2keM0WWOUWtyJN-xQ_11_0"/>
      <w:bookmarkStart w:id="174" w:name="Tc_7URGki1rDkK3fOweuD8tIA_10_0"/>
      <w:bookmarkStart w:id="175" w:name="Tc_wKz9giGVK0KXxpDbzYTYkA_9_0"/>
      <w:bookmarkStart w:id="176" w:name="Tc_EJ9KangiVE-Gp27tvIsUhw_8_0"/>
      <w:bookmarkStart w:id="177" w:name="Tc_OofDEsMjQEO15J5nBr_urw_7_0"/>
      <w:bookmarkStart w:id="178" w:name="Tc_C6XIdC78MEKiEa8ZOilvbA_6_0"/>
      <w:bookmarkStart w:id="179" w:name="Tc_yVTQnMCGcUWkv0wtuYh7dQ_5_0"/>
      <w:bookmarkStart w:id="180" w:name="Tc_q1mtg0-YBEa9v6AiGPQGdw_4_5"/>
      <w:bookmarkStart w:id="181" w:name="Tc_QlIThUA3TECVQyRprNCDtg_4_2"/>
      <w:bookmarkStart w:id="182" w:name="Tc_BGLXM5P-ZUiW1251qYnRAg_4_0"/>
      <w:bookmarkStart w:id="183" w:name="Tc_hNiWpwjUeUmgrgduKflPjg_3_5"/>
      <w:bookmarkStart w:id="184" w:name="Tc_iYS3KHebV0qX943C-n-hXA_3_2"/>
      <w:bookmarkStart w:id="185" w:name="Tc_37MpAvUPP0WUtAln5IwsMg_2_2"/>
      <w:bookmarkStart w:id="186" w:name="Tc_9b8L7vUlkEWh0EAsPuG4nw_1_2"/>
      <w:bookmarkStart w:id="187" w:name="_419ae29e_2ba3_4e2c_bb44_7608597810fc"/>
      <w:bookmarkStart w:id="188" w:name="_c92c311b_39dd_4a12_bf4d_41e8d7b79287"/>
      <w:bookmarkStart w:id="189" w:name="Tc_ZT2vj6EouUal6HPvMkJKoA_18_0"/>
      <w:bookmarkStart w:id="190" w:name="Tc_AuKnOAJGUkCx-uhUMJ0Yxg_17_5"/>
      <w:bookmarkStart w:id="191" w:name="Tc_vmroQcse20a_B9pSVSNk1w_17_2"/>
      <w:bookmarkStart w:id="192" w:name="Tc_4Wsp-uaixkKp73oHklUz8w_17_0"/>
      <w:bookmarkStart w:id="193" w:name="Tc_iUpqRaxgfkyXPFFu2l7IUw_16_5"/>
      <w:bookmarkStart w:id="194" w:name="Tc_4hhDIk4-eEWK1q3ANAXfHg_16_2"/>
      <w:bookmarkStart w:id="195" w:name="Tc_l562YETyKECSOnod4Vcx1A_16_0"/>
      <w:bookmarkStart w:id="196" w:name="Tc_Pyl0Othca0u9YlWIBs_GTQ_15_0"/>
      <w:bookmarkStart w:id="197" w:name="Tc_jeeMXvDookSfKVOl4Oq8EQ_14_0"/>
      <w:bookmarkStart w:id="198" w:name="Tc_YsA3MzgIDUmQoZoCD34y6g_13_0"/>
      <w:bookmarkStart w:id="199" w:name="Tc_1HB_41-PjE62Co_IAiWhmw_12_0"/>
      <w:bookmarkStart w:id="200" w:name="Tc_9kHYT2keM0WWOUWtyJN-xQ_11_0"/>
      <w:bookmarkStart w:id="201" w:name="Tc_7URGki1rDkK3fOweuD8tIA_10_0"/>
      <w:bookmarkStart w:id="202" w:name="Tc_wKz9giGVK0KXxpDbzYTYkA_9_0"/>
      <w:bookmarkStart w:id="203" w:name="Tc_EJ9KangiVE-Gp27tvIsUhw_8_0"/>
      <w:bookmarkStart w:id="204" w:name="Tc_OofDEsMjQEO15J5nBr_urw_7_0"/>
      <w:bookmarkStart w:id="205" w:name="Tc_C6XIdC78MEKiEa8ZOilvbA_6_0"/>
      <w:bookmarkStart w:id="206" w:name="Tc_yVTQnMCGcUWkv0wtuYh7dQ_5_0"/>
      <w:bookmarkStart w:id="207" w:name="Tc_q1mtg0-YBEa9v6AiGPQGdw_4_5"/>
      <w:bookmarkStart w:id="208" w:name="Tc_QlIThUA3TECVQyRprNCDtg_4_2"/>
      <w:bookmarkStart w:id="209" w:name="Tc_BGLXM5P-ZUiW1251qYnRAg_4_0"/>
      <w:bookmarkStart w:id="210" w:name="Tc_hNiWpwjUeUmgrgduKflPjg_3_5"/>
      <w:bookmarkStart w:id="211" w:name="Tc_iYS3KHebV0qX943C-n-hXA_3_2"/>
      <w:bookmarkStart w:id="212" w:name="Tc_37MpAvUPP0WUtAln5IwsMg_2_2"/>
      <w:bookmarkStart w:id="213" w:name="Tc_9b8L7vUlkEWh0EAsPuG4nw_1_2"/>
      <w:bookmarkStart w:id="214" w:name="_419ae29e_2ba3_4e2c_bb44_7608597810fc"/>
      <w:bookmarkStart w:id="215" w:name="_c92c311b_39dd_4a12_bf4d_41e8d7b79287"/>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tbl>
      <w:tblPr>
        <w:tblW w:w="8791" w:type="dxa"/>
        <w:jc w:val="left"/>
        <w:tblInd w:w="0" w:type="dxa"/>
        <w:tblLayout w:type="fixed"/>
        <w:tblCellMar>
          <w:top w:w="0" w:type="dxa"/>
          <w:left w:w="0" w:type="dxa"/>
          <w:bottom w:w="0" w:type="dxa"/>
          <w:right w:w="0" w:type="dxa"/>
        </w:tblCellMar>
      </w:tblPr>
      <w:tblGrid>
        <w:gridCol w:w="5941"/>
        <w:gridCol w:w="326"/>
        <w:gridCol w:w="211"/>
        <w:gridCol w:w="811"/>
        <w:gridCol w:w="326"/>
        <w:gridCol w:w="211"/>
        <w:gridCol w:w="811"/>
        <w:gridCol w:w="154"/>
      </w:tblGrid>
      <w:tr>
        <w:trPr/>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772535" cy="175260"/>
                      <wp:effectExtent l="0" t="0" r="0" b="0"/>
                      <wp:wrapNone/>
                      <wp:docPr id="15" name="Frame15"/>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14985" cy="175260"/>
                      <wp:effectExtent l="0" t="0" r="0" b="0"/>
                      <wp:wrapNone/>
                      <wp:docPr id="18" name="Frame1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14985" cy="175260"/>
                      <wp:effectExtent l="0" t="0" r="0" b="0"/>
                      <wp:wrapNone/>
                      <wp:docPr id="21" name="Frame2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7790" cy="175260"/>
                      <wp:effectExtent l="0" t="0" r="0" b="0"/>
                      <wp:wrapNone/>
                      <wp:docPr id="22" name="Frame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7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54" w:type="dxa"/>
            <w:tcBorders/>
            <w:vAlign w:val="center"/>
          </w:tcPr>
          <w:p>
            <w:pPr>
              <w:pStyle w:val="TableContents"/>
              <w:bidi w:val="0"/>
              <w:spacing w:before="0" w:after="1"/>
              <w:ind w:left="0" w:right="0" w:hanging="0"/>
              <w:jc w:val="center"/>
              <w:rPr/>
            </w:pPr>
            <w:r>
              <w:rPr/>
              <w:t>​</w:t>
            </w:r>
          </w:p>
        </w:tc>
      </w:tr>
      <w:tr>
        <w:trPr/>
        <w:tc>
          <w:tcPr>
            <w:tcW w:w="5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154" w:type="dxa"/>
            <w:tcBorders/>
            <w:vAlign w:val="center"/>
          </w:tcPr>
          <w:p>
            <w:pPr>
              <w:pStyle w:val="TableContents"/>
              <w:bidi w:val="0"/>
              <w:spacing w:before="0" w:after="1"/>
              <w:ind w:left="0" w:right="0" w:hanging="0"/>
              <w:jc w:val="center"/>
              <w:rPr/>
            </w:pPr>
            <w:r>
              <w:rPr/>
              <w:t>​</w:t>
            </w:r>
          </w:p>
        </w:tc>
      </w:tr>
      <w:tr>
        <w:trPr/>
        <w:tc>
          <w:tcPr>
            <w:tcW w:w="5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center"/>
              <w:rPr/>
            </w:pPr>
            <w:r>
              <w:rPr/>
              <w:t>​</w:t>
            </w:r>
          </w:p>
        </w:tc>
      </w:tr>
      <w:tr>
        <w:trPr/>
        <w:tc>
          <w:tcPr>
            <w:tcW w:w="5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15,540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14,181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3,485</w:t>
            </w:r>
          </w:p>
        </w:tc>
        <w:tc>
          <w:tcPr>
            <w:tcW w:w="154" w:type="dxa"/>
            <w:tcBorders/>
            <w:vAlign w:val="center"/>
          </w:tcPr>
          <w:p>
            <w:pPr>
              <w:pStyle w:val="TableContents"/>
              <w:bidi w:val="0"/>
              <w:spacing w:before="0" w:after="1"/>
              <w:ind w:left="0" w:right="0" w:hanging="0"/>
              <w:jc w:val="left"/>
              <w:rPr/>
            </w:pPr>
            <w:r>
              <w:rPr/>
              <w:t>​</w:t>
            </w:r>
          </w:p>
        </w:tc>
      </w:tr>
      <w:tr>
        <w:trPr/>
        <w:tc>
          <w:tcPr>
            <w:tcW w:w="5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10,696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5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12,649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6,379</w:t>
            </w:r>
          </w:p>
        </w:tc>
        <w:tc>
          <w:tcPr>
            <w:tcW w:w="154" w:type="dxa"/>
            <w:tcBorders/>
            <w:vAlign w:val="center"/>
          </w:tcPr>
          <w:p>
            <w:pPr>
              <w:pStyle w:val="TableContents"/>
              <w:bidi w:val="0"/>
              <w:spacing w:before="0" w:after="1"/>
              <w:ind w:left="0" w:right="0" w:hanging="0"/>
              <w:jc w:val="left"/>
              <w:rPr/>
            </w:pPr>
            <w:r>
              <w:rPr/>
              <w:t>​</w:t>
            </w:r>
          </w:p>
        </w:tc>
      </w:tr>
      <w:tr>
        <w:trPr/>
        <w:tc>
          <w:tcPr>
            <w:tcW w:w="5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21,303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20,831</w:t>
            </w:r>
          </w:p>
        </w:tc>
        <w:tc>
          <w:tcPr>
            <w:tcW w:w="154" w:type="dxa"/>
            <w:tcBorders/>
            <w:vAlign w:val="center"/>
          </w:tcPr>
          <w:p>
            <w:pPr>
              <w:pStyle w:val="TableContents"/>
              <w:bidi w:val="0"/>
              <w:spacing w:before="0" w:after="1"/>
              <w:ind w:left="0" w:right="0" w:hanging="0"/>
              <w:jc w:val="left"/>
              <w:rPr/>
            </w:pPr>
            <w:r>
              <w:rPr/>
              <w:t>​</w:t>
            </w:r>
          </w:p>
        </w:tc>
      </w:tr>
      <w:tr>
        <w:trPr/>
        <w:tc>
          <w:tcPr>
            <w:tcW w:w="5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(10,135)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5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w:t>
            </w:r>
          </w:p>
        </w:tc>
        <w:tc>
          <w:tcPr>
            <w:tcW w:w="154" w:type="dxa"/>
            <w:tcBorders/>
            <w:vAlign w:val="center"/>
          </w:tcPr>
          <w:p>
            <w:pPr>
              <w:pStyle w:val="TableContents"/>
              <w:bidi w:val="0"/>
              <w:spacing w:before="0" w:after="1"/>
              <w:ind w:left="0" w:right="0" w:hanging="0"/>
              <w:jc w:val="left"/>
              <w:rPr/>
            </w:pPr>
            <w:r>
              <w:rPr/>
              <w:t>​</w:t>
            </w:r>
          </w:p>
        </w:tc>
      </w:tr>
      <w:tr>
        <w:trPr/>
        <w:tc>
          <w:tcPr>
            <w:tcW w:w="5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per share of common stock outstanding,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(0.41)</w:t>
            </w:r>
          </w:p>
        </w:tc>
        <w:tc>
          <w:tcPr>
            <w:tcW w:w="154" w:type="dxa"/>
            <w:tcBorders/>
            <w:vAlign w:val="center"/>
          </w:tcPr>
          <w:p>
            <w:pPr>
              <w:pStyle w:val="TableContents"/>
              <w:bidi w:val="0"/>
              <w:spacing w:before="0" w:after="1"/>
              <w:ind w:left="0" w:right="0" w:hanging="0"/>
              <w:jc w:val="left"/>
              <w:rPr/>
            </w:pPr>
            <w:r>
              <w:rPr/>
              <w:t>​</w:t>
            </w:r>
          </w:p>
        </w:tc>
      </w:tr>
      <w:tr>
        <w:trPr/>
        <w:tc>
          <w:tcPr>
            <w:tcW w:w="5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Weighted-average common shares outstanding,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28,034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26,597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16" w:name="_46daedcc_d120_4a6e_b7f5_340b136c5b17"/>
      <w:bookmarkEnd w:id="216"/>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217" w:name="StatementofChangesinStockholders_240276"/>
      <w:bookmarkEnd w:id="217"/>
      <w:r>
        <w:rPr>
          <w:rFonts w:ascii="Arial;Helvetica;sans-serif" w:hAnsi="Arial;Helvetica;sans-serif"/>
          <w:b/>
          <w:sz w:val="20"/>
        </w:rPr>
        <w:t>Statements of Changes in Stockholders’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18" w:name="Tc_WoVe2z-voEC9GqTQPI27Fg_14_13"/>
      <w:bookmarkStart w:id="219" w:name="Tc_ugcnbS5vX0GhStag_Txl6Q_14_10"/>
      <w:bookmarkStart w:id="220" w:name="Tc_Pugt-0wiw0eyrRD_EJI6lg_14_7"/>
      <w:bookmarkStart w:id="221" w:name="Tc_RTtXJRi0uEu90p9Ithmvwg_14_4"/>
      <w:bookmarkStart w:id="222" w:name="Tc_IJcPylfxck-n15VKzMgLcA_14_0"/>
      <w:bookmarkStart w:id="223" w:name="Tc_T6j0yqM4mEqhXoiWR6QOgA_13_8"/>
      <w:bookmarkStart w:id="224" w:name="Tc_khQBOaHufUKQ1bwM_RQ9bg_13_5"/>
      <w:bookmarkStart w:id="225" w:name="Tc_k9ATilyPwUyYkXzaU75TpQ_13_2"/>
      <w:bookmarkStart w:id="226" w:name="Tc_Ha0urDCHm0CsgSqJwYBbwg_13_0"/>
      <w:bookmarkStart w:id="227" w:name="Tc_NHiqr-uIwEOTgi8VVwuOCg_12_11"/>
      <w:bookmarkStart w:id="228" w:name="Tc_AwnHrv2otUCN-TQMfRiLlw_12_5"/>
      <w:bookmarkStart w:id="229" w:name="Tc_1otG8WGu102_S1NR22ht2A_12_2"/>
      <w:bookmarkStart w:id="230" w:name="Tc_pGQzC6ZmSEOoCmCGZOWqJA_12_0"/>
      <w:bookmarkStart w:id="231" w:name="Tc_fuW5rEUQC0i5ywv_8nqxGA_11_14"/>
      <w:bookmarkStart w:id="232" w:name="Tc_UU9Kcld_0kyiUbxS0qDY_Q_11_11"/>
      <w:bookmarkStart w:id="233" w:name="Tc_UdT68_wEBkmc3JiEVYXmAg_11_0"/>
      <w:bookmarkStart w:id="234" w:name="Tc_shSUbhaAB0CtJzoROCUshw_10_13"/>
      <w:bookmarkStart w:id="235" w:name="Tc_nCYC1Cz8eEaOIw5mWMR59A_10_10"/>
      <w:bookmarkStart w:id="236" w:name="Tc_cMFRjHGc40CEIEoqysXUOA_10_7"/>
      <w:bookmarkStart w:id="237" w:name="Tc_mdbFbWm5X0iyjye4dKd_dg_10_4"/>
      <w:bookmarkStart w:id="238" w:name="Tc_DvEFPCvdsUisOejQZWBBTw_10_0"/>
      <w:bookmarkStart w:id="239" w:name="Tc_gMJdSKearEqhBWhjqOVhow_8_13"/>
      <w:bookmarkStart w:id="240" w:name="Tc_9BwsaRxRfEWlvBNAIA2rzA_8_10"/>
      <w:bookmarkStart w:id="241" w:name="Tc_wkmupqRWCkKE39v0dBlflg_8_7"/>
      <w:bookmarkStart w:id="242" w:name="Tc_bykQnBszYUejKs2rsy4s5w_8_4"/>
      <w:bookmarkStart w:id="243" w:name="Tc_qhFzmgGLGEK0iXQ9YUjdJw_8_0"/>
      <w:bookmarkStart w:id="244" w:name="Tc_0aCMqdOTGkiEobbfjE6oJg_7_8"/>
      <w:bookmarkStart w:id="245" w:name="Tc_ImXavXO4zUKrMMdROQYWCA_7_5"/>
      <w:bookmarkStart w:id="246" w:name="Tc_0-uU2JfdvkiVDH0ghRaSYg_7_2"/>
      <w:bookmarkStart w:id="247" w:name="Tc_8A8KmUE9CkyFWAwB4uNb0w_7_0"/>
      <w:bookmarkStart w:id="248" w:name="Tc_MMs2u87feka3_Iwdp-iJyw_6_11"/>
      <w:bookmarkStart w:id="249" w:name="Tc_UKIE41G7aE-hB3Xrtxv58g_6_5"/>
      <w:bookmarkStart w:id="250" w:name="Tc_5PyxHQvs4Eyt2tr2LuX3ew_6_2"/>
      <w:bookmarkStart w:id="251" w:name="Tc_E4skrnHqxEqqj9MCEDSMUg_6_0"/>
      <w:bookmarkStart w:id="252" w:name="Tc_OSAI9HZBNUipglwzao2KxQ_5_11"/>
      <w:bookmarkStart w:id="253" w:name="Tc_9-fHQkXiUEGtTBrbVFO8nw_5_0"/>
      <w:bookmarkStart w:id="254" w:name="Tc_PtBjMas2-0WnjdmhG0J28A_4_13"/>
      <w:bookmarkStart w:id="255" w:name="Tc_ghuy9kMt0kWAYZpy38n1Sw_4_10"/>
      <w:bookmarkStart w:id="256" w:name="Tc_nqCYV1hOukubZzAFf7f5uA_4_7"/>
      <w:bookmarkStart w:id="257" w:name="Tc_d7vQ1-r_JUmBjGqCmP0urA_4_4"/>
      <w:bookmarkStart w:id="258" w:name="Tc_1gBHoWEX6ECxmjMS_HEb0w_4_0"/>
      <w:bookmarkStart w:id="259" w:name="Tc_0qNnA5nmzUqVzzQSqRR7wg_3_13"/>
      <w:bookmarkStart w:id="260" w:name="Tc_KEXahfvr_0aC-AJSwgy6EQ_3_10"/>
      <w:bookmarkStart w:id="261" w:name="Tc_9VBgmWwTWEy8zxkr3K-BFw_3_7"/>
      <w:bookmarkStart w:id="262" w:name="Tc_bd6Wu3_qc0KGhUMvcYhlOg_3_4"/>
      <w:bookmarkStart w:id="263" w:name="Tc_hoy0GxczUki0BNg_fMdEGQ_3_2"/>
      <w:bookmarkStart w:id="264" w:name="Tc_R6PGKyWZcUGR7-W25oqsqQ_2_13"/>
      <w:bookmarkStart w:id="265" w:name="Tc__-wZSuoxD0CTUfuRotMJWg_2_10"/>
      <w:bookmarkStart w:id="266" w:name="Tc_Xe7DqcmR902rMXjuAhpt0Q_2_7"/>
      <w:bookmarkStart w:id="267" w:name="Tc_gOB9uNO480anq48wBmn9pQ_2_2"/>
      <w:bookmarkStart w:id="268" w:name="Tc_mBRKFpma70iyMyi97OLmVw_1_13"/>
      <w:bookmarkStart w:id="269" w:name="Tc_KFNamFRMakiB5Qr_0CcPKQ_1_7"/>
      <w:bookmarkStart w:id="270" w:name="_5f2995f3_7ed9_4e1a_901d_f4d0ebf491ad"/>
      <w:bookmarkStart w:id="271" w:name="Tc_WoVe2z-voEC9GqTQPI27Fg_14_13"/>
      <w:bookmarkStart w:id="272" w:name="Tc_ugcnbS5vX0GhStag_Txl6Q_14_10"/>
      <w:bookmarkStart w:id="273" w:name="Tc_Pugt-0wiw0eyrRD_EJI6lg_14_7"/>
      <w:bookmarkStart w:id="274" w:name="Tc_RTtXJRi0uEu90p9Ithmvwg_14_4"/>
      <w:bookmarkStart w:id="275" w:name="Tc_IJcPylfxck-n15VKzMgLcA_14_0"/>
      <w:bookmarkStart w:id="276" w:name="Tc_T6j0yqM4mEqhXoiWR6QOgA_13_8"/>
      <w:bookmarkStart w:id="277" w:name="Tc_khQBOaHufUKQ1bwM_RQ9bg_13_5"/>
      <w:bookmarkStart w:id="278" w:name="Tc_k9ATilyPwUyYkXzaU75TpQ_13_2"/>
      <w:bookmarkStart w:id="279" w:name="Tc_Ha0urDCHm0CsgSqJwYBbwg_13_0"/>
      <w:bookmarkStart w:id="280" w:name="Tc_NHiqr-uIwEOTgi8VVwuOCg_12_11"/>
      <w:bookmarkStart w:id="281" w:name="Tc_AwnHrv2otUCN-TQMfRiLlw_12_5"/>
      <w:bookmarkStart w:id="282" w:name="Tc_1otG8WGu102_S1NR22ht2A_12_2"/>
      <w:bookmarkStart w:id="283" w:name="Tc_pGQzC6ZmSEOoCmCGZOWqJA_12_0"/>
      <w:bookmarkStart w:id="284" w:name="Tc_fuW5rEUQC0i5ywv_8nqxGA_11_14"/>
      <w:bookmarkStart w:id="285" w:name="Tc_UU9Kcld_0kyiUbxS0qDY_Q_11_11"/>
      <w:bookmarkStart w:id="286" w:name="Tc_UdT68_wEBkmc3JiEVYXmAg_11_0"/>
      <w:bookmarkStart w:id="287" w:name="Tc_shSUbhaAB0CtJzoROCUshw_10_13"/>
      <w:bookmarkStart w:id="288" w:name="Tc_nCYC1Cz8eEaOIw5mWMR59A_10_10"/>
      <w:bookmarkStart w:id="289" w:name="Tc_cMFRjHGc40CEIEoqysXUOA_10_7"/>
      <w:bookmarkStart w:id="290" w:name="Tc_mdbFbWm5X0iyjye4dKd_dg_10_4"/>
      <w:bookmarkStart w:id="291" w:name="Tc_DvEFPCvdsUisOejQZWBBTw_10_0"/>
      <w:bookmarkStart w:id="292" w:name="Tc_gMJdSKearEqhBWhjqOVhow_8_13"/>
      <w:bookmarkStart w:id="293" w:name="Tc_9BwsaRxRfEWlvBNAIA2rzA_8_10"/>
      <w:bookmarkStart w:id="294" w:name="Tc_wkmupqRWCkKE39v0dBlflg_8_7"/>
      <w:bookmarkStart w:id="295" w:name="Tc_bykQnBszYUejKs2rsy4s5w_8_4"/>
      <w:bookmarkStart w:id="296" w:name="Tc_qhFzmgGLGEK0iXQ9YUjdJw_8_0"/>
      <w:bookmarkStart w:id="297" w:name="Tc_0aCMqdOTGkiEobbfjE6oJg_7_8"/>
      <w:bookmarkStart w:id="298" w:name="Tc_ImXavXO4zUKrMMdROQYWCA_7_5"/>
      <w:bookmarkStart w:id="299" w:name="Tc_0-uU2JfdvkiVDH0ghRaSYg_7_2"/>
      <w:bookmarkStart w:id="300" w:name="Tc_8A8KmUE9CkyFWAwB4uNb0w_7_0"/>
      <w:bookmarkStart w:id="301" w:name="Tc_MMs2u87feka3_Iwdp-iJyw_6_11"/>
      <w:bookmarkStart w:id="302" w:name="Tc_UKIE41G7aE-hB3Xrtxv58g_6_5"/>
      <w:bookmarkStart w:id="303" w:name="Tc_5PyxHQvs4Eyt2tr2LuX3ew_6_2"/>
      <w:bookmarkStart w:id="304" w:name="Tc_E4skrnHqxEqqj9MCEDSMUg_6_0"/>
      <w:bookmarkStart w:id="305" w:name="Tc_OSAI9HZBNUipglwzao2KxQ_5_11"/>
      <w:bookmarkStart w:id="306" w:name="Tc_9-fHQkXiUEGtTBrbVFO8nw_5_0"/>
      <w:bookmarkStart w:id="307" w:name="Tc_PtBjMas2-0WnjdmhG0J28A_4_13"/>
      <w:bookmarkStart w:id="308" w:name="Tc_ghuy9kMt0kWAYZpy38n1Sw_4_10"/>
      <w:bookmarkStart w:id="309" w:name="Tc_nqCYV1hOukubZzAFf7f5uA_4_7"/>
      <w:bookmarkStart w:id="310" w:name="Tc_d7vQ1-r_JUmBjGqCmP0urA_4_4"/>
      <w:bookmarkStart w:id="311" w:name="Tc_1gBHoWEX6ECxmjMS_HEb0w_4_0"/>
      <w:bookmarkStart w:id="312" w:name="Tc_0qNnA5nmzUqVzzQSqRR7wg_3_13"/>
      <w:bookmarkStart w:id="313" w:name="Tc_KEXahfvr_0aC-AJSwgy6EQ_3_10"/>
      <w:bookmarkStart w:id="314" w:name="Tc_9VBgmWwTWEy8zxkr3K-BFw_3_7"/>
      <w:bookmarkStart w:id="315" w:name="Tc_bd6Wu3_qc0KGhUMvcYhlOg_3_4"/>
      <w:bookmarkStart w:id="316" w:name="Tc_hoy0GxczUki0BNg_fMdEGQ_3_2"/>
      <w:bookmarkStart w:id="317" w:name="Tc_R6PGKyWZcUGR7-W25oqsqQ_2_13"/>
      <w:bookmarkStart w:id="318" w:name="Tc__-wZSuoxD0CTUfuRotMJWg_2_10"/>
      <w:bookmarkStart w:id="319" w:name="Tc_Xe7DqcmR902rMXjuAhpt0Q_2_7"/>
      <w:bookmarkStart w:id="320" w:name="Tc_gOB9uNO480anq48wBmn9pQ_2_2"/>
      <w:bookmarkStart w:id="321" w:name="Tc_mBRKFpma70iyMyi97OLmVw_1_13"/>
      <w:bookmarkStart w:id="322" w:name="Tc_KFNamFRMakiB5Qr_0CcPKQ_1_7"/>
      <w:bookmarkStart w:id="323" w:name="_5f2995f3_7ed9_4e1a_901d_f4d0ebf491ad"/>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tbl>
      <w:tblPr>
        <w:tblW w:w="10205" w:type="dxa"/>
        <w:jc w:val="left"/>
        <w:tblInd w:w="0" w:type="dxa"/>
        <w:tblLayout w:type="fixed"/>
        <w:tblCellMar>
          <w:top w:w="0" w:type="dxa"/>
          <w:left w:w="0" w:type="dxa"/>
          <w:bottom w:w="0" w:type="dxa"/>
          <w:right w:w="0" w:type="dxa"/>
        </w:tblCellMar>
      </w:tblPr>
      <w:tblGrid>
        <w:gridCol w:w="3727"/>
        <w:gridCol w:w="326"/>
        <w:gridCol w:w="691"/>
        <w:gridCol w:w="326"/>
        <w:gridCol w:w="250"/>
        <w:gridCol w:w="501"/>
        <w:gridCol w:w="326"/>
        <w:gridCol w:w="211"/>
        <w:gridCol w:w="796"/>
        <w:gridCol w:w="326"/>
        <w:gridCol w:w="228"/>
        <w:gridCol w:w="928"/>
        <w:gridCol w:w="326"/>
        <w:gridCol w:w="259"/>
        <w:gridCol w:w="984"/>
      </w:tblGrid>
      <w:tr>
        <w:trPr/>
        <w:tc>
          <w:tcPr>
            <w:tcW w:w="3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366645" cy="175260"/>
                      <wp:effectExtent l="0" t="0" r="0" b="0"/>
                      <wp:wrapNone/>
                      <wp:docPr id="23" name="Frame23"/>
                      <a:graphic xmlns:a="http://schemas.openxmlformats.org/drawingml/2006/main">
                        <a:graphicData uri="http://schemas.microsoft.com/office/word/2010/wordprocessingShape">
                          <wps:wsp>
                            <wps:cNvSpPr txBox="1"/>
                            <wps:spPr>
                              <a:xfrm>
                                <a:off x="0" y="0"/>
                                <a:ext cx="2366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38785" cy="175260"/>
                      <wp:effectExtent l="0" t="0" r="0" b="0"/>
                      <wp:wrapNone/>
                      <wp:docPr id="25" name="Frame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8750" cy="175260"/>
                      <wp:effectExtent l="0" t="0" r="0" b="0"/>
                      <wp:wrapNone/>
                      <wp:docPr id="27" name="Frame2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18135" cy="175260"/>
                      <wp:effectExtent l="0" t="0" r="0" b="0"/>
                      <wp:wrapNone/>
                      <wp:docPr id="28" name="Frame28"/>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5460" cy="175260"/>
                      <wp:effectExtent l="0" t="0" r="0" b="0"/>
                      <wp:wrapNone/>
                      <wp:docPr id="31" name="Frame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4780" cy="175260"/>
                      <wp:effectExtent l="0" t="0" r="0" b="0"/>
                      <wp:wrapNone/>
                      <wp:docPr id="33" name="Frame3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89280" cy="175260"/>
                      <wp:effectExtent l="0" t="0" r="0" b="0"/>
                      <wp:wrapNone/>
                      <wp:docPr id="34" name="Frame34"/>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4465" cy="175260"/>
                      <wp:effectExtent l="0" t="0" r="0" b="0"/>
                      <wp:wrapNone/>
                      <wp:docPr id="36" name="Frame3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24840" cy="175260"/>
                      <wp:effectExtent l="0" t="0" r="0" b="0"/>
                      <wp:wrapNone/>
                      <wp:docPr id="37" name="Frame3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24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1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4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 </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26,395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393,644</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(308,733)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85,175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26,717</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395,902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(319,571)</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76,598</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27,268</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402,679</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(345,892)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57,060</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1,197</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1,805</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(10,520)</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(10,520)</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28,465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404,472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(356,412)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48,345</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24" w:name="_dc5279a4_129c_4942_bd93_f2b5bf8736d6"/>
      <w:bookmarkEnd w:id="324"/>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325" w:name="StatementsofCashFlows_296622"/>
      <w:bookmarkEnd w:id="325"/>
      <w:r>
        <w:rPr>
          <w:rFonts w:ascii="Arial;Helvetica;sans-serif" w:hAnsi="Arial;Helvetica;sans-serif"/>
          <w:b/>
          <w:sz w:val="20"/>
        </w:rPr>
        <w:t>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326" w:name="Tc_OF-_UwGJyk-5waVkC9mP8Q_39_6"/>
      <w:bookmarkStart w:id="327" w:name="Tc_X7KRb10w10WgZT245H7BRA_39_0"/>
      <w:bookmarkStart w:id="328" w:name="Tc_8JkOuPfxP0q-gggrPcDdBQ_38_5"/>
      <w:bookmarkStart w:id="329" w:name="Tc_TgH1-8Re-kqnEO88Ksyn6w_38_2"/>
      <w:bookmarkStart w:id="330" w:name="Tc_Um2bfE2ubEGkEQl8i1FS4A_38_0"/>
      <w:bookmarkStart w:id="331" w:name="Tc_rBdfhuTdT060YTfJEstAPg_37_0"/>
      <w:bookmarkStart w:id="332" w:name="Tc_MfBZ3YAPf0Of3OQsLUvyXA_36_3"/>
      <w:bookmarkStart w:id="333" w:name="Tc_-NNCdqtQ9U6CLDP9cPk3TA_36_0"/>
      <w:bookmarkStart w:id="334" w:name="Tc_SewdgxeajUiLYOIfuoIQzA_35_5"/>
      <w:bookmarkStart w:id="335" w:name="Tc_RtU0a_E--E6a6GP8LFjiKA_35_2"/>
      <w:bookmarkStart w:id="336" w:name="Tc_QHTMr6xlFEyS0039LTFwhQ_35_0"/>
      <w:bookmarkStart w:id="337" w:name="Tc_D1yJTktBFkKbUO_iIr-lHQ_34_0"/>
      <w:bookmarkStart w:id="338" w:name="Tc_I_nRfA6RikWxtV971qhJgA_33_5"/>
      <w:bookmarkStart w:id="339" w:name="Tc_JO-2JF6_A0CKbcWJIAER5Q_33_2"/>
      <w:bookmarkStart w:id="340" w:name="Tc_IJEMv4um2U6XrBwI4QrfIg_33_0"/>
      <w:bookmarkStart w:id="341" w:name="Tc_NAVcQ-nd9ESta3dXvJNv6w_32_0"/>
      <w:bookmarkStart w:id="342" w:name="Tc_q1soeZjG1kqEp436FTCDzA_31_0"/>
      <w:bookmarkStart w:id="343" w:name="Tc_NTMpsB4ZKEWNkS4Z6kkClQ_30_0"/>
      <w:bookmarkStart w:id="344" w:name="Tc_17894w7pv0aPEuycDj1zxg_29_3"/>
      <w:bookmarkStart w:id="345" w:name="Tc_SOO3DjqJm0ad0WmQVATvJg_29_0"/>
      <w:bookmarkStart w:id="346" w:name="Tc_JOlBsluSxECgF-gIM6mM5A_28_6"/>
      <w:bookmarkStart w:id="347" w:name="Tc_UCAiyYAOTEqWjPICdDrzMQ_28_0"/>
      <w:bookmarkStart w:id="348" w:name="Tc_acvhlrdXjEebK7Y-6O1dUw_27_6"/>
      <w:bookmarkStart w:id="349" w:name="Tc_jWJyDHDX0UqRl87kCcoEtA_27_0"/>
      <w:bookmarkStart w:id="350" w:name="Tc_d7VoWFVMDUOykwB55TLKzQ_26_0"/>
      <w:bookmarkStart w:id="351" w:name="Tc_6xeosIBvyE6v7rKKj8T3zQ_25_0"/>
      <w:bookmarkStart w:id="352" w:name="Tc_EwwMEQrNb0G-jvBDHnjDaw_23_0"/>
      <w:bookmarkStart w:id="353" w:name="Tc_RcmeDFQNTEKRH3dYo9pYSw_22_6"/>
      <w:bookmarkStart w:id="354" w:name="Tc_5qd7IEe4Yke3qfx6kH7n8Q_22_0"/>
      <w:bookmarkStart w:id="355" w:name="Tc_ylcVKI4rukiQgNFNji-NgQ_21_0"/>
      <w:bookmarkStart w:id="356" w:name="Tc_WqNcfewGPECsVOh-icKTwQ_20_0"/>
      <w:bookmarkStart w:id="357" w:name="Tc_oADj27mT7EyizacV3GHukQ_18_0"/>
      <w:bookmarkStart w:id="358" w:name="Tc_auQFsmgWMEyGF1IP-R_vHQ_17_0"/>
      <w:bookmarkStart w:id="359" w:name="Tc_fXQGvNsXYkKc7yy8GCu4mA_16_0"/>
      <w:bookmarkStart w:id="360" w:name="Tc_aTLtR90FvU-_qUZvvmN8dA_15_0"/>
      <w:bookmarkStart w:id="361" w:name="Tc_6MhkB34Y70CQ8ugFXUKzxA_14_0"/>
      <w:bookmarkStart w:id="362" w:name="Tc_OCQsczh8xkqDa9nXF1j6lA_13_0"/>
      <w:bookmarkStart w:id="363" w:name="Tc_7MUZlS93BEOm4YQnQ3B6MQ_12_0"/>
      <w:bookmarkStart w:id="364" w:name="Tc_g7ik9k76hUGlC_-d531coA_11_0"/>
      <w:bookmarkStart w:id="365" w:name="Tc_I46jtEHM3U6E1s27r0SrYw_10_0"/>
      <w:bookmarkStart w:id="366" w:name="Tc_agSi7inB2kqsPpbx2_aaRw_9_0"/>
      <w:bookmarkStart w:id="367" w:name="Tc_abLIFl0P6k-f8ydhuOwXpw_8_0"/>
      <w:bookmarkStart w:id="368" w:name="Tc_rBFxfyP3OkqXv3AgV1Wq-g_7_0"/>
      <w:bookmarkStart w:id="369" w:name="Tc_oALOHnjNk0-l56fHp1J3Kg_6_0"/>
      <w:bookmarkStart w:id="370" w:name="Tc_PJnzPohc3U2dzmSxbpdWvw_5_0"/>
      <w:bookmarkStart w:id="371" w:name="Tc_uxOg1-xKPU-H93GwR1fYPQ_4_5"/>
      <w:bookmarkStart w:id="372" w:name="Tc_RvJWuAnaP0-kUxqfy5CyuA_4_2"/>
      <w:bookmarkStart w:id="373" w:name="Tc_OGtxr_mjkkWdiH4riD3O8A_4_0"/>
      <w:bookmarkStart w:id="374" w:name="Tc_inm-NdfQ4kCOaXlfvBbM_w_3_0"/>
      <w:bookmarkStart w:id="375" w:name="Tc_1wl8uJQJXEuo49eOLydG9g_2_5"/>
      <w:bookmarkStart w:id="376" w:name="Tc_XdLrdiJo6ESXcDcZg9ms0w_2_2"/>
      <w:bookmarkStart w:id="377" w:name="Tc_1dAmUcBIEEa-n4Ka-hUPtw_1_2"/>
      <w:bookmarkStart w:id="378" w:name="_032d9c36_9d38_4e9d_988d_c2927b8070f6"/>
      <w:bookmarkStart w:id="379" w:name="Tc_OF-_UwGJyk-5waVkC9mP8Q_39_6"/>
      <w:bookmarkStart w:id="380" w:name="Tc_X7KRb10w10WgZT245H7BRA_39_0"/>
      <w:bookmarkStart w:id="381" w:name="Tc_8JkOuPfxP0q-gggrPcDdBQ_38_5"/>
      <w:bookmarkStart w:id="382" w:name="Tc_TgH1-8Re-kqnEO88Ksyn6w_38_2"/>
      <w:bookmarkStart w:id="383" w:name="Tc_Um2bfE2ubEGkEQl8i1FS4A_38_0"/>
      <w:bookmarkStart w:id="384" w:name="Tc_rBdfhuTdT060YTfJEstAPg_37_0"/>
      <w:bookmarkStart w:id="385" w:name="Tc_MfBZ3YAPf0Of3OQsLUvyXA_36_3"/>
      <w:bookmarkStart w:id="386" w:name="Tc_-NNCdqtQ9U6CLDP9cPk3TA_36_0"/>
      <w:bookmarkStart w:id="387" w:name="Tc_SewdgxeajUiLYOIfuoIQzA_35_5"/>
      <w:bookmarkStart w:id="388" w:name="Tc_RtU0a_E--E6a6GP8LFjiKA_35_2"/>
      <w:bookmarkStart w:id="389" w:name="Tc_QHTMr6xlFEyS0039LTFwhQ_35_0"/>
      <w:bookmarkStart w:id="390" w:name="Tc_D1yJTktBFkKbUO_iIr-lHQ_34_0"/>
      <w:bookmarkStart w:id="391" w:name="Tc_I_nRfA6RikWxtV971qhJgA_33_5"/>
      <w:bookmarkStart w:id="392" w:name="Tc_JO-2JF6_A0CKbcWJIAER5Q_33_2"/>
      <w:bookmarkStart w:id="393" w:name="Tc_IJEMv4um2U6XrBwI4QrfIg_33_0"/>
      <w:bookmarkStart w:id="394" w:name="Tc_NAVcQ-nd9ESta3dXvJNv6w_32_0"/>
      <w:bookmarkStart w:id="395" w:name="Tc_q1soeZjG1kqEp436FTCDzA_31_0"/>
      <w:bookmarkStart w:id="396" w:name="Tc_NTMpsB4ZKEWNkS4Z6kkClQ_30_0"/>
      <w:bookmarkStart w:id="397" w:name="Tc_17894w7pv0aPEuycDj1zxg_29_3"/>
      <w:bookmarkStart w:id="398" w:name="Tc_SOO3DjqJm0ad0WmQVATvJg_29_0"/>
      <w:bookmarkStart w:id="399" w:name="Tc_JOlBsluSxECgF-gIM6mM5A_28_6"/>
      <w:bookmarkStart w:id="400" w:name="Tc_UCAiyYAOTEqWjPICdDrzMQ_28_0"/>
      <w:bookmarkStart w:id="401" w:name="Tc_acvhlrdXjEebK7Y-6O1dUw_27_6"/>
      <w:bookmarkStart w:id="402" w:name="Tc_jWJyDHDX0UqRl87kCcoEtA_27_0"/>
      <w:bookmarkStart w:id="403" w:name="Tc_d7VoWFVMDUOykwB55TLKzQ_26_0"/>
      <w:bookmarkStart w:id="404" w:name="Tc_6xeosIBvyE6v7rKKj8T3zQ_25_0"/>
      <w:bookmarkStart w:id="405" w:name="Tc_EwwMEQrNb0G-jvBDHnjDaw_23_0"/>
      <w:bookmarkStart w:id="406" w:name="Tc_RcmeDFQNTEKRH3dYo9pYSw_22_6"/>
      <w:bookmarkStart w:id="407" w:name="Tc_5qd7IEe4Yke3qfx6kH7n8Q_22_0"/>
      <w:bookmarkStart w:id="408" w:name="Tc_ylcVKI4rukiQgNFNji-NgQ_21_0"/>
      <w:bookmarkStart w:id="409" w:name="Tc_WqNcfewGPECsVOh-icKTwQ_20_0"/>
      <w:bookmarkStart w:id="410" w:name="Tc_oADj27mT7EyizacV3GHukQ_18_0"/>
      <w:bookmarkStart w:id="411" w:name="Tc_auQFsmgWMEyGF1IP-R_vHQ_17_0"/>
      <w:bookmarkStart w:id="412" w:name="Tc_fXQGvNsXYkKc7yy8GCu4mA_16_0"/>
      <w:bookmarkStart w:id="413" w:name="Tc_aTLtR90FvU-_qUZvvmN8dA_15_0"/>
      <w:bookmarkStart w:id="414" w:name="Tc_6MhkB34Y70CQ8ugFXUKzxA_14_0"/>
      <w:bookmarkStart w:id="415" w:name="Tc_OCQsczh8xkqDa9nXF1j6lA_13_0"/>
      <w:bookmarkStart w:id="416" w:name="Tc_7MUZlS93BEOm4YQnQ3B6MQ_12_0"/>
      <w:bookmarkStart w:id="417" w:name="Tc_g7ik9k76hUGlC_-d531coA_11_0"/>
      <w:bookmarkStart w:id="418" w:name="Tc_I46jtEHM3U6E1s27r0SrYw_10_0"/>
      <w:bookmarkStart w:id="419" w:name="Tc_agSi7inB2kqsPpbx2_aaRw_9_0"/>
      <w:bookmarkStart w:id="420" w:name="Tc_abLIFl0P6k-f8ydhuOwXpw_8_0"/>
      <w:bookmarkStart w:id="421" w:name="Tc_rBFxfyP3OkqXv3AgV1Wq-g_7_0"/>
      <w:bookmarkStart w:id="422" w:name="Tc_oALOHnjNk0-l56fHp1J3Kg_6_0"/>
      <w:bookmarkStart w:id="423" w:name="Tc_PJnzPohc3U2dzmSxbpdWvw_5_0"/>
      <w:bookmarkStart w:id="424" w:name="Tc_uxOg1-xKPU-H93GwR1fYPQ_4_5"/>
      <w:bookmarkStart w:id="425" w:name="Tc_RvJWuAnaP0-kUxqfy5CyuA_4_2"/>
      <w:bookmarkStart w:id="426" w:name="Tc_OGtxr_mjkkWdiH4riD3O8A_4_0"/>
      <w:bookmarkStart w:id="427" w:name="Tc_inm-NdfQ4kCOaXlfvBbM_w_3_0"/>
      <w:bookmarkStart w:id="428" w:name="Tc_1wl8uJQJXEuo49eOLydG9g_2_5"/>
      <w:bookmarkStart w:id="429" w:name="Tc_XdLrdiJo6ESXcDcZg9ms0w_2_2"/>
      <w:bookmarkStart w:id="430" w:name="Tc_1dAmUcBIEEa-n4Ka-hUPtw_1_2"/>
      <w:bookmarkStart w:id="431" w:name="_032d9c36_9d38_4e9d_988d_c2927b8070f6"/>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tbl>
      <w:tblPr>
        <w:tblW w:w="10205" w:type="dxa"/>
        <w:jc w:val="left"/>
        <w:tblInd w:w="0" w:type="dxa"/>
        <w:tblLayout w:type="fixed"/>
        <w:tblCellMar>
          <w:top w:w="0" w:type="dxa"/>
          <w:left w:w="0" w:type="dxa"/>
          <w:bottom w:w="0" w:type="dxa"/>
          <w:right w:w="0" w:type="dxa"/>
        </w:tblCellMar>
      </w:tblPr>
      <w:tblGrid>
        <w:gridCol w:w="7067"/>
        <w:gridCol w:w="326"/>
        <w:gridCol w:w="241"/>
        <w:gridCol w:w="900"/>
        <w:gridCol w:w="373"/>
        <w:gridCol w:w="241"/>
        <w:gridCol w:w="900"/>
        <w:gridCol w:w="157"/>
      </w:tblGrid>
      <w:tr>
        <w:trPr/>
        <w:tc>
          <w:tcPr>
            <w:tcW w:w="7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487545" cy="175260"/>
                      <wp:effectExtent l="0" t="0" r="0" b="0"/>
                      <wp:wrapNone/>
                      <wp:docPr id="38" name="Frame38"/>
                      <a:graphic xmlns:a="http://schemas.openxmlformats.org/drawingml/2006/main">
                        <a:graphicData uri="http://schemas.microsoft.com/office/word/2010/wordprocessingShape">
                          <wps:wsp>
                            <wps:cNvSpPr txBox="1"/>
                            <wps:spPr>
                              <a:xfrm>
                                <a:off x="0" y="0"/>
                                <a:ext cx="4487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3035" cy="175260"/>
                      <wp:effectExtent l="0" t="0" r="0" b="0"/>
                      <wp:wrapNone/>
                      <wp:docPr id="40" name="Frame4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71500" cy="175260"/>
                      <wp:effectExtent l="0" t="0" r="0" b="0"/>
                      <wp:wrapNone/>
                      <wp:docPr id="41" name="Frame4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36855" cy="175260"/>
                      <wp:effectExtent l="0" t="0" r="0" b="0"/>
                      <wp:wrapNone/>
                      <wp:docPr id="42" name="Frame42"/>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3035" cy="175260"/>
                      <wp:effectExtent l="0" t="0" r="0" b="0"/>
                      <wp:wrapNone/>
                      <wp:docPr id="43" name="Frame4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71500" cy="175260"/>
                      <wp:effectExtent l="0" t="0" r="0" b="0"/>
                      <wp:wrapNone/>
                      <wp:docPr id="44" name="Frame4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9695" cy="175260"/>
                      <wp:effectExtent l="0" t="0" r="0" b="0"/>
                      <wp:wrapNone/>
                      <wp:docPr id="45" name="Frame45"/>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Three Months Ended March 31, </w:t>
            </w:r>
          </w:p>
        </w:tc>
        <w:tc>
          <w:tcPr>
            <w:tcW w:w="157" w:type="dxa"/>
            <w:tcBorders/>
            <w:vAlign w:val="center"/>
          </w:tcPr>
          <w:p>
            <w:pPr>
              <w:pStyle w:val="TableContents"/>
              <w:bidi w:val="0"/>
              <w:spacing w:before="0" w:after="1"/>
              <w:ind w:left="0" w:right="0" w:hanging="0"/>
              <w:jc w:val="center"/>
              <w:rPr/>
            </w:pPr>
            <w:r>
              <w:rPr/>
              <w:t>​</w:t>
            </w:r>
          </w:p>
        </w:tc>
      </w:tr>
      <w:tr>
        <w:trPr/>
        <w:tc>
          <w:tcPr>
            <w:tcW w:w="70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2023</w:t>
            </w:r>
          </w:p>
        </w:tc>
        <w:tc>
          <w:tcPr>
            <w:tcW w:w="373"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2022</w:t>
            </w:r>
          </w:p>
        </w:tc>
        <w:tc>
          <w:tcPr>
            <w:tcW w:w="157" w:type="dxa"/>
            <w:tcBorders/>
            <w:vAlign w:val="center"/>
          </w:tcPr>
          <w:p>
            <w:pPr>
              <w:pStyle w:val="TableContents"/>
              <w:bidi w:val="0"/>
              <w:spacing w:before="0" w:after="1"/>
              <w:ind w:left="0" w:right="0" w:hanging="0"/>
              <w:jc w:val="center"/>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  </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(10,520)</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(10,838)</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pPr>
            <w:r>
              <w:rPr/>
              <w:t>  </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516</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319</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1,805</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2,252</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interest expense</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188</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164</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certain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pPr>
            <w:r>
              <w:rPr/>
              <w:t>  </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receivable, net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(2,007)</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(545)</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(243)</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(1,021)</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investments in sales-type leases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535</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389</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commission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(175)</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(295)</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assets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131</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801</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2,484</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(2,226)</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(7,680)</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(447)</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(247)</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(735)</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(15,213)</w:t>
            </w:r>
          </w:p>
        </w:tc>
        <w:tc>
          <w:tcPr>
            <w:tcW w:w="373"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(12,182)</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pPr>
            <w:r>
              <w:rPr/>
              <w:t>  </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pPr>
            <w:r>
              <w:rPr/>
              <w:t>  </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and capitalized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(234)</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(1,074)</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Repayment of notes receivable</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w:t>
            </w:r>
          </w:p>
        </w:tc>
        <w:tc>
          <w:tcPr>
            <w:tcW w:w="373"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(183)</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(1,074)</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pPr>
            <w:r>
              <w:rPr/>
              <w:t>  </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Payments of debt issuance costs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(801)</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2,500</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Repayment of long-term debt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(1,200)</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exercises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(Used in) Financing Activities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499</w:t>
            </w:r>
          </w:p>
        </w:tc>
        <w:tc>
          <w:tcPr>
            <w:tcW w:w="373"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(14,897)</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(13,304)</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Beginning of Period</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70,340</w:t>
            </w:r>
          </w:p>
        </w:tc>
        <w:tc>
          <w:tcPr>
            <w:tcW w:w="373"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94,141</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55,443</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80,837</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Supplemental disclosure of cash flow information:</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pPr>
            <w:r>
              <w:rPr/>
              <w:t>  </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pPr>
            <w:r>
              <w:rPr/>
              <w:t>  </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1,064</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814</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Transfer of inventory to property and equipment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pPr>
            <w:r>
              <w:rPr/>
              <w:t>  </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pPr>
            <w:r>
              <w:rPr/>
              <w:t>  </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and capitalized software in 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685</w:t>
            </w:r>
          </w:p>
        </w:tc>
        <w:tc>
          <w:tcPr>
            <w:tcW w:w="157" w:type="dxa"/>
            <w:tcBorders/>
            <w:vAlign w:val="center"/>
          </w:tcPr>
          <w:p>
            <w:pPr>
              <w:pStyle w:val="TableContents"/>
              <w:bidi w:val="0"/>
              <w:spacing w:before="0" w:after="1"/>
              <w:ind w:left="0" w:right="0" w:hanging="0"/>
              <w:jc w:val="left"/>
              <w:rPr/>
            </w:pPr>
            <w:r>
              <w:rPr/>
              <w:t>​</w:t>
            </w:r>
          </w:p>
        </w:tc>
      </w:tr>
      <w:tr>
        <w:trPr/>
        <w:tc>
          <w:tcPr>
            <w:tcW w:w="706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Reduction of accounts receivable in current and long-term note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6,146</w:t>
            </w:r>
          </w:p>
        </w:tc>
        <w:tc>
          <w:tcPr>
            <w:tcW w:w="373"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70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left"/>
              <w:rPr/>
            </w:pPr>
            <w:r>
              <w:rPr/>
              <w:t>​</w:t>
            </w:r>
          </w:p>
        </w:tc>
        <w:tc>
          <w:tcPr>
            <w:tcW w:w="373"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200"/>
        <w:ind w:left="0" w:right="0" w:hanging="0"/>
        <w:jc w:val="center"/>
        <w:rPr/>
      </w:pPr>
      <w:bookmarkStart w:id="432" w:name="a1DESCRIPTIONOFBUSINESS_936106"/>
      <w:bookmarkEnd w:id="432"/>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     DESCRIPTION OF BUSINESS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Neuronetics, Inc., or the Company, is a commercial stage medical technology company focused on designing, developing, and marketing products that improve the quality of life for patients who suffer from neurohealth disorders. The Company’s first commercial product, the NeuroStar Advanced Therapy System, is a non-invasive and non-systemic office-based treatment that uses transcranial magnetic stimulation, (“TMS”), to create a pulsed, MRI-strength magnetic field that induces electrical currents designed to stimulate specific areas of the brain associated with mood. The system was cleared in 2008 by the United States Food and Drug Administration, (“ FDA”), to treat adult patients with major depressive disorder,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March 31, 2023, the Company had cash and cash equivalents of $55.4 million and an accumulated deficit of $356.4 million. The Company incurred negative cash flows from operating activities of $15.2 million for the three months ended March 31, 2023 and $30.7 million for the year ended December 31, 2022.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initial public offering (“IPO”), private placements of its convertible preferred securities, borrowings under its credit facility, proceeds from its secondary public offering of common stock and revenues from sales of its products. As of March 31, 2023, the Company had $37.5 million of borrowings outstanding under its credit facility, which has a final maturity in </w:t>
      </w:r>
      <w:r>
        <w:rPr>
          <w:rFonts w:ascii="Arial;Helvetica;sans-serif" w:hAnsi="Arial;Helvetica;sans-serif"/>
          <w:b w:val="false"/>
          <w:i w:val="false"/>
          <w:caps w:val="false"/>
          <w:smallCaps w:val="false"/>
          <w:sz w:val="20"/>
        </w:rPr>
        <w:t>March 2028</w:t>
      </w:r>
      <w:r>
        <w:rPr>
          <w:rFonts w:ascii="Arial;Helvetica;sans-serif" w:hAnsi="Arial;Helvetica;sans-serif"/>
          <w:sz w:val="20"/>
        </w:rPr>
        <w:t>. Management believes that the Company’s cash and cash equivalents as of March 31, 2023, and anticipated revenues from sales of its products are sufficient to fund the Company’s operations for at least the next 12 months from the issuance of these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     BASIS OF PRESENTATION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accompanying financial statements have been prepared in accordance with United States generally accepted accounting principles, (“GAAP”). Any reference in these notes to applicable guidance is meant to refer to GAAP as found in the Accounting Standards Codification, (“ASC”), and Accounting Standards Updates, (“ ASUs”), promulgated by the Financial Accounting Standards Board, (“ FASB”).</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Interim Financial Statements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accompanying unaudited interim financial statements have been prepared from the books and records of the Company in accordance with GAAP for interim financial information and Rule 10-01 of Regulation S-X promulgated by the United States Securities and Exchange Commission, (the “SEC”), which permit reduced disclosures for interim periods. All adjustments, consisting only of normal recurring adjustments, necessary for a fair presentation of the accompanying balance sheets and statements of operations and stockholders’ equity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months ended March 31, 2023 are not necessarily indicative of the results that may be expected for the full year. Unaudited interim financial statements and footnotes should be read in conjunction with the audited financial statements and footnotes included in the Company’s Form 10-K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filed with the SEC on March 7, 2023, wherein a more complete discussion of significant accounting policies and certain other information can be found.</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Use of Estimates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materially from estimated results.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3.     SUMMARY OF SIGNIFICANT ACCOUNTING POLICIES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complete summary of significant accounting policies can be found in “Note 3. Summary of Significant Accounting Policies” in the audited financial statements included in the Company’s Form 10-K filed with the SEC on March 7, 2023.</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4.     RECENT ACCOUNTING PRONOUNCEMENTS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New Accounting Standards Adopted by the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June 2016, the FASB issued </w:t>
      </w:r>
      <w:r>
        <w:rPr>
          <w:rFonts w:ascii="Arial;Helvetica;sans-serif" w:hAnsi="Arial;Helvetica;sans-serif"/>
          <w:i/>
          <w:sz w:val="20"/>
        </w:rPr>
        <w:t>ASU 2016-13, Financial Instruments - Credit Losses (Topic 326): Measurement of Credit Losses on Financial Instruments</w:t>
      </w:r>
      <w:r>
        <w:rPr>
          <w:rFonts w:ascii="Arial;Helvetica;sans-serif" w:hAnsi="Arial;Helvetica;sans-serif"/>
          <w:sz w:val="20"/>
        </w:rPr>
        <w:t xml:space="preserve"> (“</w:t>
      </w:r>
      <w:r>
        <w:rPr>
          <w:rFonts w:ascii="Arial;Helvetica;sans-serif" w:hAnsi="Arial;Helvetica;sans-serif"/>
          <w:i/>
          <w:sz w:val="20"/>
        </w:rPr>
        <w:t>Topic 326”</w:t>
      </w:r>
      <w:r>
        <w:rPr>
          <w:rFonts w:ascii="Arial;Helvetica;sans-serif" w:hAnsi="Arial;Helvetica;sans-serif"/>
          <w:sz w:val="20"/>
        </w:rPr>
        <w:t xml:space="preserve">). This ASU provides guidance for recognizing credit losses on financial instruments based on an estimate of current expected credit losses model. The FASB subsequently issued </w:t>
      </w:r>
      <w:r>
        <w:rPr>
          <w:rFonts w:ascii="Arial;Helvetica;sans-serif" w:hAnsi="Arial;Helvetica;sans-serif"/>
          <w:i/>
          <w:sz w:val="20"/>
        </w:rPr>
        <w:t>ASU 2019-04,</w:t>
      </w:r>
      <w:r>
        <w:rPr>
          <w:rFonts w:ascii="Arial;Helvetica;sans-serif" w:hAnsi="Arial;Helvetica;sans-serif"/>
          <w:sz w:val="20"/>
        </w:rPr>
        <w:t xml:space="preserve"> to clarify and address certain items related to the amendments in Topic 326.</w:t>
      </w:r>
    </w:p>
    <w:p>
      <w:pPr>
        <w:pStyle w:val="TextBody"/>
        <w:bidi w:val="0"/>
        <w:spacing w:before="0" w:after="200"/>
        <w:ind w:left="0" w:right="0" w:hanging="0"/>
        <w:jc w:val="left"/>
        <w:rPr>
          <w:rFonts w:ascii="Arial;Helvetica;sans-serif" w:hAnsi="Arial;Helvetica;sans-serif"/>
          <w:sz w:val="18"/>
        </w:rPr>
      </w:pPr>
      <w:r>
        <w:rPr>
          <w:rFonts w:ascii="Arial;Helvetica;sans-serif" w:hAnsi="Arial;Helvetica;sans-serif"/>
          <w:i/>
          <w:sz w:val="20"/>
        </w:rPr>
        <w:t>ASU 2019-05, Financial Instruments - Credit Losses (Topic 326)</w:t>
      </w:r>
      <w:r>
        <w:rPr>
          <w:rFonts w:ascii="Arial;Helvetica;sans-serif" w:hAnsi="Arial;Helvetica;sans-serif"/>
          <w:sz w:val="20"/>
        </w:rPr>
        <w:t>:</w:t>
      </w:r>
      <w:r>
        <w:rPr>
          <w:rFonts w:ascii="Arial;Helvetica;sans-serif" w:hAnsi="Arial;Helvetica;sans-serif"/>
          <w:sz w:val="18"/>
        </w:rPr>
        <w:t xml:space="preserve"> </w:t>
      </w:r>
      <w:r>
        <w:rPr>
          <w:rFonts w:ascii="Arial;Helvetica;sans-serif" w:hAnsi="Arial;Helvetica;sans-serif"/>
          <w:i/>
          <w:sz w:val="20"/>
        </w:rPr>
        <w:t>Targeted Transition Relief</w:t>
      </w:r>
      <w:r>
        <w:rPr>
          <w:rFonts w:ascii="Arial;Helvetica;sans-serif" w:hAnsi="Arial;Helvetica;sans-serif"/>
          <w:sz w:val="20"/>
        </w:rPr>
        <w:t xml:space="preserve">, was issued to provide entities that have certain instruments within the scope of ASC 326 with an option to irrevocably elect the fair value option under </w:t>
      </w:r>
      <w:r>
        <w:rPr>
          <w:rFonts w:ascii="Arial;Helvetica;sans-serif" w:hAnsi="Arial;Helvetica;sans-serif"/>
          <w:i/>
          <w:sz w:val="20"/>
        </w:rPr>
        <w:t>ASC 825-10, Financial Instruments - Overall</w:t>
      </w:r>
      <w:r>
        <w:rPr>
          <w:rFonts w:ascii="Arial;Helvetica;sans-serif" w:hAnsi="Arial;Helvetica;sans-serif"/>
          <w:sz w:val="20"/>
        </w:rPr>
        <w:t>, applied on an instrument-by-instrument basis for eligible instruments</w:t>
      </w:r>
      <w:r>
        <w:rPr>
          <w:rFonts w:ascii="Arial;Helvetica;sans-serif" w:hAnsi="Arial;Helvetica;sans-serif"/>
          <w:sz w:val="18"/>
        </w:rPr>
        <w:t xml:space="preserve">. </w:t>
      </w:r>
      <w:r>
        <w:rPr>
          <w:rFonts w:ascii="Arial;Helvetica;sans-serif" w:hAnsi="Arial;Helvetica;sans-serif"/>
          <w:sz w:val="20"/>
        </w:rPr>
        <w:t>ASU 2019-10, Topic 326, Topic 815, and Topic 842 amends the mandatory effective date for Topic 326.</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adopted Topic 326 with an adoption date of January 1, 2023 using the modified retrospective approach. As a result, the Company changed its accounting policy for allowance for credit losses. The Company monitors accounts receivables and long term notes receivables and estimates the allowance for lifetime expected credit losses. Estimates of expected credit losses are based on historical collection experience and other factors, including those related to current market conditions and events. The adoption did not have a material effect on the Company's financial statements.</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Other than the items noted above, there have been no new accounting pronouncements not yet effective or adopted in the current year that we believe have a significant impact, or potential significant impact, to our unaudited interim financial statements.</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Arial;Helvetica;sans-serif" w:hAnsi="Arial;Helvetica;sans-serif"/>
          <w:b/>
          <w:sz w:val="20"/>
        </w:rPr>
      </w:pPr>
      <w:bookmarkStart w:id="433" w:name="Tc_KNtKww9Q2UKqGeIIv_LB6g_9_15"/>
      <w:bookmarkStart w:id="434" w:name="Tc_34TCblmXdU2uFDgMkE22cw_9_14"/>
      <w:bookmarkStart w:id="435" w:name="Tc_F0Mc4mJ55UW7xpBJDFvnjQ_9_12"/>
      <w:bookmarkStart w:id="436" w:name="Tc__gmEkzI8WUaoEFpoyC1YVg_9_11"/>
      <w:bookmarkStart w:id="437" w:name="Tc_7nKW8szr_kqkWcpC8HANIQ_9_8"/>
      <w:bookmarkStart w:id="438" w:name="Tc_PFJH7NWj8kmjb3ra7fi6sQ_9_5"/>
      <w:bookmarkStart w:id="439" w:name="Tc_c6wtRGCJmkaqytqg-t8Jpw_9_2"/>
      <w:bookmarkStart w:id="440" w:name="Tc_p4EL4mc7zUeLNtx3rbzJaQ_9_0"/>
      <w:bookmarkStart w:id="441" w:name="Tc_JBBuYvpLSEuPu9dzjnygLw_8_0"/>
      <w:bookmarkStart w:id="442" w:name="Tc_MAvMI82kZUCe-t9TK6nHqQ_7_14"/>
      <w:bookmarkStart w:id="443" w:name="Tc_HHI2OZIlGUuHJh5i6S9hew_7_11"/>
      <w:bookmarkStart w:id="444" w:name="Tc_2_r8-MLkS0CVpXTHmEkzJQ_7_8"/>
      <w:bookmarkStart w:id="445" w:name="Tc_mCjRp83UHUaNOoR4dsweVw_7_5"/>
      <w:bookmarkStart w:id="446" w:name="Tc_KHUXI4SWLkG-BWhDbGz7fw_7_2"/>
      <w:bookmarkStart w:id="447" w:name="Tc_1Nzm4nf9RE2UKV_O-KZ-9g_6_14"/>
      <w:bookmarkStart w:id="448" w:name="Tc_DbBG6zxbI0uWyjFALKVRZw_6_11"/>
      <w:bookmarkStart w:id="449" w:name="Tc_aKeZL-RK3Emu2QuG7YeMpg_6_8"/>
      <w:bookmarkStart w:id="450" w:name="Tc_yf4e0VWiakib1ZXpbcR8Hw_6_2"/>
      <w:bookmarkStart w:id="451" w:name="Tc_mix9vVrACU-vL-Z4yj0FAw_5_14"/>
      <w:bookmarkStart w:id="452" w:name="Tc_e7VyWsCj6kSqr2AC2yoCpQ_5_11"/>
      <w:bookmarkStart w:id="453" w:name="Tc_mApOLzZiV0StX8iSEmLqzg_5_8"/>
      <w:bookmarkStart w:id="454" w:name="Tc_WlVZBZvH00uyjL_EyY0DDA_4_14"/>
      <w:bookmarkStart w:id="455" w:name="Tc_C4i3vnD2gUq1R4oUOLZrGQ_4_11"/>
      <w:bookmarkStart w:id="456" w:name="Tc_4bVLktoOVEayNj1AFgTvmA_4_8"/>
      <w:bookmarkStart w:id="457" w:name="Tc_gzCgIS4QPkeeksqFPp8Ikg_3_11"/>
      <w:bookmarkStart w:id="458" w:name="Tc_voMLsmMB50-7ZLxa6xUepQ_3_8"/>
      <w:bookmarkStart w:id="459" w:name="Tc_64tBuCkuOkmEddUIkJUhBw_2_8"/>
      <w:bookmarkStart w:id="460" w:name="Tc_2CqBz0odoUSI5f-6HVBX3A_1_2"/>
      <w:bookmarkStart w:id="461" w:name="_f9a761c6_a06a_4c82_8f0c_9da1af7c2532"/>
      <w:bookmarkStart w:id="462" w:name="Tc_0KDP2gs5N0yJsMfiYC6CJA_9_15"/>
      <w:bookmarkStart w:id="463" w:name="Tc_or5nssRQlUCcFsKbJmU7kQ_9_14"/>
      <w:bookmarkStart w:id="464" w:name="Tc_S0gEzYkjLUaUEWJR55efxw_9_12"/>
      <w:bookmarkStart w:id="465" w:name="Tc_iHXxvYHWDkeoKxJv-SQM3w_9_11"/>
      <w:bookmarkStart w:id="466" w:name="Tc_LqMRBduKx0mBojBGPOnyeQ_9_8"/>
      <w:bookmarkStart w:id="467" w:name="Tc_5srkRRD60kupK9_dSkDvWQ_9_5"/>
      <w:bookmarkStart w:id="468" w:name="Tc_UdgVaNKLcUeeB5K3pi_4Kw_9_2"/>
      <w:bookmarkStart w:id="469" w:name="Tc_Dw06Kv1g1kuiJUJ5U4ez-Q_9_0"/>
      <w:bookmarkStart w:id="470" w:name="Tc_mSgH9E_4BUW_xhOLsOuLuw_8_0"/>
      <w:bookmarkStart w:id="471" w:name="Tc_rHW8IKp_-EqFyjSG9OQ2FA_7_14"/>
      <w:bookmarkStart w:id="472" w:name="Tc_yxNQMsYkKEy79SieByG3hg_7_11"/>
      <w:bookmarkStart w:id="473" w:name="Tc_Da0JJqcIoUix9X1lYSlnhA_7_8"/>
      <w:bookmarkStart w:id="474" w:name="Tc_iLNa61TPHU25nnjYa8NskA_7_5"/>
      <w:bookmarkStart w:id="475" w:name="Tc_DSsREmlQ3k6zAaa_Fjnf5g_7_2"/>
      <w:bookmarkStart w:id="476" w:name="Tc_1T0uaXU0ZECN5JKrl5NKEQ_6_14"/>
      <w:bookmarkStart w:id="477" w:name="Tc_LrGRejRqTEO2OF0peD7H4A_6_11"/>
      <w:bookmarkStart w:id="478" w:name="Tc_uZ_KUgVfQU6brOkf4WAUvg_6_8"/>
      <w:bookmarkStart w:id="479" w:name="Tc_X4wIYyoJOUu1uVzdmgbZWw_6_2"/>
      <w:bookmarkStart w:id="480" w:name="Tc_qihL2X2R10SqyzT58ebexg_5_14"/>
      <w:bookmarkStart w:id="481" w:name="Tc_ZgH5YKOalkKZ8TemkcZj4A_5_11"/>
      <w:bookmarkStart w:id="482" w:name="Tc_0pRGkr_ueUy4tx6N0f30SQ_5_8"/>
      <w:bookmarkStart w:id="483" w:name="Tc__BZopRjcEkqoUsLF5iwVYQ_4_14"/>
      <w:bookmarkStart w:id="484" w:name="Tc_i0R24nlIHUet3ppW8bUm3A_4_11"/>
      <w:bookmarkStart w:id="485" w:name="Tc_0biDYpdTJEuqiuwh-kAEgQ_4_8"/>
      <w:bookmarkStart w:id="486" w:name="Tc_8M3oJM546kaNNdxktJKevg_3_11"/>
      <w:bookmarkStart w:id="487" w:name="Tc_6Cn06iTglE6M0SptPKW9Gw_3_8"/>
      <w:bookmarkStart w:id="488" w:name="Tc_R0GPKa4vFkamScvEpAHWnA_2_8"/>
      <w:bookmarkStart w:id="489" w:name="Tc_UydG3P4JqkmJf8Iyxx3WCA_1_2"/>
      <w:bookmarkStart w:id="490" w:name="_677be8c2_2ab7_44cd_9f7b_dfaaa835d871"/>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Arial;Helvetica;sans-serif" w:hAnsi="Arial;Helvetica;sans-serif"/>
          <w:b/>
          <w:sz w:val="20"/>
        </w:rPr>
        <w:t>5.     FAIR VALUE MEASUREMENT AND FINANCIAL INSTRUMENTS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carrying values of cash equivalents, accounts receivable, prepaids and other current assets, and accounts payable on the Company’s balance sheets approximated their fair values as of March 31, 2023 and December 31, 2022 due to their short-term nature. The carrying values of the Company’s credit facility approximated its fair value as of March 31, 2023 and December 31, 2022 due to its variable interest rate. The carrying value of the Company’s notes receivable approximated its fair value as of March 31, 2023 and December 31, 2022 due to its variable interest rate.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tbl>
      <w:tblPr>
        <w:tblW w:w="6827" w:type="dxa"/>
        <w:jc w:val="left"/>
        <w:tblInd w:w="0" w:type="dxa"/>
        <w:tblLayout w:type="fixed"/>
        <w:tblCellMar>
          <w:top w:w="0" w:type="dxa"/>
          <w:left w:w="0" w:type="dxa"/>
          <w:bottom w:w="0" w:type="dxa"/>
          <w:right w:w="0" w:type="dxa"/>
        </w:tblCellMar>
      </w:tblPr>
      <w:tblGrid>
        <w:gridCol w:w="811"/>
        <w:gridCol w:w="6016"/>
      </w:tblGrid>
      <w:tr>
        <w:trPr/>
        <w:tc>
          <w:tcPr>
            <w:tcW w:w="81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1:</w:t>
            </w:r>
          </w:p>
        </w:tc>
        <w:tc>
          <w:tcPr>
            <w:tcW w:w="601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quoted prices for identical instruments in active markets.</w:t>
            </w:r>
          </w:p>
        </w:tc>
      </w:tr>
    </w:tbl>
    <w:tbl>
      <w:tblPr>
        <w:tblW w:w="10205" w:type="dxa"/>
        <w:jc w:val="left"/>
        <w:tblInd w:w="0" w:type="dxa"/>
        <w:tblLayout w:type="fixed"/>
        <w:tblCellMar>
          <w:top w:w="0" w:type="dxa"/>
          <w:left w:w="0" w:type="dxa"/>
          <w:bottom w:w="0" w:type="dxa"/>
          <w:right w:w="0" w:type="dxa"/>
        </w:tblCellMar>
      </w:tblPr>
      <w:tblGrid>
        <w:gridCol w:w="674"/>
        <w:gridCol w:w="9531"/>
      </w:tblGrid>
      <w:tr>
        <w:trPr/>
        <w:tc>
          <w:tcPr>
            <w:tcW w:w="67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2:</w:t>
            </w:r>
          </w:p>
        </w:tc>
        <w:tc>
          <w:tcPr>
            <w:tcW w:w="953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quoted prices for similar instruments in active markets; quoted prices for identical or similar instruments in markets that are not active; or model-derived valuations whose inputs are observable or whose significant value drivers are observable.</w:t>
            </w:r>
          </w:p>
        </w:tc>
      </w:tr>
    </w:tbl>
    <w:tbl>
      <w:tblPr>
        <w:tblW w:w="10205" w:type="dxa"/>
        <w:jc w:val="left"/>
        <w:tblInd w:w="0" w:type="dxa"/>
        <w:tblLayout w:type="fixed"/>
        <w:tblCellMar>
          <w:top w:w="0" w:type="dxa"/>
          <w:left w:w="0" w:type="dxa"/>
          <w:bottom w:w="0" w:type="dxa"/>
          <w:right w:w="0" w:type="dxa"/>
        </w:tblCellMar>
      </w:tblPr>
      <w:tblGrid>
        <w:gridCol w:w="745"/>
        <w:gridCol w:w="9460"/>
      </w:tblGrid>
      <w:tr>
        <w:trPr/>
        <w:tc>
          <w:tcPr>
            <w:tcW w:w="74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3:</w:t>
            </w:r>
          </w:p>
        </w:tc>
        <w:tc>
          <w:tcPr>
            <w:tcW w:w="946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unobservable and reflect the Company’s own assumptions, based on the best information available, including the Company’s own data</w:t>
            </w:r>
            <w:r>
              <w:rPr>
                <w:rFonts w:ascii="Arial;Helvetica;sans-serif" w:hAnsi="Arial;Helvetica;sans-serif"/>
                <w:sz w:val="18"/>
              </w:rPr>
              <w: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tables set forth the carrying amounts and fair values of the Company’s financial instruments as of March 31, 2023 and December 31, 2022 (in thousands):</w:t>
      </w:r>
    </w:p>
    <w:p>
      <w:pPr>
        <w:pStyle w:val="TextBody"/>
        <w:bidi w:val="0"/>
        <w:spacing w:before="0" w:after="200"/>
        <w:ind w:left="0" w:right="0" w:hanging="0"/>
        <w:jc w:val="left"/>
        <w:rPr/>
      </w:pPr>
      <w:r>
        <w:rPr/>
        <w:t>​</w:t>
      </w:r>
    </w:p>
    <w:tbl>
      <w:tblPr>
        <w:tblW w:w="10177" w:type="dxa"/>
        <w:jc w:val="left"/>
        <w:tblInd w:w="0" w:type="dxa"/>
        <w:tblLayout w:type="fixed"/>
        <w:tblCellMar>
          <w:top w:w="0" w:type="dxa"/>
          <w:left w:w="0" w:type="dxa"/>
          <w:bottom w:w="0" w:type="dxa"/>
          <w:right w:w="0" w:type="dxa"/>
        </w:tblCellMar>
      </w:tblPr>
      <w:tblGrid>
        <w:gridCol w:w="3556"/>
        <w:gridCol w:w="326"/>
        <w:gridCol w:w="211"/>
        <w:gridCol w:w="691"/>
        <w:gridCol w:w="326"/>
        <w:gridCol w:w="211"/>
        <w:gridCol w:w="691"/>
        <w:gridCol w:w="326"/>
        <w:gridCol w:w="215"/>
        <w:gridCol w:w="706"/>
        <w:gridCol w:w="333"/>
        <w:gridCol w:w="379"/>
        <w:gridCol w:w="627"/>
        <w:gridCol w:w="333"/>
        <w:gridCol w:w="392"/>
        <w:gridCol w:w="854"/>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258060" cy="175260"/>
                      <wp:effectExtent l="0" t="0" r="0" b="0"/>
                      <wp:wrapNone/>
                      <wp:docPr id="46" name="Frame46"/>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38785" cy="175260"/>
                      <wp:effectExtent l="0" t="0" r="0" b="0"/>
                      <wp:wrapNone/>
                      <wp:docPr id="49" name="Frame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38785" cy="175260"/>
                      <wp:effectExtent l="0" t="0" r="0" b="0"/>
                      <wp:wrapNone/>
                      <wp:docPr id="52" name="Frame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6525" cy="175260"/>
                      <wp:effectExtent l="0" t="0" r="0" b="0"/>
                      <wp:wrapNone/>
                      <wp:docPr id="54" name="Frame5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48310" cy="175260"/>
                      <wp:effectExtent l="0" t="0" r="0" b="0"/>
                      <wp:wrapNone/>
                      <wp:docPr id="55" name="Frame5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1455" cy="175260"/>
                      <wp:effectExtent l="0" t="0" r="0" b="0"/>
                      <wp:wrapNone/>
                      <wp:docPr id="56" name="Frame5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40665" cy="175260"/>
                      <wp:effectExtent l="0" t="0" r="0" b="0"/>
                      <wp:wrapNone/>
                      <wp:docPr id="57" name="Frame5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98145" cy="175260"/>
                      <wp:effectExtent l="0" t="0" r="0" b="0"/>
                      <wp:wrapNone/>
                      <wp:docPr id="58" name="Frame58"/>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1455" cy="175260"/>
                      <wp:effectExtent l="0" t="0" r="0" b="0"/>
                      <wp:wrapNone/>
                      <wp:docPr id="59" name="Frame5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48920" cy="175260"/>
                      <wp:effectExtent l="0" t="0" r="0" b="0"/>
                      <wp:wrapNone/>
                      <wp:docPr id="60" name="Frame6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42290" cy="175260"/>
                      <wp:effectExtent l="0" t="0" r="0" b="0"/>
                      <wp:wrapNone/>
                      <wp:docPr id="61" name="Frame61"/>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295"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3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854"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33"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33" w:type="dxa"/>
            <w:tcBorders/>
            <w:vAlign w:val="center"/>
          </w:tcPr>
          <w:p>
            <w:pPr>
              <w:pStyle w:val="TableContents"/>
              <w:bidi w:val="0"/>
              <w:spacing w:before="0" w:after="1"/>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55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53,387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53,387</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53,387</w:t>
            </w:r>
          </w:p>
        </w:tc>
        <w:tc>
          <w:tcPr>
            <w:tcW w:w="33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24"/>
        <w:gridCol w:w="326"/>
        <w:gridCol w:w="211"/>
        <w:gridCol w:w="750"/>
        <w:gridCol w:w="326"/>
        <w:gridCol w:w="211"/>
        <w:gridCol w:w="691"/>
        <w:gridCol w:w="326"/>
        <w:gridCol w:w="215"/>
        <w:gridCol w:w="706"/>
        <w:gridCol w:w="333"/>
        <w:gridCol w:w="379"/>
        <w:gridCol w:w="627"/>
        <w:gridCol w:w="333"/>
        <w:gridCol w:w="392"/>
        <w:gridCol w:w="855"/>
      </w:tblGrid>
      <w:tr>
        <w:trPr/>
        <w:tc>
          <w:tcPr>
            <w:tcW w:w="3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37740" cy="175260"/>
                      <wp:effectExtent l="0" t="0" r="0" b="0"/>
                      <wp:wrapNone/>
                      <wp:docPr id="62" name="Frame62"/>
                      <a:graphic xmlns:a="http://schemas.openxmlformats.org/drawingml/2006/main">
                        <a:graphicData uri="http://schemas.microsoft.com/office/word/2010/wordprocessingShape">
                          <wps:wsp>
                            <wps:cNvSpPr txBox="1"/>
                            <wps:spPr>
                              <a:xfrm>
                                <a:off x="0" y="0"/>
                                <a:ext cx="2237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76250" cy="175260"/>
                      <wp:effectExtent l="0" t="0" r="0" b="0"/>
                      <wp:wrapNone/>
                      <wp:docPr id="65" name="Frame65"/>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38785" cy="175260"/>
                      <wp:effectExtent l="0" t="0" r="0" b="0"/>
                      <wp:wrapNone/>
                      <wp:docPr id="68" name="Frame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6525" cy="175260"/>
                      <wp:effectExtent l="0" t="0" r="0" b="0"/>
                      <wp:wrapNone/>
                      <wp:docPr id="70" name="Frame7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48310" cy="175260"/>
                      <wp:effectExtent l="0" t="0" r="0" b="0"/>
                      <wp:wrapNone/>
                      <wp:docPr id="71" name="Frame7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1455" cy="175260"/>
                      <wp:effectExtent l="0" t="0" r="0" b="0"/>
                      <wp:wrapNone/>
                      <wp:docPr id="72" name="Frame7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0665" cy="175260"/>
                      <wp:effectExtent l="0" t="0" r="0" b="0"/>
                      <wp:wrapNone/>
                      <wp:docPr id="73" name="Frame7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98145" cy="175260"/>
                      <wp:effectExtent l="0" t="0" r="0" b="0"/>
                      <wp:wrapNone/>
                      <wp:docPr id="74" name="Frame74"/>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1455" cy="175260"/>
                      <wp:effectExtent l="0" t="0" r="0" b="0"/>
                      <wp:wrapNone/>
                      <wp:docPr id="75" name="Frame7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8920" cy="175260"/>
                      <wp:effectExtent l="0" t="0" r="0" b="0"/>
                      <wp:wrapNone/>
                      <wp:docPr id="76" name="Frame7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42925" cy="175260"/>
                      <wp:effectExtent l="0" t="0" r="0" b="0"/>
                      <wp:wrapNone/>
                      <wp:docPr id="77" name="Frame77"/>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55"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2022</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4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855" w:type="dxa"/>
            <w:tcBorders/>
            <w:vAlign w:val="center"/>
          </w:tcPr>
          <w:p>
            <w:pPr>
              <w:pStyle w:val="TableContents"/>
              <w:bidi w:val="0"/>
              <w:spacing w:before="0" w:after="1"/>
              <w:ind w:left="0" w:right="0" w:hanging="0"/>
              <w:jc w:val="center"/>
              <w:rPr/>
            </w:pPr>
            <w:r>
              <w:rPr/>
              <w:t>​</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524"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352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 xml:space="preserve">68,002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68,002</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68,002</w:t>
            </w:r>
          </w:p>
        </w:tc>
        <w:tc>
          <w:tcPr>
            <w:tcW w:w="33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Arial;Helvetica;sans-serif" w:hAnsi="Arial;Helvetica;sans-serif"/>
          <w:b/>
          <w:sz w:val="20"/>
        </w:rPr>
      </w:pPr>
      <w:bookmarkStart w:id="491" w:name="Tc_kxrApKFkXEazrGSb40GlGg_5_5"/>
      <w:bookmarkStart w:id="492" w:name="Tc_lEZf-syRHk21e2t1wZ6laA_5_2"/>
      <w:bookmarkStart w:id="493" w:name="Tc_wYy0LRXrhEWng2H5374WKA_5_0"/>
      <w:bookmarkStart w:id="494" w:name="Tc_JMzyP6Up6kagHItK7zd90Q_4_0"/>
      <w:bookmarkStart w:id="495" w:name="Tc_gIAVmt5T8kOhVOrp3hVkFg_3_5"/>
      <w:bookmarkStart w:id="496" w:name="Tc_79tGEFwlJU2edjvhEVW3aQ_3_2"/>
      <w:bookmarkStart w:id="497" w:name="Tc_K23DmCqjzkyZNQtsHBe_QQ_3_0"/>
      <w:bookmarkStart w:id="498" w:name="Tc_GuVEtUvmG0uvtzbpnVZtpw_2_5"/>
      <w:bookmarkStart w:id="499" w:name="Tc_WuBlxr-PJU-OBEMURgeouw_2_2"/>
      <w:bookmarkStart w:id="500" w:name="Tc_1AEyTMQlnkWYQny1hrKEzQ_1_5"/>
      <w:bookmarkStart w:id="501" w:name="Tc_tOB9smKE7U6S7R3RXMzUSg_1_2"/>
      <w:bookmarkStart w:id="502" w:name="_93e57a6a_1b16_40d0_aa68_96eb2af7a3fc"/>
      <w:bookmarkEnd w:id="491"/>
      <w:bookmarkEnd w:id="492"/>
      <w:bookmarkEnd w:id="493"/>
      <w:bookmarkEnd w:id="494"/>
      <w:bookmarkEnd w:id="495"/>
      <w:bookmarkEnd w:id="496"/>
      <w:bookmarkEnd w:id="497"/>
      <w:bookmarkEnd w:id="498"/>
      <w:bookmarkEnd w:id="499"/>
      <w:bookmarkEnd w:id="500"/>
      <w:bookmarkEnd w:id="501"/>
      <w:bookmarkEnd w:id="502"/>
      <w:r>
        <w:rPr>
          <w:rFonts w:ascii="Arial;Helvetica;sans-serif" w:hAnsi="Arial;Helvetica;sans-serif"/>
          <w:b/>
          <w:sz w:val="20"/>
        </w:rPr>
        <w:t>6.     ACCOUNTS RECEIVABLE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accounts receivable, net as of March 31, 2023 and December 31, 2022 (in thousands):</w:t>
      </w:r>
    </w:p>
    <w:p>
      <w:pPr>
        <w:pStyle w:val="TextBody"/>
        <w:bidi w:val="0"/>
        <w:spacing w:before="0" w:after="200"/>
        <w:ind w:left="0" w:right="0" w:hanging="0"/>
        <w:jc w:val="left"/>
        <w:rPr/>
      </w:pPr>
      <w:r>
        <w:rPr/>
        <w:t>​</w:t>
      </w:r>
    </w:p>
    <w:tbl>
      <w:tblPr>
        <w:tblW w:w="6044" w:type="dxa"/>
        <w:jc w:val="left"/>
        <w:tblInd w:w="0" w:type="dxa"/>
        <w:tblLayout w:type="fixed"/>
        <w:tblCellMar>
          <w:top w:w="0" w:type="dxa"/>
          <w:left w:w="0" w:type="dxa"/>
          <w:bottom w:w="0" w:type="dxa"/>
          <w:right w:w="0" w:type="dxa"/>
        </w:tblCellMar>
      </w:tblPr>
      <w:tblGrid>
        <w:gridCol w:w="3106"/>
        <w:gridCol w:w="326"/>
        <w:gridCol w:w="211"/>
        <w:gridCol w:w="706"/>
        <w:gridCol w:w="326"/>
        <w:gridCol w:w="284"/>
        <w:gridCol w:w="931"/>
        <w:gridCol w:w="154"/>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972310" cy="175260"/>
                      <wp:effectExtent l="0" t="0" r="0" b="0"/>
                      <wp:wrapNone/>
                      <wp:docPr id="78" name="Frame78"/>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48310" cy="175260"/>
                      <wp:effectExtent l="0" t="0" r="0" b="0"/>
                      <wp:wrapNone/>
                      <wp:docPr id="81" name="Frame8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0340" cy="175260"/>
                      <wp:effectExtent l="0" t="0" r="0" b="0"/>
                      <wp:wrapNone/>
                      <wp:docPr id="83" name="Frame8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91185" cy="175260"/>
                      <wp:effectExtent l="0" t="0" r="0" b="0"/>
                      <wp:wrapNone/>
                      <wp:docPr id="84" name="Frame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7790" cy="175260"/>
                      <wp:effectExtent l="0" t="0" r="0" b="0"/>
                      <wp:wrapNone/>
                      <wp:docPr id="85" name="Frame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center"/>
              <w:rPr/>
            </w:pPr>
            <w:r>
              <w:rPr/>
              <w:t>​</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accounts receivable - trade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11,372</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Allowances for credit losses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(1,920)</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(1,648)</w:t>
            </w:r>
          </w:p>
        </w:tc>
        <w:tc>
          <w:tcPr>
            <w:tcW w:w="154"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9,452</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13,591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503" w:name="Tc_gmH3uvLM-UW07svtR4jmwQ_11_5"/>
      <w:bookmarkStart w:id="504" w:name="Tc_SDEGJh_5LE-42lEV13pjhA_11_2"/>
      <w:bookmarkStart w:id="505" w:name="Tc_un4vSbah5UCO_InAvy5OEg_11_0"/>
      <w:bookmarkStart w:id="506" w:name="Tc_f0GkvuR_N0e4F6Ov0EDI7A_10_0"/>
      <w:bookmarkStart w:id="507" w:name="Tc_sVM1HaVo6EqMiQOcHPbzKA_9_0"/>
      <w:bookmarkStart w:id="508" w:name="Tc_sCTXO7Zw70C7VIK86T6M2Q_8_0"/>
      <w:bookmarkStart w:id="509" w:name="Tc_0HCgZE9-ukOBPdV73Qlmug_7_0"/>
      <w:bookmarkStart w:id="510" w:name="Tc_24n2H5dajkib7mrlltmg8g_6_0"/>
      <w:bookmarkStart w:id="511" w:name="Tc_WnwS0LZpj0WCBWm9TPmgew_5_0"/>
      <w:bookmarkStart w:id="512" w:name="Tc_TCmeYekAn0ODPnjin0OGeQ_4_0"/>
      <w:bookmarkStart w:id="513" w:name="Tc_J7gH7hO1IE2g_d2XiEOUUg_3_5"/>
      <w:bookmarkStart w:id="514" w:name="Tc_0zeuo4JDwEiBWLRB9QknRg_3_2"/>
      <w:bookmarkStart w:id="515" w:name="Tc_Vmp-IX7yrEiTToohXDHegQ_3_0"/>
      <w:bookmarkStart w:id="516" w:name="Tc_Z-lZusKMqUyIQ67sv82ROQ_2_5"/>
      <w:bookmarkStart w:id="517" w:name="Tc_53A_ZAyZG0SLFwyODKT7nA_2_2"/>
      <w:bookmarkStart w:id="518" w:name="Tc_pb40BK6bq0e7qJKMwDvxXA_1_5"/>
      <w:bookmarkStart w:id="519" w:name="Tc_QUMJR-JiTkyTZvOPE_My7A_1_2"/>
      <w:bookmarkStart w:id="520" w:name="_2a1ce1b0_bea7_4336_8224_79200ae0780f"/>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rPr>
          <w:rFonts w:ascii="Arial;Helvetica;sans-serif" w:hAnsi="Arial;Helvetica;sans-serif"/>
          <w:b/>
          <w:sz w:val="20"/>
        </w:rPr>
        <w:t>7.     PROPERTY AND EQUIPMENT AND CAPITALIZED SOFTWARE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property and equipment, net as of March 31, 2023 and December 31, 2022 (in thousands):</w:t>
      </w:r>
    </w:p>
    <w:p>
      <w:pPr>
        <w:pStyle w:val="TextBody"/>
        <w:bidi w:val="0"/>
        <w:spacing w:before="0" w:after="200"/>
        <w:ind w:left="0" w:right="0" w:hanging="0"/>
        <w:jc w:val="left"/>
        <w:rPr/>
      </w:pPr>
      <w:r>
        <w:rPr/>
        <w:t>​</w:t>
      </w:r>
    </w:p>
    <w:tbl>
      <w:tblPr>
        <w:tblW w:w="6029" w:type="dxa"/>
        <w:jc w:val="left"/>
        <w:tblInd w:w="0" w:type="dxa"/>
        <w:tblLayout w:type="fixed"/>
        <w:tblCellMar>
          <w:top w:w="0" w:type="dxa"/>
          <w:left w:w="0" w:type="dxa"/>
          <w:bottom w:w="0" w:type="dxa"/>
          <w:right w:w="0" w:type="dxa"/>
        </w:tblCellMar>
      </w:tblPr>
      <w:tblGrid>
        <w:gridCol w:w="3091"/>
        <w:gridCol w:w="326"/>
        <w:gridCol w:w="211"/>
        <w:gridCol w:w="706"/>
        <w:gridCol w:w="326"/>
        <w:gridCol w:w="299"/>
        <w:gridCol w:w="916"/>
        <w:gridCol w:w="15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962785" cy="175260"/>
                      <wp:effectExtent l="0" t="0" r="0" b="0"/>
                      <wp:wrapNone/>
                      <wp:docPr id="86" name="Frame8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48310" cy="175260"/>
                      <wp:effectExtent l="0" t="0" r="0" b="0"/>
                      <wp:wrapNone/>
                      <wp:docPr id="89" name="Frame8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89865" cy="175260"/>
                      <wp:effectExtent l="0" t="0" r="0" b="0"/>
                      <wp:wrapNone/>
                      <wp:docPr id="91" name="Frame9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81660" cy="175260"/>
                      <wp:effectExtent l="0" t="0" r="0" b="0"/>
                      <wp:wrapNone/>
                      <wp:docPr id="92" name="Frame9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7790" cy="175260"/>
                      <wp:effectExtent l="0" t="0" r="0" b="0"/>
                      <wp:wrapNone/>
                      <wp:docPr id="93" name="Frame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Laboratory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Office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1,874</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Manufacturing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1,436</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Rental equipment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542</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542</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5,196</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5,048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(3,206)</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(3,057)</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1,990</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March 31, 2023 and December 31, 2022, the Company had capitalized software costs, net of $3.4 million and $3.6 million, respectively, which are included in “Prepaid expenses and other current assets” and “Other assets” on the balance sheet.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 expense was $0.5 million and $0.3 million for the three months ended March 31, 2023 and 2022 respectively.</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8.     NOTES RECEIVABLE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Greenbrook TMS Inc</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On March 31, 2023, the Company entered into a Secured Promissory Note and Guaranty Agreement (the “Promissory Note”) with TMS Neurohealth Centers Inc. (the “Maker”) and Greenbrook TMS Inc. and its subsidiaries, excluding the Maker (the “Guarantors”), in the principal amount of $6.0 million for a period of four years.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Promissory Note will bear interest at a rate equal to the sum of (a) the floating interest rate of daily secured overnight financing rate as administered by the Federal Reserve Bank of New York on its website (“SOFR”) plus (b) 7.65%.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Pursuant to the terms of the Promissory Note, in the event of an event of default thereunder, the Maker will be required to issue common share purchase warrants to the Company equal to (i) 200% of the unpaid amount of any delinquent amount or payment due and payable under the Promissory Note, together with all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outstanding and unpaid accrued interest, fees, charges and costs, divided by (ii) the exercise price of the warrants, which will represent a 20% discount to the 30-day volume-weighted average closing price of the Company’s common shares traded on the Nasdaq Stock Market (“Nasdaq”) prior to the date of issuance (subject to any limitations that may be required by Nasdaq).</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Under the Promissory Note and related loan documents, the Maker and the Guarantors have granted to the Company a security interest in substantially all of the Maker and the Guarantors’ assets and the Guarantors have guaranteed the Maker’s obligations under the Promissory Note. The Company’s security interest pursuant to the Promissory Note and related loan documents ranks pari passu with the Maker’s senior lender, Madryn Fund Administration, LLC, and is subject to an intercreditor agreement.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Success TMS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September 29, 2021, the Company entered into an exclusive, five-year master sales agreement with Check Five LLC doing business as Success TMS (“Success TMS”). In connection with the Commercial Agreement, the Company agreed to loan Success TMS the principal amount of $10.0 million for a period of five years pursuant to a secured promissory note (the “Note”). The Note included interest at a floating rate equal to the prime rate plus 6.00% per annum and interest-only period through October 1, 2022, after which time Success TMS was required to make monthly payments of principal and interest.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July 14, 2022, Success TMS repaid in full the Note with a cash payment of $10.5 million, which included all outstanding principal, prepayment premium and accrued but unpaid interest. The repayment extinguished the Note in its entirety and terminated the Subordination Agreement entered into by the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recognized by the Company was $0.6 million and $0.2 million for the three months ended March 31, 2023 and 2022 respectively.</w:t>
      </w:r>
    </w:p>
    <w:p>
      <w:pPr>
        <w:pStyle w:val="TextBody"/>
        <w:bidi w:val="0"/>
        <w:spacing w:before="0" w:after="200"/>
        <w:ind w:left="0" w:right="0" w:hanging="0"/>
        <w:jc w:val="left"/>
        <w:rPr>
          <w:rFonts w:ascii="Arial;Helvetica;sans-serif" w:hAnsi="Arial;Helvetica;sans-serif"/>
          <w:b/>
          <w:sz w:val="20"/>
        </w:rPr>
      </w:pPr>
      <w:bookmarkStart w:id="521" w:name="Tc_jY0jhNtpSkiK_FlliPbMWA_6_6"/>
      <w:bookmarkStart w:id="522" w:name="Tc_nsAziyTaUE2l_f3xWoW3fQ_6_5"/>
      <w:bookmarkStart w:id="523" w:name="Tc_SwbTu0V3VUi2StFKEouWVw_6_3"/>
      <w:bookmarkStart w:id="524" w:name="Tc_skeHTOz_g021iao17oECww_6_2"/>
      <w:bookmarkStart w:id="525" w:name="Tc_EPiDfTJyWESD-RdXbnp8zw_6_0"/>
      <w:bookmarkStart w:id="526" w:name="Tc_78PnyLi1vUC_2FcXKVyvew_5_0"/>
      <w:bookmarkStart w:id="527" w:name="Tc_q0sce1_tnEmTPrpN5_L65A_4_5"/>
      <w:bookmarkStart w:id="528" w:name="Tc_j7ibLsmM40qYzcHn6tN_cQ_4_2"/>
      <w:bookmarkStart w:id="529" w:name="Tc_l9kMsX5LHECr2il_wmWTRg_4_0"/>
      <w:bookmarkStart w:id="530" w:name="Tc_8-SP08glrkCo705rRujr5A_3_0"/>
      <w:bookmarkStart w:id="531" w:name="Tc_lhBY9XYES0qm8bYWk3u3Cw_2_5"/>
      <w:bookmarkStart w:id="532" w:name="Tc_kAkRN-5K7EKMBLfGIfTymA_2_2"/>
      <w:bookmarkStart w:id="533" w:name="Tc_h01yUd_q6EalOPdYRpyuOA_1_2"/>
      <w:bookmarkStart w:id="534" w:name="_a733408e_db26_4794_9acb_46fb218c48d9"/>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Pr>
          <w:rFonts w:ascii="Arial;Helvetica;sans-serif" w:hAnsi="Arial;Helvetica;sans-serif"/>
          <w:b/>
          <w:sz w:val="20"/>
        </w:rPr>
        <w:t>9.     LEASES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Lessee: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operating leases for its corporate headquarters, a training facility and office equipment, including copiers. The Company leases an approximately 32,000 square foot facility in Malvern, Pennsylvania for its corporate headquarters, which includes office and warehouse space. The Company leases an approximately 9,600 square foot facility in Charlotte, North Carolina as a training facility for its NeuroStar Advanced Therapy Systems. The Company does not currently have any finance leases or executed leases that have not yet commenced.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Operating lease rent expense was $0.2 million for the three months ended March 31, 2023 and 2022. As of March 31, 2023, the weighted-average remaining lease term of operating leases was 4.8 years and the weighted-average discount rate was 7.2%.</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supplemental cash flow information as a lessee related to leases (in thousands):</w:t>
      </w:r>
    </w:p>
    <w:p>
      <w:pPr>
        <w:pStyle w:val="TextBody"/>
        <w:bidi w:val="0"/>
        <w:spacing w:before="0" w:after="200"/>
        <w:ind w:left="0" w:right="0" w:hanging="0"/>
        <w:jc w:val="left"/>
        <w:rPr/>
      </w:pPr>
      <w:r>
        <w:rPr/>
        <w:t>​</w:t>
      </w:r>
    </w:p>
    <w:tbl>
      <w:tblPr>
        <w:tblW w:w="9642" w:type="dxa"/>
        <w:jc w:val="left"/>
        <w:tblInd w:w="0" w:type="dxa"/>
        <w:tblLayout w:type="fixed"/>
        <w:tblCellMar>
          <w:top w:w="0" w:type="dxa"/>
          <w:left w:w="0" w:type="dxa"/>
          <w:bottom w:w="0" w:type="dxa"/>
          <w:right w:w="0" w:type="dxa"/>
        </w:tblCellMar>
      </w:tblPr>
      <w:tblGrid>
        <w:gridCol w:w="6271"/>
        <w:gridCol w:w="326"/>
        <w:gridCol w:w="420"/>
        <w:gridCol w:w="841"/>
        <w:gridCol w:w="369"/>
        <w:gridCol w:w="420"/>
        <w:gridCol w:w="841"/>
        <w:gridCol w:w="154"/>
      </w:tblGrid>
      <w:tr>
        <w:trPr/>
        <w:tc>
          <w:tcPr>
            <w:tcW w:w="6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982085" cy="175260"/>
                      <wp:effectExtent l="0" t="0" r="0" b="0"/>
                      <wp:wrapNone/>
                      <wp:docPr id="94" name="Frame94"/>
                      <a:graphic xmlns:a="http://schemas.openxmlformats.org/drawingml/2006/main">
                        <a:graphicData uri="http://schemas.microsoft.com/office/word/2010/wordprocessingShape">
                          <wps:wsp>
                            <wps:cNvSpPr txBox="1"/>
                            <wps:spPr>
                              <a:xfrm>
                                <a:off x="0" y="0"/>
                                <a:ext cx="398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66700" cy="175260"/>
                      <wp:effectExtent l="0" t="0" r="0" b="0"/>
                      <wp:wrapNone/>
                      <wp:docPr id="96" name="Frame9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34035" cy="175260"/>
                      <wp:effectExtent l="0" t="0" r="0" b="0"/>
                      <wp:wrapNone/>
                      <wp:docPr id="97" name="Frame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34315" cy="175260"/>
                      <wp:effectExtent l="0" t="0" r="0" b="0"/>
                      <wp:wrapNone/>
                      <wp:docPr id="98" name="Frame98"/>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66700" cy="175260"/>
                      <wp:effectExtent l="0" t="0" r="0" b="0"/>
                      <wp:wrapNone/>
                      <wp:docPr id="99" name="Frame9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4035" cy="175260"/>
                      <wp:effectExtent l="0" t="0" r="0" b="0"/>
                      <wp:wrapNone/>
                      <wp:docPr id="100" name="Frame10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97790" cy="175260"/>
                      <wp:effectExtent l="0" t="0" r="0" b="0"/>
                      <wp:wrapNone/>
                      <wp:docPr id="101" name="Frame10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8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54" w:type="dxa"/>
            <w:tcBorders/>
            <w:vAlign w:val="center"/>
          </w:tcPr>
          <w:p>
            <w:pPr>
              <w:pStyle w:val="TableContents"/>
              <w:bidi w:val="0"/>
              <w:spacing w:before="0" w:after="1"/>
              <w:ind w:left="0" w:right="0" w:hanging="0"/>
              <w:jc w:val="left"/>
              <w:rPr/>
            </w:pPr>
            <w:r>
              <w:rPr/>
              <w:t>​</w:t>
            </w:r>
          </w:p>
        </w:tc>
      </w:tr>
      <w:tr>
        <w:trPr/>
        <w:tc>
          <w:tcPr>
            <w:tcW w:w="6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369"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2022</w:t>
            </w:r>
          </w:p>
        </w:tc>
        <w:tc>
          <w:tcPr>
            <w:tcW w:w="154" w:type="dxa"/>
            <w:tcBorders/>
            <w:vAlign w:val="center"/>
          </w:tcPr>
          <w:p>
            <w:pPr>
              <w:pStyle w:val="TableContents"/>
              <w:bidi w:val="0"/>
              <w:spacing w:before="0" w:after="1"/>
              <w:ind w:left="0" w:right="0" w:hanging="0"/>
              <w:jc w:val="left"/>
              <w:rPr/>
            </w:pPr>
            <w:r>
              <w:rPr/>
              <w:t>​</w:t>
            </w:r>
          </w:p>
        </w:tc>
      </w:tr>
      <w:tr>
        <w:trPr/>
        <w:tc>
          <w:tcPr>
            <w:tcW w:w="6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amounts included in the measurement of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42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c>
          <w:tcPr>
            <w:tcW w:w="369" w:type="dxa"/>
            <w:tcBorders/>
            <w:shd w:fill="CCEEFF" w:val="clear"/>
            <w:vAlign w:val="center"/>
          </w:tcPr>
          <w:p>
            <w:pPr>
              <w:pStyle w:val="TableContents"/>
              <w:bidi w:val="0"/>
              <w:spacing w:before="0" w:after="1"/>
              <w:ind w:left="0" w:right="0" w:hanging="0"/>
              <w:jc w:val="left"/>
              <w:rPr/>
            </w:pPr>
            <w:r>
              <w:rPr/>
              <w:t> </w:t>
            </w:r>
          </w:p>
        </w:tc>
        <w:tc>
          <w:tcPr>
            <w:tcW w:w="42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w:t>
            </w:r>
          </w:p>
        </w:tc>
        <w:tc>
          <w:tcPr>
            <w:tcW w:w="36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w:t>
            </w:r>
          </w:p>
        </w:tc>
        <w:tc>
          <w:tcPr>
            <w:tcW w:w="154" w:type="dxa"/>
            <w:tcBorders/>
            <w:vAlign w:val="center"/>
          </w:tcPr>
          <w:p>
            <w:pPr>
              <w:pStyle w:val="TableContents"/>
              <w:bidi w:val="0"/>
              <w:spacing w:before="0" w:after="1"/>
              <w:ind w:left="0" w:right="0" w:hanging="0"/>
              <w:jc w:val="left"/>
              <w:rPr/>
            </w:pPr>
            <w:r>
              <w:rPr/>
              <w:t>​</w:t>
            </w:r>
          </w:p>
        </w:tc>
      </w:tr>
      <w:tr>
        <w:trPr/>
        <w:tc>
          <w:tcPr>
            <w:tcW w:w="6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Right-of-use assets obtained in exchange for lease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6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leases</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0" w:after="1"/>
              <w:ind w:left="0" w:right="0" w:hanging="0"/>
              <w:jc w:val="right"/>
              <w:rPr/>
            </w:pPr>
            <w:r>
              <w:rPr/>
              <w:t>—</w:t>
            </w:r>
          </w:p>
        </w:tc>
        <w:tc>
          <w:tcPr>
            <w:tcW w:w="36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bookmarkStart w:id="535" w:name="Tc_n2oGAE8I6ku1s2z_V7m2FQ_8_2"/>
      <w:bookmarkStart w:id="536" w:name="Tc_YkrIWqlqH0-skqPR4sLKVQ_8_0"/>
      <w:bookmarkStart w:id="537" w:name="Tc_qMqqSfcti02HK5XucFGoHw_7_3"/>
      <w:bookmarkStart w:id="538" w:name="Tc_fTPJealnJUi8an2dX4U5UA_7_0"/>
      <w:bookmarkStart w:id="539" w:name="Tc_IxenuoydfEOYQnaIk261rA_6_0"/>
      <w:bookmarkStart w:id="540" w:name="Tc_3WAHpTEq3kWvrGtVTJEDmQ_5_0"/>
      <w:bookmarkStart w:id="541" w:name="Tc_YtTG5djGnkSlR0Z9LCvMTg_4_0"/>
      <w:bookmarkStart w:id="542" w:name="Tc_wSuIAuwlJUSInGGQCgE8ow_3_2"/>
      <w:bookmarkStart w:id="543" w:name="Tc_xYOROrQJLESkUs2UkBaJIA_3_0"/>
      <w:bookmarkStart w:id="544" w:name="Tc_Eb0JYyttOkGGp-7kZ9wVgQ_2_2"/>
      <w:bookmarkStart w:id="545" w:name="Tc_0PugPWpGEUaM1poIvmpNYg_1_2"/>
      <w:bookmarkStart w:id="546" w:name="_deb0045f_71e0_47b3_bee0_6b5f963782f6"/>
      <w:bookmarkStart w:id="547" w:name="Tc_RCSJVA2cdUWmw-Il5KHSLQ_5_5"/>
      <w:bookmarkStart w:id="548" w:name="Tc_8IuzjXhPGEeR9EEvS_H8iw_5_3"/>
      <w:bookmarkStart w:id="549" w:name="Tc_UucClniypUGxKn5wKd-CsQ_5_2"/>
      <w:bookmarkStart w:id="550" w:name="Tc_3XifaVF7pUqaP0RxQyZKXQ_4_6"/>
      <w:bookmarkStart w:id="551" w:name="Tc_mIqyTsnOl0S7DAYAci0f1w_4_3"/>
      <w:bookmarkStart w:id="552" w:name="Tc_QPkQ_16dv0mq4devvnGO0g_4_0"/>
      <w:bookmarkStart w:id="553" w:name="Tc_EV62CCsagEqXOYRdF33IRw_3_5"/>
      <w:bookmarkStart w:id="554" w:name="Tc_EYgosYWPEUSMqxOa1t9MSw_3_3"/>
      <w:bookmarkStart w:id="555" w:name="Tc_BB0C7Eq520GHAHbK1T0gDg_3_2"/>
      <w:bookmarkStart w:id="556" w:name="Tc_JIoznUmgEES771lDa_YKPw_3_0"/>
      <w:bookmarkStart w:id="557" w:name="Tc_ydmQkFlBkEq5Vvuz5ojWCA_2_5"/>
      <w:bookmarkStart w:id="558" w:name="Tc_7C0npex2n0-u1sCG3MJ5Ng_2_2"/>
      <w:bookmarkStart w:id="559" w:name="Tc_NNCZYJChW0uQlPkHkt_j6w_1_2"/>
      <w:bookmarkStart w:id="560" w:name="_3366b561_f0fe_442b_905d_3f5b58dd232d"/>
      <w:bookmarkStart w:id="561" w:name="Tc_GW3js2FMtUGoYey21JNGoA_10_2"/>
      <w:bookmarkStart w:id="562" w:name="Tc_pV5yXbm01Eyb-p73UGQrhw_10_0"/>
      <w:bookmarkStart w:id="563" w:name="Tc_RIY-bh0CgEGEfE8gvN1UhQ_9_0"/>
      <w:bookmarkStart w:id="564" w:name="Tc_0phIwd6QqkO-DBdjM8iGYA_8_0"/>
      <w:bookmarkStart w:id="565" w:name="Tc_W5juqLagqEuSgev-ReEO8A_7_0"/>
      <w:bookmarkStart w:id="566" w:name="Tc_VSqhyw6Pf0SHarBQVxzxQA_6_0"/>
      <w:bookmarkStart w:id="567" w:name="Tc_dFaADA6iG0q-s7oGm2pt9w_5_0"/>
      <w:bookmarkStart w:id="568" w:name="Tc_PkwtxrAqhUW8ipwNgGbDHw_4_0"/>
      <w:bookmarkStart w:id="569" w:name="Tc_bIQ_jksHKEyB3jsXtLn2AQ_3_0"/>
      <w:bookmarkStart w:id="570" w:name="Tc_YrU_rrAzc0yn_gPA_4ILrQ_2_2"/>
      <w:bookmarkStart w:id="571" w:name="Tc_Jis3R2nduUSkDmVMMDkslA_2_0"/>
      <w:bookmarkStart w:id="572" w:name="Tc_TQJGhLda6UmCXzjWs1lL5Q_1_2"/>
      <w:bookmarkStart w:id="573" w:name="_c2e02eb5_8567_496d_9ea5_78df2a57c460"/>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r>
        <w:rPr>
          <w:rFonts w:ascii="Arial;Helvetica;sans-serif" w:hAnsi="Arial;Helvetica;sans-serif"/>
          <w:sz w:val="20"/>
        </w:rPr>
        <w:t>The following table sets forth by year the required future payments of operating lease liabilities (in thousands):</w:t>
      </w:r>
    </w:p>
    <w:p>
      <w:pPr>
        <w:pStyle w:val="TextBody"/>
        <w:bidi w:val="0"/>
        <w:spacing w:before="0" w:after="200"/>
        <w:ind w:left="0" w:right="0" w:hanging="0"/>
        <w:jc w:val="left"/>
        <w:rPr/>
      </w:pPr>
      <w:r>
        <w:rPr/>
        <w:t>​</w:t>
      </w:r>
    </w:p>
    <w:tbl>
      <w:tblPr>
        <w:tblW w:w="5259" w:type="dxa"/>
        <w:jc w:val="left"/>
        <w:tblInd w:w="0" w:type="dxa"/>
        <w:tblLayout w:type="fixed"/>
        <w:tblCellMar>
          <w:top w:w="0" w:type="dxa"/>
          <w:left w:w="0" w:type="dxa"/>
          <w:bottom w:w="0" w:type="dxa"/>
          <w:right w:w="0" w:type="dxa"/>
        </w:tblCellMar>
      </w:tblPr>
      <w:tblGrid>
        <w:gridCol w:w="3736"/>
        <w:gridCol w:w="109"/>
        <w:gridCol w:w="333"/>
        <w:gridCol w:w="927"/>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372360" cy="175260"/>
                      <wp:effectExtent l="0" t="0" r="0" b="0"/>
                      <wp:wrapNone/>
                      <wp:docPr id="102" name="Frame10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1455" cy="175260"/>
                      <wp:effectExtent l="0" t="0" r="0" b="0"/>
                      <wp:wrapNone/>
                      <wp:docPr id="104" name="Frame104"/>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88645" cy="175260"/>
                      <wp:effectExtent l="0" t="0" r="0" b="0"/>
                      <wp:wrapNone/>
                      <wp:docPr id="105" name="Frame105"/>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7790" cy="175260"/>
                      <wp:effectExtent l="0" t="0" r="0" b="0"/>
                      <wp:wrapNone/>
                      <wp:docPr id="106" name="Frame1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Remainder of 2023</w:t>
            </w:r>
          </w:p>
        </w:tc>
        <w:tc>
          <w:tcPr>
            <w:tcW w:w="109" w:type="dxa"/>
            <w:tcBorders/>
            <w:shd w:fill="CCEEFF" w:val="clear"/>
            <w:vAlign w:val="center"/>
          </w:tcPr>
          <w:p>
            <w:pPr>
              <w:pStyle w:val="TableContents"/>
              <w:bidi w:val="0"/>
              <w:spacing w:before="0" w:after="1"/>
              <w:ind w:left="0" w:right="0" w:hanging="0"/>
              <w:jc w:val="center"/>
              <w:rPr/>
            </w:pPr>
            <w:r>
              <w:rPr/>
              <w:t>​</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642</w:t>
            </w:r>
          </w:p>
        </w:tc>
        <w:tc>
          <w:tcPr>
            <w:tcW w:w="154" w:type="dxa"/>
            <w:tcBorders/>
            <w:shd w:fill="CCEEFF" w:val="clear"/>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109"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875</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109"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921</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Thereafter</w:t>
            </w:r>
          </w:p>
        </w:tc>
        <w:tc>
          <w:tcPr>
            <w:tcW w:w="109"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4,334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(688)</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Present value of 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3,646</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Lessor sales-type 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Certain customers have purchased NeuroStar Advanced Therapy Systems on a rent-to-own basis. The lease term is </w:t>
      </w:r>
      <w:r>
        <w:rPr>
          <w:rFonts w:ascii="Arial;Helvetica;sans-serif" w:hAnsi="Arial;Helvetica;sans-serif"/>
          <w:b w:val="false"/>
          <w:i w:val="false"/>
          <w:caps w:val="false"/>
          <w:smallCaps w:val="false"/>
          <w:sz w:val="20"/>
        </w:rPr>
        <w:t>three</w:t>
      </w:r>
      <w:r>
        <w:rPr>
          <w:rFonts w:ascii="Arial;Helvetica;sans-serif" w:hAnsi="Arial;Helvetica;sans-serif"/>
          <w:sz w:val="20"/>
        </w:rPr>
        <w:t> or four years with a customer option to purchase the NeuroStar Advanced Therapy System at the end of the lease or automatic transfer of ownership of the NeuroStar Advanced Therapy System at the end of the lease.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table sets forth the profit recognized on sales-type leases (in thousands):</w:t>
      </w:r>
    </w:p>
    <w:p>
      <w:pPr>
        <w:pStyle w:val="TextBody"/>
        <w:bidi w:val="0"/>
        <w:spacing w:before="0" w:after="200"/>
        <w:ind w:left="0" w:right="0" w:hanging="0"/>
        <w:jc w:val="left"/>
        <w:rPr/>
      </w:pPr>
      <w:r>
        <w:rPr/>
        <w:t>​</w:t>
      </w:r>
    </w:p>
    <w:tbl>
      <w:tblPr>
        <w:tblW w:w="6734" w:type="dxa"/>
        <w:jc w:val="left"/>
        <w:tblInd w:w="0" w:type="dxa"/>
        <w:tblLayout w:type="fixed"/>
        <w:tblCellMar>
          <w:top w:w="0" w:type="dxa"/>
          <w:left w:w="0" w:type="dxa"/>
          <w:bottom w:w="0" w:type="dxa"/>
          <w:right w:w="0" w:type="dxa"/>
        </w:tblCellMar>
      </w:tblPr>
      <w:tblGrid>
        <w:gridCol w:w="3661"/>
        <w:gridCol w:w="326"/>
        <w:gridCol w:w="380"/>
        <w:gridCol w:w="623"/>
        <w:gridCol w:w="587"/>
        <w:gridCol w:w="380"/>
        <w:gridCol w:w="623"/>
        <w:gridCol w:w="154"/>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324735" cy="175260"/>
                      <wp:effectExtent l="0" t="0" r="0" b="0"/>
                      <wp:wrapNone/>
                      <wp:docPr id="107" name="Frame107"/>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41300" cy="175260"/>
                      <wp:effectExtent l="0" t="0" r="0" b="0"/>
                      <wp:wrapNone/>
                      <wp:docPr id="109" name="Frame10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95605" cy="175260"/>
                      <wp:effectExtent l="0" t="0" r="0" b="0"/>
                      <wp:wrapNone/>
                      <wp:docPr id="110" name="Frame110"/>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72745" cy="175260"/>
                      <wp:effectExtent l="0" t="0" r="0" b="0"/>
                      <wp:wrapNone/>
                      <wp:docPr id="111" name="Frame111"/>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1300" cy="175260"/>
                      <wp:effectExtent l="0" t="0" r="0" b="0"/>
                      <wp:wrapNone/>
                      <wp:docPr id="112" name="Frame11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95605" cy="175260"/>
                      <wp:effectExtent l="0" t="0" r="0" b="0"/>
                      <wp:wrapNone/>
                      <wp:docPr id="113" name="Frame113"/>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7790" cy="175260"/>
                      <wp:effectExtent l="0" t="0" r="0" b="0"/>
                      <wp:wrapNone/>
                      <wp:docPr id="114" name="Frame11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154" w:type="dxa"/>
            <w:tcBorders/>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587" w:type="dxa"/>
            <w:tcBorders/>
            <w:vAlign w:val="center"/>
          </w:tcPr>
          <w:p>
            <w:pPr>
              <w:pStyle w:val="TableContents"/>
              <w:bidi w:val="0"/>
              <w:spacing w:before="0" w:after="1"/>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left"/>
              <w:rPr/>
            </w:pPr>
            <w:r>
              <w:rPr/>
              <w:t>​</w:t>
            </w:r>
          </w:p>
        </w:tc>
      </w:tr>
      <w:tr>
        <w:trPr/>
        <w:tc>
          <w:tcPr>
            <w:tcW w:w="36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Profit recognized at commencement, net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661"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sales-type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a maturity analysis of the undiscounted lease receivables related to sales-type leases (in thousands):</w:t>
      </w:r>
    </w:p>
    <w:p>
      <w:pPr>
        <w:pStyle w:val="TextBody"/>
        <w:bidi w:val="0"/>
        <w:spacing w:before="0" w:after="200"/>
        <w:ind w:left="0" w:right="0" w:hanging="0"/>
        <w:jc w:val="left"/>
        <w:rPr/>
      </w:pPr>
      <w:r>
        <w:rPr/>
        <w:t>​</w:t>
      </w:r>
    </w:p>
    <w:tbl>
      <w:tblPr>
        <w:tblW w:w="4362" w:type="dxa"/>
        <w:jc w:val="left"/>
        <w:tblInd w:w="0" w:type="dxa"/>
        <w:tblLayout w:type="fixed"/>
        <w:tblCellMar>
          <w:top w:w="0" w:type="dxa"/>
          <w:left w:w="0" w:type="dxa"/>
          <w:bottom w:w="0" w:type="dxa"/>
          <w:right w:w="0" w:type="dxa"/>
        </w:tblCellMar>
      </w:tblPr>
      <w:tblGrid>
        <w:gridCol w:w="3091"/>
        <w:gridCol w:w="326"/>
        <w:gridCol w:w="221"/>
        <w:gridCol w:w="72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962785" cy="175260"/>
                      <wp:effectExtent l="0" t="0" r="0" b="0"/>
                      <wp:wrapNone/>
                      <wp:docPr id="115" name="Frame11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0335" cy="175260"/>
                      <wp:effectExtent l="0" t="0" r="0" b="0"/>
                      <wp:wrapNone/>
                      <wp:docPr id="117" name="Frame11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59740" cy="175260"/>
                      <wp:effectExtent l="0" t="0" r="0" b="0"/>
                      <wp:wrapNone/>
                      <wp:docPr id="118" name="Frame118"/>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4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Remainder of 2023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1,033</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349</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sales-type lease receivables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2,246</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March 31, 2023, the carrying amount of the lease receivables is $2.2 million. The Company does not have any unguaranteed residual assets.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Lessor operating 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NeuroStar Advanced Therapy Systems sold for which collection is not probable are accounted for as operating leases. For the three months ended March 31, 2023 and 2022, the Company recognized operating lease income of $0.04 million and $0.05 million, respectively.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Company maintained rental equipment, net of $0.4</w:t>
      </w:r>
      <w:r>
        <w:rPr>
          <w:rFonts w:ascii="Times New Roman;Times;serif" w:hAnsi="Times New Roman;Times;serif"/>
          <w:sz w:val="20"/>
        </w:rPr>
        <w:t xml:space="preserve"> </w:t>
      </w:r>
      <w:r>
        <w:rPr>
          <w:rFonts w:ascii="Arial;Helvetica;sans-serif" w:hAnsi="Arial;Helvetica;sans-serif"/>
          <w:sz w:val="20"/>
        </w:rPr>
        <w:t xml:space="preserve">million as of March 31, 2023 and December 31, 2022, respectively, which are included in “Property and equipment, net” on the balance sheet. Rental equipment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depreciation expense was $0.02</w:t>
      </w:r>
      <w:r>
        <w:rPr>
          <w:rFonts w:ascii="Times New Roman;Times;serif" w:hAnsi="Times New Roman;Times;serif"/>
          <w:sz w:val="20"/>
        </w:rPr>
        <w:t xml:space="preserve"> </w:t>
      </w:r>
      <w:r>
        <w:rPr>
          <w:rFonts w:ascii="Arial;Helvetica;sans-serif" w:hAnsi="Arial;Helvetica;sans-serif"/>
          <w:sz w:val="20"/>
        </w:rPr>
        <w:t>million and $0.03</w:t>
      </w:r>
      <w:r>
        <w:rPr>
          <w:rFonts w:ascii="Times New Roman;Times;serif" w:hAnsi="Times New Roman;Times;serif"/>
          <w:sz w:val="20"/>
        </w:rPr>
        <w:t xml:space="preserve"> </w:t>
      </w:r>
      <w:r>
        <w:rPr>
          <w:rFonts w:ascii="Arial;Helvetica;sans-serif" w:hAnsi="Arial;Helvetica;sans-serif"/>
          <w:sz w:val="20"/>
        </w:rPr>
        <w:t>million for the three months ended March 31, 2023 and 2022, respectively.</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10.     PREPAID COMMISSION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pays a commission on both NeuroStar Advanced Therapy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NeuroStar Advanced Therapy System commissions are deferred and amortized on a straight-line basis over a seven year period equal to the average customer term, which the Company deems to be the expected period of benefit for these costs.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the Company’s balance sheets, the current portion of capitalized contract costs is represented by the current portion of prepaid commission expense, while the long-term portion is included in prepaid commission expense. Amortization expense was $0.5 million and $0.4 million for the three months ended March 31, 2023 and 2022, respectively.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574" w:name="Tc_q6QDsWaEBkmwaJE4F5-qcA_10_5"/>
      <w:bookmarkStart w:id="575" w:name="Tc_J83ezjHkREaB4s6NWCvOUQ_10_2"/>
      <w:bookmarkStart w:id="576" w:name="Tc_npSavuQ9r0OGfX4anwONSw_10_0"/>
      <w:bookmarkStart w:id="577" w:name="Tc_WQOPwjqTe0K0rH2AMWN6sA_9_0"/>
      <w:bookmarkStart w:id="578" w:name="Tc_WoVT0O_QEEOluYK3JanKqQ_8_0"/>
      <w:bookmarkStart w:id="579" w:name="Tc_0IzjjJcvlkKuA-i6hnrjRw_7_0"/>
      <w:bookmarkStart w:id="580" w:name="Tc_SzWxYdfBRk6ZC4BL32k7OQ_6_0"/>
      <w:bookmarkStart w:id="581" w:name="Tc_ueFFcN-QyUq8z0r8wZjNTw_5_0"/>
      <w:bookmarkStart w:id="582" w:name="Tc_cjYPSTBbYUCEyiO2zpzxXw_4_0"/>
      <w:bookmarkStart w:id="583" w:name="Tc_e-GJSnoZWkSCxkHOD9iudg_3_5"/>
      <w:bookmarkStart w:id="584" w:name="Tc_sZXeu7M5-0O3OB-ynRVa9A_3_2"/>
      <w:bookmarkStart w:id="585" w:name="Tc_JiAVsxdPAkGaYpPhTWwL4g_3_0"/>
      <w:bookmarkStart w:id="586" w:name="Tc_l2uDYd0ypEKZm7s0kNrQhA_2_5"/>
      <w:bookmarkStart w:id="587" w:name="Tc_jME2k9HWpU2omxYc2Jg0EQ_2_2"/>
      <w:bookmarkStart w:id="588" w:name="Tc_dGiVvORZZUmYuV7tyjX9Tg_1_5"/>
      <w:bookmarkStart w:id="589" w:name="Tc_zLR64_wRA0KbPKOIRZ4lvA_1_2"/>
      <w:bookmarkStart w:id="590" w:name="_4f6781de_a2e1_469c_9d4f_6b185d3b7a7e"/>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Pr>
          <w:rFonts w:ascii="Arial;Helvetica;sans-serif" w:hAnsi="Arial;Helvetica;sans-serif"/>
          <w:b/>
          <w:sz w:val="20"/>
        </w:rPr>
        <w:t>11.     ACCRUED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accrued expenses as of March 31, 2023 and December 31, 2022 (in thousands):</w:t>
      </w:r>
    </w:p>
    <w:p>
      <w:pPr>
        <w:pStyle w:val="TextBody"/>
        <w:bidi w:val="0"/>
        <w:spacing w:before="0" w:after="200"/>
        <w:ind w:left="0" w:right="0" w:hanging="0"/>
        <w:jc w:val="left"/>
        <w:rPr/>
      </w:pPr>
      <w:r>
        <w:rPr/>
        <w:t>​</w:t>
      </w:r>
    </w:p>
    <w:tbl>
      <w:tblPr>
        <w:tblW w:w="6203" w:type="dxa"/>
        <w:jc w:val="left"/>
        <w:tblInd w:w="0" w:type="dxa"/>
        <w:tblLayout w:type="fixed"/>
        <w:tblCellMar>
          <w:top w:w="0" w:type="dxa"/>
          <w:left w:w="0" w:type="dxa"/>
          <w:bottom w:w="0" w:type="dxa"/>
          <w:right w:w="0" w:type="dxa"/>
        </w:tblCellMar>
      </w:tblPr>
      <w:tblGrid>
        <w:gridCol w:w="3391"/>
        <w:gridCol w:w="326"/>
        <w:gridCol w:w="237"/>
        <w:gridCol w:w="663"/>
        <w:gridCol w:w="326"/>
        <w:gridCol w:w="263"/>
        <w:gridCol w:w="997"/>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53285" cy="175260"/>
                      <wp:effectExtent l="0" t="0" r="0" b="0"/>
                      <wp:wrapNone/>
                      <wp:docPr id="119" name="Frame119"/>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0495" cy="175260"/>
                      <wp:effectExtent l="0" t="0" r="0" b="0"/>
                      <wp:wrapNone/>
                      <wp:docPr id="121" name="Frame12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21005" cy="175260"/>
                      <wp:effectExtent l="0" t="0" r="0" b="0"/>
                      <wp:wrapNone/>
                      <wp:docPr id="122" name="Frame122"/>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7005" cy="175260"/>
                      <wp:effectExtent l="0" t="0" r="0" b="0"/>
                      <wp:wrapNone/>
                      <wp:docPr id="124" name="Frame12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33095" cy="175260"/>
                      <wp:effectExtent l="0" t="0" r="0" b="0"/>
                      <wp:wrapNone/>
                      <wp:docPr id="125" name="Frame125"/>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Compensation and related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3,952</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11,201</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Consulting and professional fees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1,042</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761</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471</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678</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 expenses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316</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Warranty</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other taxes payable</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674</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800</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7,440</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14,837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12.     DEFERRED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Payment terms typically require payment upon shipment or installation of the NeuroStar Advanced Therapy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may be required for certain customers and are recorded as contract liabilities (deferred revenue). For multi-year agreements, the Company generally invoices customers annually at the beginning of each annual coverage period and recognizes revenue over the term of the coverage period.</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bookmarkStart w:id="591" w:name="Tc_c0u9S-CbBkWbbOKMlAwj3Q_10_11"/>
      <w:bookmarkStart w:id="592" w:name="Tc_X0fwpj7r_ECQqHi0dcd8zw_10_7"/>
      <w:bookmarkStart w:id="593" w:name="Tc_FGqkjIFbhUCFAqqo4E9XmQ_10_6"/>
      <w:bookmarkStart w:id="594" w:name="Tc_SuYfdzOI5UiPwK9qSVUqEw_10_2"/>
      <w:bookmarkStart w:id="595" w:name="Tc_PfnxuTGal026NhLb1coE6w_10_0"/>
      <w:bookmarkStart w:id="596" w:name="Tc_r2M2NXpPuEO-ZQw7rL1-hw_9_11"/>
      <w:bookmarkStart w:id="597" w:name="Tc_a_1bVqhJlkivM1A1iJhHZw_9_6"/>
      <w:bookmarkStart w:id="598" w:name="Tc_lJsMX-z7gEqN2UZB7fJYOw_9_0"/>
      <w:bookmarkStart w:id="599" w:name="Tc_qxYdGFTRcECXOBFkUwruXQ_8_11"/>
      <w:bookmarkStart w:id="600" w:name="Tc_sGgfUN0iz0OI3w5NL47mOw_8_6"/>
      <w:bookmarkStart w:id="601" w:name="Tc_hI8tqrELaUmGzZFebq5xxw_8_0"/>
      <w:bookmarkStart w:id="602" w:name="Tc_gkIPoc9vTkmtgLRVhN5BTQ_7_11"/>
      <w:bookmarkStart w:id="603" w:name="Tc_XRIBUOASJE29gY_p4geMvQ_7_7"/>
      <w:bookmarkStart w:id="604" w:name="Tc_WnquQPP8c02LDBf3nTWNag_7_6"/>
      <w:bookmarkStart w:id="605" w:name="Tc_sntUE5WsUEWx_1iB6NzQfQ_7_2"/>
      <w:bookmarkStart w:id="606" w:name="Tc_EOFCPJPELUyOyBbkaCZxTQ_7_0"/>
      <w:bookmarkStart w:id="607" w:name="Tc_ofeu17TtyESmNzplKWlf3g_6_2"/>
      <w:bookmarkStart w:id="608" w:name="Tc_LeUma3p-_EC7rpV-1UkhLQ_5_10"/>
      <w:bookmarkStart w:id="609" w:name="Tc_nB_KiNTPUkiTTdPTUnIxsQ_5_7"/>
      <w:bookmarkStart w:id="610" w:name="Tc_5YevQdCRvkeeoSVZ_6yvgQ_5_5"/>
      <w:bookmarkStart w:id="611" w:name="Tc_lF7NiLCzy0m8ho4TlgA44w_5_2"/>
      <w:bookmarkStart w:id="612" w:name="Tc_WYWtM3o_10C3GJYYFtKBMw_4_10"/>
      <w:bookmarkStart w:id="613" w:name="Tc_spOXAHnKIUqKkIdDR5ZFmQ_4_5"/>
      <w:bookmarkStart w:id="614" w:name="Tc_B4GyF40Qv0i2HqjoO_W5zg_3_7"/>
      <w:bookmarkStart w:id="615" w:name="Tc_c6ji3tFqrEmWdkAjNJq8cA_3_2"/>
      <w:bookmarkStart w:id="616" w:name="Tc_uws01bsVZEqmXibb7IbDag_2_2"/>
      <w:bookmarkStart w:id="617" w:name="Tc__Lpq4M1k5ku-hyx29znvZw_1_2"/>
      <w:bookmarkStart w:id="618" w:name="Tc_8pB9ie1l4kOKwLiK_HCADQ_9_11"/>
      <w:bookmarkStart w:id="619" w:name="Tc_HoWslwZopEuVkwC35KYgxQ_9_7"/>
      <w:bookmarkStart w:id="620" w:name="Tc_iBirxcjOn0CYggUSQGAuog_9_6"/>
      <w:bookmarkStart w:id="621" w:name="Tc_Yg8CBilS2Ea6d_je9ftQ6Q_9_2"/>
      <w:bookmarkStart w:id="622" w:name="Tc_my2OlRSAlUCYsXX-cMfxRQ_9_0"/>
      <w:bookmarkStart w:id="623" w:name="Tc_tjMmFp5diEKSC_V9kPd0Cg_8_11"/>
      <w:bookmarkStart w:id="624" w:name="Tc_-63rTki4pUGHO1zE_CG6Og_8_6"/>
      <w:bookmarkStart w:id="625" w:name="Tc_fRzG0QQcZ0yE56aKPKOZQQ_8_0"/>
      <w:bookmarkStart w:id="626" w:name="Tc_Jpg4qag04EeSykjmJ7MRRg_7_11"/>
      <w:bookmarkStart w:id="627" w:name="Tc_LsdYFkknr0eJ4f6nSPXC2A_7_7"/>
      <w:bookmarkStart w:id="628" w:name="Tc_FSoUnWWzZkK-sliDbOu-XA_7_6"/>
      <w:bookmarkStart w:id="629" w:name="Tc_TKVnYfBpTEym449uHbp9OA_7_2"/>
      <w:bookmarkStart w:id="630" w:name="Tc_KVnU8VfikkSSvAu6ji1TVg_7_0"/>
      <w:bookmarkStart w:id="631" w:name="Tc_2ZeCGxFQZEqmP7GZ1JXRrQ_6_2"/>
      <w:bookmarkStart w:id="632" w:name="Tc_nos_WE23QUyAcduIa-Qa0A_5_10"/>
      <w:bookmarkStart w:id="633" w:name="Tc_2K4Y6-iVgk6E-xaDnEvIKw_5_7"/>
      <w:bookmarkStart w:id="634" w:name="Tc_6KHg50RJEkmHiWfFPr2DZA_5_5"/>
      <w:bookmarkStart w:id="635" w:name="Tc_1i_3BAv0d0CknIi7yZJ3FQ_5_2"/>
      <w:bookmarkStart w:id="636" w:name="Tc_H3DCGOw7DUa7RNVM-iye1w_4_10"/>
      <w:bookmarkStart w:id="637" w:name="Tc_ttt1bqEIskOTwc8f0YmgCg_4_5"/>
      <w:bookmarkStart w:id="638" w:name="Tc_U75xkkqHq06BlKwQsGyg0Q_3_7"/>
      <w:bookmarkStart w:id="639" w:name="Tc_QFFBqArMN0Oqyl9OSAu5cQ_3_2"/>
      <w:bookmarkStart w:id="640" w:name="Tc_do1Kjnu6b0akwHMEdz8yXg_2_2"/>
      <w:bookmarkStart w:id="641" w:name="Tc_Mxq7z2RO_0GIWX-MmbxQqQ_1_2"/>
      <w:bookmarkStart w:id="642" w:name="Tc__VzvcyZFCEaSNTYVgH_8VA_7_3"/>
      <w:bookmarkStart w:id="643" w:name="Tc_jDktqsriHU6CCyZtAuCZ2Q_7_0"/>
      <w:bookmarkStart w:id="644" w:name="Tc_7zW834GXD0qeupctSyePrQ_6_3"/>
      <w:bookmarkStart w:id="645" w:name="Tc_WldNzh3HL0aqkqSER1JCjA_5_3"/>
      <w:bookmarkStart w:id="646" w:name="Tc_QM7ylhbiD0ilLxjAqVQXhw_4_3"/>
      <w:bookmarkStart w:id="647" w:name="Tc_I6ja2lGstEGZhtvAodK9Tg_3_3"/>
      <w:bookmarkStart w:id="648" w:name="Tc_NsbrQ0R_kE2XFNiSiL_D8Q_2_2"/>
      <w:bookmarkStart w:id="649" w:name="Tc_trGvfDBb40iT0tjRp1UK_A_2_0"/>
      <w:bookmarkStart w:id="650" w:name="Tc_N68E40rZc0GeJ0hj-8wv1g_1_2"/>
      <w:bookmarkStart w:id="651" w:name="_046e54bf_fe22_4824_bda9_f9a9c51381c1"/>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Pr>
          <w:rFonts w:ascii="Arial;Helvetica;sans-serif" w:hAnsi="Arial;Helvetica;sans-serif"/>
          <w:sz w:val="20"/>
        </w:rPr>
        <w:t>As of March 31, 2023, the Company expects to recognize approximately the following percentages of deferred revenue by year:</w:t>
      </w:r>
    </w:p>
    <w:p>
      <w:pPr>
        <w:pStyle w:val="TextBody"/>
        <w:bidi w:val="0"/>
        <w:spacing w:before="0" w:after="200"/>
        <w:ind w:left="0" w:right="0" w:hanging="0"/>
        <w:jc w:val="left"/>
        <w:rPr/>
      </w:pPr>
      <w:r>
        <w:rPr/>
        <w:t>​</w:t>
      </w:r>
    </w:p>
    <w:tbl>
      <w:tblPr>
        <w:tblW w:w="3494" w:type="dxa"/>
        <w:jc w:val="left"/>
        <w:tblInd w:w="0" w:type="dxa"/>
        <w:tblLayout w:type="fixed"/>
        <w:tblCellMar>
          <w:top w:w="0" w:type="dxa"/>
          <w:left w:w="0" w:type="dxa"/>
          <w:bottom w:w="0" w:type="dxa"/>
          <w:right w:w="0" w:type="dxa"/>
        </w:tblCellMar>
      </w:tblPr>
      <w:tblGrid>
        <w:gridCol w:w="1756"/>
        <w:gridCol w:w="326"/>
        <w:gridCol w:w="1081"/>
        <w:gridCol w:w="33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115060" cy="175260"/>
                      <wp:effectExtent l="0" t="0" r="0" b="0"/>
                      <wp:wrapNone/>
                      <wp:docPr id="126" name="Frame126"/>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86435" cy="175260"/>
                      <wp:effectExtent l="0" t="0" r="0" b="0"/>
                      <wp:wrapNone/>
                      <wp:docPr id="128" name="Frame12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0185" cy="175260"/>
                      <wp:effectExtent l="0" t="0" r="0" b="0"/>
                      <wp:wrapNone/>
                      <wp:docPr id="129" name="Frame12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w:t>
            </w:r>
          </w:p>
        </w:tc>
        <w:tc>
          <w:tcPr>
            <w:tcW w:w="331" w:type="dxa"/>
            <w:tcBorders/>
            <w:vAlign w:val="center"/>
          </w:tcPr>
          <w:p>
            <w:pPr>
              <w:pStyle w:val="TableContents"/>
              <w:bidi w:val="0"/>
              <w:spacing w:before="0" w:after="1"/>
              <w:ind w:left="0" w:right="0" w:hanging="0"/>
              <w:jc w:val="center"/>
              <w:rPr/>
            </w:pPr>
            <w:r>
              <w:rPr/>
              <w:t> </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Year:</w:t>
            </w:r>
          </w:p>
        </w:tc>
        <w:tc>
          <w:tcPr>
            <w:tcW w:w="32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Recognition</w:t>
            </w:r>
          </w:p>
        </w:tc>
        <w:tc>
          <w:tcPr>
            <w:tcW w:w="331" w:type="dxa"/>
            <w:tcBorders/>
            <w:vAlign w:val="center"/>
          </w:tcPr>
          <w:p>
            <w:pPr>
              <w:pStyle w:val="TableContents"/>
              <w:bidi w:val="0"/>
              <w:spacing w:before="0" w:after="1"/>
              <w:ind w:left="0" w:right="0" w:hanging="0"/>
              <w:jc w:val="center"/>
              <w:rPr/>
            </w:pPr>
            <w:r>
              <w:rPr/>
              <w:t> </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Remainder of 2023</w:t>
            </w:r>
          </w:p>
        </w:tc>
        <w:tc>
          <w:tcPr>
            <w:tcW w:w="326"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2024</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32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drawing>
          <wp:inline distT="0" distB="0" distL="0" distR="0">
            <wp:extent cx="14605" cy="14605"/>
            <wp:effectExtent l="0" t="0" r="0" b="0"/>
            <wp:docPr id="1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 descr=""/>
                    <pic:cNvPicPr>
                      <a:picLocks noChangeAspect="1" noChangeArrowheads="1"/>
                    </pic:cNvPicPr>
                  </pic:nvPicPr>
                  <pic:blipFill>
                    <a:blip r:embed="rId2"/>
                    <a:stretch>
                      <a:fillRect/>
                    </a:stretch>
                  </pic:blipFill>
                  <pic:spPr bwMode="auto">
                    <a:xfrm>
                      <a:off x="0" y="0"/>
                      <a:ext cx="14605" cy="14605"/>
                    </a:xfrm>
                    <a:prstGeom prst="rect">
                      <a:avLst/>
                    </a:prstGeom>
                  </pic:spPr>
                </pic:pic>
              </a:graphicData>
            </a:graphic>
          </wp:inline>
        </w:drawing>
      </w:r>
      <w:r>
        <w:rPr>
          <w:rFonts w:ascii="Arial;Helvetica;sans-serif" w:hAnsi="Arial;Helvetica;sans-serif"/>
          <w:sz w:val="20"/>
        </w:rPr>
        <w:t>Revenue recognized for the three months ended March 31, 2023 and 2022 that was included in the contract liability balance at the beginning of the year was $0.9 million and $1.4 million, respectively, and primarily represented revenue earned from separately priced extended warranties, customer deposits, milestone revenue, and clinical training.</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Customers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Significant customers are those that represent more than 10% of the Company’s total revenue. For the period ended March 31, 2023 and 2022, one customer accounted for 18% of the Company’s revenue.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outstanding related to the customer was $1.0 million and $5.2 million as of March 31, 2023 and December 31, 2022, respectively.</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Geographical information</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geographic data includes revenue generated from the Company’s third-party distributors. The Company’s revenue was generated in the following geographic regions and by product line for the periods indicated (in thousands):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6702"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33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95985" cy="175260"/>
                      <wp:effectExtent l="0" t="0" r="0" b="0"/>
                      <wp:wrapNone/>
                      <wp:docPr id="131" name="Frame130"/>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34" name="Frame1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2610" cy="175260"/>
                      <wp:effectExtent l="0" t="0" r="0" b="0"/>
                      <wp:wrapNone/>
                      <wp:docPr id="136" name="Frame1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7810" cy="175260"/>
                      <wp:effectExtent l="0" t="0" r="0" b="0"/>
                      <wp:wrapNone/>
                      <wp:docPr id="137" name="Frame13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9" name="Frame1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62610" cy="175260"/>
                      <wp:effectExtent l="0" t="0" r="0" b="0"/>
                      <wp:wrapNone/>
                      <wp:docPr id="141" name="Frame1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0185" cy="175260"/>
                      <wp:effectExtent l="0" t="0" r="0" b="0"/>
                      <wp:wrapNone/>
                      <wp:docPr id="142" name="Frame14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3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331" w:type="dxa"/>
            <w:tcBorders/>
            <w:vAlign w:val="center"/>
          </w:tcPr>
          <w:p>
            <w:pPr>
              <w:pStyle w:val="TableContents"/>
              <w:bidi w:val="0"/>
              <w:spacing w:before="0" w:after="1"/>
              <w:ind w:left="0" w:right="0" w:hanging="0"/>
              <w:jc w:val="center"/>
              <w:rPr/>
            </w:pPr>
            <w:r>
              <w:rPr/>
              <w:t> </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3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vAlign w:val="center"/>
          </w:tcPr>
          <w:p>
            <w:pPr>
              <w:pStyle w:val="TableContents"/>
              <w:bidi w:val="0"/>
              <w:spacing w:before="0" w:after="1"/>
              <w:ind w:left="0" w:right="0" w:hanging="0"/>
              <w:jc w:val="center"/>
              <w:rPr/>
            </w:pPr>
            <w:r>
              <w:rPr/>
              <w:t> </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1"/>
              <w:ind w:left="0" w:right="0" w:hanging="0"/>
              <w:jc w:val="center"/>
              <w:rPr/>
            </w:pPr>
            <w:r>
              <w:rPr/>
              <w:t> </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1"/>
              <w:ind w:left="0" w:right="0" w:hanging="0"/>
              <w:jc w:val="center"/>
              <w:rPr/>
            </w:pPr>
            <w:r>
              <w:rPr/>
              <w:t> </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1"/>
              <w:ind w:left="0" w:right="0" w:hanging="0"/>
              <w:jc w:val="center"/>
              <w:rPr/>
            </w:pPr>
            <w:r>
              <w:rPr/>
              <w:t> </w:t>
            </w:r>
          </w:p>
        </w:tc>
      </w:tr>
      <w:tr>
        <w:trPr/>
        <w:tc>
          <w:tcPr>
            <w:tcW w:w="67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3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1"/>
              <w:ind w:left="0" w:right="0" w:hanging="0"/>
              <w:jc w:val="center"/>
              <w:rPr/>
            </w:pPr>
            <w:r>
              <w:rPr/>
              <w:t>​</w:t>
            </w:r>
          </w:p>
        </w:tc>
      </w:tr>
      <w:tr>
        <w:trPr/>
        <w:tc>
          <w:tcPr>
            <w:tcW w:w="1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14,964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13,517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576</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664</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15,540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14,181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8602" w:type="dxa"/>
        <w:jc w:val="left"/>
        <w:tblInd w:w="0" w:type="dxa"/>
        <w:tblLayout w:type="fixed"/>
        <w:tblCellMar>
          <w:top w:w="0" w:type="dxa"/>
          <w:left w:w="0" w:type="dxa"/>
          <w:bottom w:w="0" w:type="dxa"/>
          <w:right w:w="0" w:type="dxa"/>
        </w:tblCellMar>
      </w:tblPr>
      <w:tblGrid>
        <w:gridCol w:w="3391"/>
        <w:gridCol w:w="326"/>
        <w:gridCol w:w="211"/>
        <w:gridCol w:w="691"/>
        <w:gridCol w:w="326"/>
        <w:gridCol w:w="886"/>
        <w:gridCol w:w="326"/>
        <w:gridCol w:w="211"/>
        <w:gridCol w:w="691"/>
        <w:gridCol w:w="326"/>
        <w:gridCol w:w="886"/>
        <w:gridCol w:w="33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53285" cy="175260"/>
                      <wp:effectExtent l="0" t="0" r="0" b="0"/>
                      <wp:wrapNone/>
                      <wp:docPr id="143" name="Frame142"/>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38785" cy="175260"/>
                      <wp:effectExtent l="0" t="0" r="0" b="0"/>
                      <wp:wrapNone/>
                      <wp:docPr id="146"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62610" cy="175260"/>
                      <wp:effectExtent l="0" t="0" r="0" b="0"/>
                      <wp:wrapNone/>
                      <wp:docPr id="148" name="Frame1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8785" cy="175260"/>
                      <wp:effectExtent l="0" t="0" r="0" b="0"/>
                      <wp:wrapNone/>
                      <wp:docPr id="151" name="Frame1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62610" cy="175260"/>
                      <wp:effectExtent l="0" t="0" r="0" b="0"/>
                      <wp:wrapNone/>
                      <wp:docPr id="153" name="Frame1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0185" cy="175260"/>
                      <wp:effectExtent l="0" t="0" r="0" b="0"/>
                      <wp:wrapNone/>
                      <wp:docPr id="154" name="Frame15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5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331" w:type="dxa"/>
            <w:tcBorders/>
            <w:vAlign w:val="center"/>
          </w:tcPr>
          <w:p>
            <w:pPr>
              <w:pStyle w:val="TableContents"/>
              <w:bidi w:val="0"/>
              <w:spacing w:before="0" w:after="1"/>
              <w:ind w:left="0" w:right="0" w:hanging="0"/>
              <w:jc w:val="center"/>
              <w:rPr/>
            </w:pPr>
            <w:r>
              <w:rPr/>
              <w:t> </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5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vAlign w:val="center"/>
          </w:tcPr>
          <w:p>
            <w:pPr>
              <w:pStyle w:val="TableContents"/>
              <w:bidi w:val="0"/>
              <w:spacing w:before="0" w:after="1"/>
              <w:ind w:left="0" w:right="0" w:hanging="0"/>
              <w:jc w:val="center"/>
              <w:rPr/>
            </w:pPr>
            <w:r>
              <w:rPr/>
              <w:t> </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1"/>
              <w:ind w:left="0" w:right="0" w:hanging="0"/>
              <w:jc w:val="center"/>
              <w:rPr/>
            </w:pPr>
            <w:r>
              <w:rPr/>
              <w:t> </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1"/>
              <w:ind w:left="0" w:right="0" w:hanging="0"/>
              <w:jc w:val="center"/>
              <w:rPr/>
            </w:pPr>
            <w:r>
              <w:rPr/>
              <w:t> </w:t>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1"/>
              <w:ind w:left="0" w:right="0" w:hanging="0"/>
              <w:jc w:val="center"/>
              <w:rPr/>
            </w:pPr>
            <w:r>
              <w:rPr/>
              <w:t> </w:t>
            </w:r>
          </w:p>
        </w:tc>
      </w:tr>
      <w:tr>
        <w:trPr/>
        <w:tc>
          <w:tcPr>
            <w:tcW w:w="86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5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1"/>
              <w:ind w:left="0" w:right="0" w:hanging="0"/>
              <w:jc w:val="left"/>
              <w:rPr/>
            </w:pPr>
            <w:r>
              <w:rPr/>
              <w:t>​</w:t>
            </w:r>
          </w:p>
        </w:tc>
      </w:tr>
      <w:tr>
        <w:trPr/>
        <w:tc>
          <w:tcPr>
            <w:tcW w:w="33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3,850</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3,642</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3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10,643</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w:t>
            </w:r>
          </w:p>
        </w:tc>
        <w:tc>
          <w:tcPr>
            <w:tcW w:w="3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9,469</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3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406</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3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14,964</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13,517</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52" w:name="Tc_hSeneh5p9EyOReHMpPD8Sg_10_11"/>
      <w:bookmarkStart w:id="653" w:name="Tc_2JJeyt0Ss0-22UXSUnp2xQ_10_7"/>
      <w:bookmarkStart w:id="654" w:name="Tc_CEx6NjPUQUC8Yzt_iFuoSw_10_6"/>
      <w:bookmarkStart w:id="655" w:name="Tc_Jm8Pfvaa8Eeej34iFtPYUg_10_2"/>
      <w:bookmarkStart w:id="656" w:name="Tc_gIKBhN4xgEqpNOaQZvlcqQ_10_0"/>
      <w:bookmarkStart w:id="657" w:name="Tc_xau9enF8Tki5l0ehDJE-oQ_9_11"/>
      <w:bookmarkStart w:id="658" w:name="Tc_Q6EEebTrkk2phuRfpX92Sg_9_6"/>
      <w:bookmarkStart w:id="659" w:name="Tc_KaAz91rKlUWR7_UH2sV7KQ_9_0"/>
      <w:bookmarkStart w:id="660" w:name="Tc_p3yCIxi9AUauWjITIkRcVQ_8_11"/>
      <w:bookmarkStart w:id="661" w:name="Tc_erjzb2UuRE2lG_l1SUyeYA_8_6"/>
      <w:bookmarkStart w:id="662" w:name="Tc_IFshRYy3wUuFh1F7wVGPmA_8_0"/>
      <w:bookmarkStart w:id="663" w:name="Tc_McZhf_Y5j0irDYjbVYwGsw_7_11"/>
      <w:bookmarkStart w:id="664" w:name="Tc_NQa3PWO5WUqNXJQPd9ro1A_7_7"/>
      <w:bookmarkStart w:id="665" w:name="Tc_jwH3hnnVLEeFCCJAldBn9w_7_6"/>
      <w:bookmarkStart w:id="666" w:name="Tc_HIUP3DDKvkCRYNiy3P4sig_7_2"/>
      <w:bookmarkStart w:id="667" w:name="Tc_mKc9bbMHPUWRwtxE-xclqQ_7_0"/>
      <w:bookmarkStart w:id="668" w:name="Tc_OS4rE_NJ7U-2ot8TDfjZwA_6_2"/>
      <w:bookmarkStart w:id="669" w:name="Tc_6AOMXG5HZke2o1JB0f8WZw_5_10"/>
      <w:bookmarkStart w:id="670" w:name="Tc_3G91gfU0DUaClIOw0P-EnA_5_7"/>
      <w:bookmarkStart w:id="671" w:name="Tc_gh_OPJWCdUeFiKXnnbGZRA_5_5"/>
      <w:bookmarkStart w:id="672" w:name="Tc_2q5YYVF5OUOVFfHCqtCMHQ_5_2"/>
      <w:bookmarkStart w:id="673" w:name="Tc_eqty7ubkt0CamLdSxoapoQ_4_10"/>
      <w:bookmarkStart w:id="674" w:name="Tc_B-jxi7mqhUKnLO08JNO_iQ_4_5"/>
      <w:bookmarkStart w:id="675" w:name="Tc_kGxv_3gLn0qdDoyCGOb-Vg_3_7"/>
      <w:bookmarkStart w:id="676" w:name="Tc_3z5gsqCWuU2siZgUoVpcxQ_3_2"/>
      <w:bookmarkStart w:id="677" w:name="Tc_ZGjIXrt3Mka-icbU7KfsOg_2_2"/>
      <w:bookmarkStart w:id="678" w:name="Tc_6t7nMgjeQ0-R2v8vFitvFA_1_2"/>
      <w:bookmarkStart w:id="679" w:name="_0240432d_7ba0_420b_a4b1_b5bace942d41"/>
      <w:bookmarkStart w:id="680" w:name="Tc_hSeneh5p9EyOReHMpPD8Sg_10_11"/>
      <w:bookmarkStart w:id="681" w:name="Tc_2JJeyt0Ss0-22UXSUnp2xQ_10_7"/>
      <w:bookmarkStart w:id="682" w:name="Tc_CEx6NjPUQUC8Yzt_iFuoSw_10_6"/>
      <w:bookmarkStart w:id="683" w:name="Tc_Jm8Pfvaa8Eeej34iFtPYUg_10_2"/>
      <w:bookmarkStart w:id="684" w:name="Tc_gIKBhN4xgEqpNOaQZvlcqQ_10_0"/>
      <w:bookmarkStart w:id="685" w:name="Tc_xau9enF8Tki5l0ehDJE-oQ_9_11"/>
      <w:bookmarkStart w:id="686" w:name="Tc_Q6EEebTrkk2phuRfpX92Sg_9_6"/>
      <w:bookmarkStart w:id="687" w:name="Tc_KaAz91rKlUWR7_UH2sV7KQ_9_0"/>
      <w:bookmarkStart w:id="688" w:name="Tc_p3yCIxi9AUauWjITIkRcVQ_8_11"/>
      <w:bookmarkStart w:id="689" w:name="Tc_erjzb2UuRE2lG_l1SUyeYA_8_6"/>
      <w:bookmarkStart w:id="690" w:name="Tc_IFshRYy3wUuFh1F7wVGPmA_8_0"/>
      <w:bookmarkStart w:id="691" w:name="Tc_McZhf_Y5j0irDYjbVYwGsw_7_11"/>
      <w:bookmarkStart w:id="692" w:name="Tc_NQa3PWO5WUqNXJQPd9ro1A_7_7"/>
      <w:bookmarkStart w:id="693" w:name="Tc_jwH3hnnVLEeFCCJAldBn9w_7_6"/>
      <w:bookmarkStart w:id="694" w:name="Tc_HIUP3DDKvkCRYNiy3P4sig_7_2"/>
      <w:bookmarkStart w:id="695" w:name="Tc_mKc9bbMHPUWRwtxE-xclqQ_7_0"/>
      <w:bookmarkStart w:id="696" w:name="Tc_OS4rE_NJ7U-2ot8TDfjZwA_6_2"/>
      <w:bookmarkStart w:id="697" w:name="Tc_6AOMXG5HZke2o1JB0f8WZw_5_10"/>
      <w:bookmarkStart w:id="698" w:name="Tc_3G91gfU0DUaClIOw0P-EnA_5_7"/>
      <w:bookmarkStart w:id="699" w:name="Tc_gh_OPJWCdUeFiKXnnbGZRA_5_5"/>
      <w:bookmarkStart w:id="700" w:name="Tc_2q5YYVF5OUOVFfHCqtCMHQ_5_2"/>
      <w:bookmarkStart w:id="701" w:name="Tc_eqty7ubkt0CamLdSxoapoQ_4_10"/>
      <w:bookmarkStart w:id="702" w:name="Tc_B-jxi7mqhUKnLO08JNO_iQ_4_5"/>
      <w:bookmarkStart w:id="703" w:name="Tc_kGxv_3gLn0qdDoyCGOb-Vg_3_7"/>
      <w:bookmarkStart w:id="704" w:name="Tc_3z5gsqCWuU2siZgUoVpcxQ_3_2"/>
      <w:bookmarkStart w:id="705" w:name="Tc_ZGjIXrt3Mka-icbU7KfsOg_2_2"/>
      <w:bookmarkStart w:id="706" w:name="Tc_6t7nMgjeQ0-R2v8vFitvFA_1_2"/>
      <w:bookmarkStart w:id="707" w:name="_0240432d_7ba0_420b_a4b1_b5bace942d41"/>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tbl>
      <w:tblPr>
        <w:tblW w:w="8410" w:type="dxa"/>
        <w:jc w:val="left"/>
        <w:tblInd w:w="0" w:type="dxa"/>
        <w:tblLayout w:type="fixed"/>
        <w:tblCellMar>
          <w:top w:w="0" w:type="dxa"/>
          <w:left w:w="0" w:type="dxa"/>
          <w:bottom w:w="0" w:type="dxa"/>
          <w:right w:w="0" w:type="dxa"/>
        </w:tblCellMar>
      </w:tblPr>
      <w:tblGrid>
        <w:gridCol w:w="3421"/>
        <w:gridCol w:w="326"/>
        <w:gridCol w:w="250"/>
        <w:gridCol w:w="501"/>
        <w:gridCol w:w="326"/>
        <w:gridCol w:w="886"/>
        <w:gridCol w:w="406"/>
        <w:gridCol w:w="250"/>
        <w:gridCol w:w="50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72335" cy="175260"/>
                      <wp:effectExtent l="0" t="0" r="0" b="0"/>
                      <wp:wrapNone/>
                      <wp:docPr id="155" name="Frame15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8750" cy="175260"/>
                      <wp:effectExtent l="0" t="0" r="0" b="0"/>
                      <wp:wrapNone/>
                      <wp:docPr id="157" name="Frame15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18135" cy="175260"/>
                      <wp:effectExtent l="0" t="0" r="0" b="0"/>
                      <wp:wrapNone/>
                      <wp:docPr id="158" name="Frame157"/>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62610" cy="175260"/>
                      <wp:effectExtent l="0" t="0" r="0" b="0"/>
                      <wp:wrapNone/>
                      <wp:docPr id="160" name="Frame1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57810" cy="175260"/>
                      <wp:effectExtent l="0" t="0" r="0" b="0"/>
                      <wp:wrapNone/>
                      <wp:docPr id="161" name="Frame16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8750" cy="175260"/>
                      <wp:effectExtent l="0" t="0" r="0" b="0"/>
                      <wp:wrapNone/>
                      <wp:docPr id="162" name="Frame16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18135" cy="175260"/>
                      <wp:effectExtent l="0" t="0" r="0" b="0"/>
                      <wp:wrapNone/>
                      <wp:docPr id="163" name="Frame162"/>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62610" cy="175260"/>
                      <wp:effectExtent l="0" t="0" r="0" b="0"/>
                      <wp:wrapNone/>
                      <wp:docPr id="165" name="Frame16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0185" cy="175260"/>
                      <wp:effectExtent l="0" t="0" r="0" b="0"/>
                      <wp:wrapNone/>
                      <wp:docPr id="166" name="Frame16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2"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International Revenues by Product Category</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3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19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1"/>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1"/>
              <w:ind w:left="0" w:right="0" w:hanging="0"/>
              <w:jc w:val="center"/>
              <w:rPr/>
            </w:pPr>
            <w:r>
              <w:rPr/>
              <w:t> </w:t>
            </w:r>
          </w:p>
        </w:tc>
      </w:tr>
      <w:tr>
        <w:trPr/>
        <w:tc>
          <w:tcPr>
            <w:tcW w:w="8410"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332"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w:t>
            </w:r>
          </w:p>
        </w:tc>
        <w:tc>
          <w:tcPr>
            <w:tcW w:w="326" w:type="dxa"/>
            <w:tcBorders/>
            <w:shd w:fill="CCEEFF" w:val="clear"/>
            <w:vAlign w:val="center"/>
          </w:tcPr>
          <w:p>
            <w:pPr>
              <w:pStyle w:val="TableContents"/>
              <w:bidi w:val="0"/>
              <w:spacing w:before="0" w:after="1"/>
              <w:ind w:left="0" w:right="0" w:hanging="0"/>
              <w:jc w:val="right"/>
              <w:rPr/>
            </w:pPr>
            <w:r>
              <w:rPr/>
              <w:t> </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184</w:t>
            </w:r>
          </w:p>
        </w:tc>
        <w:tc>
          <w:tcPr>
            <w:tcW w:w="326" w:type="dxa"/>
            <w:tcBorders/>
            <w:vAlign w:val="center"/>
          </w:tcPr>
          <w:p>
            <w:pPr>
              <w:pStyle w:val="TableContents"/>
              <w:bidi w:val="0"/>
              <w:spacing w:before="0" w:after="1"/>
              <w:ind w:left="0" w:right="0" w:hanging="0"/>
              <w:jc w:val="righ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w:t>
            </w:r>
          </w:p>
        </w:tc>
        <w:tc>
          <w:tcPr>
            <w:tcW w:w="326" w:type="dxa"/>
            <w:tcBorders/>
            <w:shd w:fill="CCEEFF" w:val="clear"/>
            <w:vAlign w:val="center"/>
          </w:tcPr>
          <w:p>
            <w:pPr>
              <w:pStyle w:val="TableContents"/>
              <w:bidi w:val="0"/>
              <w:spacing w:before="0" w:after="1"/>
              <w:ind w:left="0" w:right="0" w:hanging="0"/>
              <w:jc w:val="righ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international revenues</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576</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664</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708" w:name="Tc_pQh0EVRcXk-W2qVMJloGJA_8_5"/>
      <w:bookmarkStart w:id="709" w:name="Tc_3jaNCmxXeU6UDtmnNUp8sg_8_2"/>
      <w:bookmarkStart w:id="710" w:name="Tc_WxUucbuVaUqJBNW8jkkbbQ_8_0"/>
      <w:bookmarkStart w:id="711" w:name="Tc_PnDfHNt6gUOsSeI9Ul4KNw_7_3"/>
      <w:bookmarkStart w:id="712" w:name="Tc_Py0HaCsbp0GnW3NG-sQ3OQ_7_0"/>
      <w:bookmarkStart w:id="713" w:name="Tc_a2Ay79GlN0eJac6-488rYQ_6_0"/>
      <w:bookmarkStart w:id="714" w:name="Tc_7ZerqbD6VUWJRkOwOfvTOw_5_0"/>
      <w:bookmarkStart w:id="715" w:name="Tc_KB_e3OGmMEu0qcyY9yTu9A_4_0"/>
      <w:bookmarkStart w:id="716" w:name="Tc_q94YU0kfu02vkLXVAQGyIA_3_5"/>
      <w:bookmarkStart w:id="717" w:name="Tc_0J4qb5ZZfk6rZumzYV9KOA_3_2"/>
      <w:bookmarkStart w:id="718" w:name="Tc_EXpcUyFTvkyRMu_k2IzxEQ_3_0"/>
      <w:bookmarkStart w:id="719" w:name="Tc_QWctzs-NC0G2zq8SVqPnbA_2_5"/>
      <w:bookmarkStart w:id="720" w:name="Tc_QD025LnJ30SrwZ6bYhiGKQ_2_2"/>
      <w:bookmarkStart w:id="721" w:name="Tc_GbL_nX8k4kCdxvFofjkxTw_1_5"/>
      <w:bookmarkStart w:id="722" w:name="Tc_aLNt2EBQAEWAQ39r-QYosg_1_2"/>
      <w:bookmarkStart w:id="723" w:name="_08411695_41a8_455f_ae2f_3443dd6a14f5"/>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Arial;Helvetica;sans-serif" w:hAnsi="Arial;Helvetica;sans-serif"/>
          <w:b/>
          <w:sz w:val="20"/>
        </w:rPr>
        <w:t>13.     DEBT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debt as of March 31, 2023 and December 31, 2022 (in thousands):</w:t>
      </w:r>
    </w:p>
    <w:p>
      <w:pPr>
        <w:pStyle w:val="TextBody"/>
        <w:bidi w:val="0"/>
        <w:spacing w:before="0" w:after="200"/>
        <w:ind w:left="0" w:right="0" w:hanging="0"/>
        <w:jc w:val="left"/>
        <w:rPr/>
      </w:pPr>
      <w:r>
        <w:rPr/>
        <w:t>​</w:t>
      </w:r>
    </w:p>
    <w:tbl>
      <w:tblPr>
        <w:tblW w:w="5444" w:type="dxa"/>
        <w:jc w:val="left"/>
        <w:tblInd w:w="0" w:type="dxa"/>
        <w:tblLayout w:type="fixed"/>
        <w:tblCellMar>
          <w:top w:w="0" w:type="dxa"/>
          <w:left w:w="0" w:type="dxa"/>
          <w:bottom w:w="0" w:type="dxa"/>
          <w:right w:w="0" w:type="dxa"/>
        </w:tblCellMar>
      </w:tblPr>
      <w:tblGrid>
        <w:gridCol w:w="2506"/>
        <w:gridCol w:w="326"/>
        <w:gridCol w:w="211"/>
        <w:gridCol w:w="706"/>
        <w:gridCol w:w="326"/>
        <w:gridCol w:w="265"/>
        <w:gridCol w:w="950"/>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91310" cy="175260"/>
                      <wp:effectExtent l="0" t="0" r="0" b="0"/>
                      <wp:wrapNone/>
                      <wp:docPr id="167" name="Frame16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48310" cy="175260"/>
                      <wp:effectExtent l="0" t="0" r="0" b="0"/>
                      <wp:wrapNone/>
                      <wp:docPr id="170" name="Frame16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8275" cy="175260"/>
                      <wp:effectExtent l="0" t="0" r="0" b="0"/>
                      <wp:wrapNone/>
                      <wp:docPr id="172" name="Frame17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03250" cy="175260"/>
                      <wp:effectExtent l="0" t="0" r="0" b="0"/>
                      <wp:wrapNone/>
                      <wp:docPr id="173" name="Frame172"/>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7790" cy="175260"/>
                      <wp:effectExtent l="0" t="0" r="0" b="0"/>
                      <wp:wrapNone/>
                      <wp:docPr id="174" name="Frame17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Outstanding principal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37,500</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final payment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1,856</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1,925</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debt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(2,715)</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36,641</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35,954</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36,641</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22,829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For the three months ended March 31, 2023, the Company recognized interest expense of $1.3 million, of which $1.1 million was cash and $0.2 million was non-cash interest expense related to the amortization of deferred debt issuance costs and accrual of final payment fees.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Solar Credit Facility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Solar Facility Fourth Amendment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March 29, 2023, the Company entered into a fourth Amendment (the “Amendment”) to the Loan and Security Agreement (the “Solar Facility”) with SLR Investment Corp. (formerly known as Solar Capital Ltd.) (“Solar”), as collateral agent and other lenders as defined in the agreement (“the Lenders”). The Amendment amends the Loan and Security Agreement, dated March 2, 2020, by and among the Company, and the Lenders, as previously amended.</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Solar Facility permits the Company to borrow up to $60.0</w:t>
      </w:r>
      <w:r>
        <w:rPr>
          <w:rFonts w:ascii="Times New Roman;Times;serif" w:hAnsi="Times New Roman;Times;serif"/>
          <w:sz w:val="20"/>
        </w:rPr>
        <w:t xml:space="preserve"> </w:t>
      </w:r>
      <w:r>
        <w:rPr>
          <w:rFonts w:ascii="Arial;Helvetica;sans-serif" w:hAnsi="Arial;Helvetica;sans-serif"/>
          <w:sz w:val="20"/>
        </w:rPr>
        <w:t>million in three</w:t>
      </w:r>
      <w:r>
        <w:rPr>
          <w:rFonts w:ascii="Times New Roman;Times;serif" w:hAnsi="Times New Roman;Times;serif"/>
          <w:sz w:val="20"/>
        </w:rPr>
        <w:t xml:space="preserve"> </w:t>
      </w:r>
      <w:r>
        <w:rPr>
          <w:rFonts w:ascii="Arial;Helvetica;sans-serif" w:hAnsi="Arial;Helvetica;sans-serif"/>
          <w:sz w:val="20"/>
        </w:rPr>
        <w:t>tranches of term loans, a “Term A Loan” in an aggregate amount of $35.0</w:t>
      </w:r>
      <w:r>
        <w:rPr>
          <w:rFonts w:ascii="Times New Roman;Times;serif" w:hAnsi="Times New Roman;Times;serif"/>
          <w:sz w:val="20"/>
        </w:rPr>
        <w:t xml:space="preserve"> </w:t>
      </w:r>
      <w:r>
        <w:rPr>
          <w:rFonts w:ascii="Arial;Helvetica;sans-serif" w:hAnsi="Arial;Helvetica;sans-serif"/>
          <w:sz w:val="20"/>
        </w:rPr>
        <w:t>million, a “Term B Loan” (collectively with the Term A Loan, the “Loans”) in an aggregate amount of $2.5</w:t>
      </w:r>
      <w:r>
        <w:rPr>
          <w:rFonts w:ascii="Times New Roman;Times;serif" w:hAnsi="Times New Roman;Times;serif"/>
          <w:sz w:val="20"/>
        </w:rPr>
        <w:t xml:space="preserve"> </w:t>
      </w:r>
      <w:r>
        <w:rPr>
          <w:rFonts w:ascii="Arial;Helvetica;sans-serif" w:hAnsi="Arial;Helvetica;sans-serif"/>
          <w:sz w:val="20"/>
        </w:rPr>
        <w:t>million, and an uncommitted “Term C Facility” in an aggregate principal amount equal to $22.5</w:t>
      </w:r>
      <w:r>
        <w:rPr>
          <w:rFonts w:ascii="Times New Roman;Times;serif" w:hAnsi="Times New Roman;Times;serif"/>
          <w:sz w:val="20"/>
        </w:rPr>
        <w:t xml:space="preserve"> </w:t>
      </w:r>
      <w:r>
        <w:rPr>
          <w:rFonts w:ascii="Arial;Helvetica;sans-serif" w:hAnsi="Arial;Helvetica;sans-serif"/>
          <w:sz w:val="20"/>
        </w:rPr>
        <w:t>million in the sole and absolute discretion of the Lenders and subject to the Lenders’ credit approval. On March 29, 2023, the Company borrowed an aggregate amount of $2.5</w:t>
      </w:r>
      <w:r>
        <w:rPr>
          <w:rFonts w:ascii="Times New Roman;Times;serif" w:hAnsi="Times New Roman;Times;serif"/>
          <w:sz w:val="20"/>
        </w:rPr>
        <w:t xml:space="preserve"> </w:t>
      </w:r>
      <w:r>
        <w:rPr>
          <w:rFonts w:ascii="Arial;Helvetica;sans-serif" w:hAnsi="Arial;Helvetica;sans-serif"/>
          <w:sz w:val="20"/>
        </w:rPr>
        <w:t>million under the Term B Loan. The Term A Loan was fully drawn prior to the effectiveness of the Amendment. The maturity date of the Loans is March 29, 2028. Prior to the effectiveness of the Amendment, the maturity date of the Term A Loan was February 28, 2025.</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Loans accrue interest from the date of borrowing through the date of repayment at a floating per annum rate of interest, which resets monthly and is equal to the greater of 5.65%</w:t>
      </w:r>
      <w:r>
        <w:rPr>
          <w:rFonts w:ascii="Times New Roman;Times;serif" w:hAnsi="Times New Roman;Times;serif"/>
          <w:sz w:val="20"/>
        </w:rPr>
        <w:t xml:space="preserve"> </w:t>
      </w:r>
      <w:r>
        <w:rPr>
          <w:rFonts w:ascii="Arial;Helvetica;sans-serif" w:hAnsi="Arial;Helvetica;sans-serif"/>
          <w:sz w:val="20"/>
        </w:rPr>
        <w:t>plus (a) 3.95%</w:t>
      </w:r>
      <w:r>
        <w:rPr>
          <w:rFonts w:ascii="Times New Roman;Times;serif" w:hAnsi="Times New Roman;Times;serif"/>
          <w:sz w:val="20"/>
        </w:rPr>
        <w:t xml:space="preserve"> </w:t>
      </w:r>
      <w:r>
        <w:rPr>
          <w:rFonts w:ascii="Arial;Helvetica;sans-serif" w:hAnsi="Arial;Helvetica;sans-serif"/>
          <w:sz w:val="20"/>
        </w:rPr>
        <w:t xml:space="preserve">or (b) Daily Simple SOFR for a term of one month. Only interest is required to be paid on the Loans until March 1, 2026. Prior to the effectiveness of the Amendment, the interest only period with respect to the Term A Loan expired on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March 1, 2023. Commencing April 1, 2026, the Company will be required to make monthly payments of principal and interest on the Loans.</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In addition to the principal and interest payments due under the Solar Facility, the Company is required to pay a final payment fee to Solar due upon the earlier of prepayment, acceleration or the maturity date of the Loans equal to 4.95%</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If the Company prepays the Loans prior to their respective scheduled maturities, the Company will also be required to pay prepayment fees to Solar equal to 3%</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on or before the first anniversary of the Amendment, 2%</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first anniversary and on or before the second anniversary of the Amendment, or 1%</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second anniversary of the Amendment.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Company is also required to pay Solar an exit fee upon the occurrence of (a) any liquidation, dissolution or winding up of the Company, (b) any transaction that results in a person obtaining control over the Company, (c) the Company achieving $100</w:t>
      </w:r>
      <w:r>
        <w:rPr>
          <w:rFonts w:ascii="Times New Roman;Times;serif" w:hAnsi="Times New Roman;Times;serif"/>
          <w:sz w:val="20"/>
        </w:rPr>
        <w:t xml:space="preserve"> </w:t>
      </w:r>
      <w:r>
        <w:rPr>
          <w:rFonts w:ascii="Arial;Helvetica;sans-serif" w:hAnsi="Arial;Helvetica;sans-serif"/>
          <w:sz w:val="20"/>
        </w:rPr>
        <w:t>million in trailing twelve-month net product revenue or (d) the Company achieving $125</w:t>
      </w:r>
      <w:r>
        <w:rPr>
          <w:rFonts w:ascii="Times New Roman;Times;serif" w:hAnsi="Times New Roman;Times;serif"/>
          <w:sz w:val="20"/>
        </w:rPr>
        <w:t xml:space="preserve"> </w:t>
      </w:r>
      <w:r>
        <w:rPr>
          <w:rFonts w:ascii="Arial;Helvetica;sans-serif" w:hAnsi="Arial;Helvetica;sans-serif"/>
          <w:sz w:val="20"/>
        </w:rPr>
        <w:t>million in trailing twelve-month net product revenue. The exit fee for liquidation, dissolution, winding up or change of control of the Company is equal to 2.00%</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The exit fee for achieving either $100</w:t>
      </w:r>
      <w:r>
        <w:rPr>
          <w:rFonts w:ascii="Times New Roman;Times;serif" w:hAnsi="Times New Roman;Times;serif"/>
          <w:sz w:val="20"/>
        </w:rPr>
        <w:t xml:space="preserve"> </w:t>
      </w:r>
      <w:r>
        <w:rPr>
          <w:rFonts w:ascii="Arial;Helvetica;sans-serif" w:hAnsi="Arial;Helvetica;sans-serif"/>
          <w:sz w:val="20"/>
        </w:rPr>
        <w:t>million or $125</w:t>
      </w:r>
      <w:r>
        <w:rPr>
          <w:rFonts w:ascii="Times New Roman;Times;serif" w:hAnsi="Times New Roman;Times;serif"/>
          <w:sz w:val="20"/>
        </w:rPr>
        <w:t xml:space="preserve"> </w:t>
      </w:r>
      <w:r>
        <w:rPr>
          <w:rFonts w:ascii="Arial;Helvetica;sans-serif" w:hAnsi="Arial;Helvetica;sans-serif"/>
          <w:sz w:val="20"/>
        </w:rPr>
        <w:t>million in trailing twelve-month net product revenue is equal to 1.00%</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or, if both net product revenue milestones are achieved, 2.00%</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The exit fee is capped at 2.00%</w:t>
      </w:r>
      <w:r>
        <w:rPr>
          <w:rFonts w:ascii="Times New Roman;Times;serif" w:hAnsi="Times New Roman;Times;serif"/>
          <w:sz w:val="20"/>
        </w:rPr>
        <w:t xml:space="preserve"> </w:t>
      </w:r>
      <w:r>
        <w:rPr>
          <w:rFonts w:ascii="Arial;Helvetica;sans-serif" w:hAnsi="Arial;Helvetica;sans-serif"/>
          <w:sz w:val="20"/>
        </w:rPr>
        <w:t>of the principal amount of the term loans actually funded.</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In connection with entering into the Amendment and pursuant to the prepayment provisions of the previous Solar facility, the company paid Solar a final payment fee of $1.2</w:t>
      </w:r>
      <w:r>
        <w:rPr>
          <w:rFonts w:ascii="Times New Roman;Times;serif" w:hAnsi="Times New Roman;Times;serif"/>
          <w:sz w:val="20"/>
        </w:rPr>
        <w:t xml:space="preserve"> </w:t>
      </w:r>
      <w:r>
        <w:rPr>
          <w:rFonts w:ascii="Arial;Helvetica;sans-serif" w:hAnsi="Arial;Helvetica;sans-serif"/>
          <w:sz w:val="20"/>
        </w:rPr>
        <w:t>million on March 29, 2023.</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As of March 31, 2023, the Company is in compliance with</w:t>
      </w:r>
      <w:r>
        <w:rPr>
          <w:rFonts w:ascii="Times New Roman;Times;serif" w:hAnsi="Times New Roman;Times;serif"/>
          <w:sz w:val="20"/>
        </w:rPr>
        <w:t xml:space="preserve"> </w:t>
      </w:r>
      <w:r>
        <w:rPr>
          <w:rFonts w:ascii="Arial;Helvetica;sans-serif" w:hAnsi="Arial;Helvetica;sans-serif"/>
          <w:sz w:val="20"/>
        </w:rPr>
        <w:t>all covenants in the Solar Facility and is projected to be in compliance with the covenants going forward.</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724" w:name="Tc_uMvrBevhtkaPhA8b822lpw_9_0"/>
      <w:bookmarkStart w:id="725" w:name="Tc_LEjyXvl83UCN6ScwD9KOxw_8_0"/>
      <w:bookmarkStart w:id="726" w:name="Tc_YJLNuMBxgEmQhZq_070xtw_7_0"/>
      <w:bookmarkStart w:id="727" w:name="Tc_pf7cjuIWcEuc77STAbaBHQ_6_0"/>
      <w:bookmarkStart w:id="728" w:name="Tc_oMrofVvOs0-Gmv3XcnLtgQ_5_0"/>
      <w:bookmarkStart w:id="729" w:name="Tc_2YRAhve9k0e_PqU572s1LA_4_0"/>
      <w:bookmarkStart w:id="730" w:name="Tc_AgnIVInXUUebJYU-jjODxA_3_0"/>
      <w:bookmarkStart w:id="731" w:name="Tc_r5Ux74LkM0OsBhu0yOs9Rg_2_0"/>
      <w:bookmarkStart w:id="732" w:name="Tc_o0SIwKPZiEuExToefZpJNA_1_4"/>
      <w:bookmarkStart w:id="733" w:name="Tc_JjjHivy0Ak2u4xtMPm0Qfg_1_2"/>
      <w:bookmarkStart w:id="734" w:name="_ea2aa6cf_c580_4ba5_83c7_52ba8c209b9b"/>
      <w:bookmarkEnd w:id="724"/>
      <w:bookmarkEnd w:id="725"/>
      <w:bookmarkEnd w:id="726"/>
      <w:bookmarkEnd w:id="727"/>
      <w:bookmarkEnd w:id="728"/>
      <w:bookmarkEnd w:id="729"/>
      <w:bookmarkEnd w:id="730"/>
      <w:bookmarkEnd w:id="731"/>
      <w:bookmarkEnd w:id="732"/>
      <w:bookmarkEnd w:id="733"/>
      <w:bookmarkEnd w:id="734"/>
      <w:r>
        <w:rPr>
          <w:rFonts w:ascii="Arial;Helvetica;sans-serif" w:hAnsi="Arial;Helvetica;sans-serif"/>
          <w:b/>
          <w:sz w:val="20"/>
        </w:rPr>
        <w:t>14.     COMMON STOCK</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Common Stock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total number of shares of the Company’s common stock issued and reserved for issuance as of March 31, 2023 and December 31, 2022 (in thousands):</w:t>
      </w:r>
    </w:p>
    <w:p>
      <w:pPr>
        <w:pStyle w:val="TextBody"/>
        <w:bidi w:val="0"/>
        <w:spacing w:before="0" w:after="200"/>
        <w:ind w:left="0" w:right="0" w:hanging="0"/>
        <w:jc w:val="left"/>
        <w:rPr/>
      </w:pPr>
      <w:r>
        <w:rPr/>
        <w:t>​</w:t>
      </w:r>
    </w:p>
    <w:tbl>
      <w:tblPr>
        <w:tblW w:w="9359" w:type="dxa"/>
        <w:jc w:val="left"/>
        <w:tblInd w:w="0" w:type="dxa"/>
        <w:tblLayout w:type="fixed"/>
        <w:tblCellMar>
          <w:top w:w="0" w:type="dxa"/>
          <w:left w:w="0" w:type="dxa"/>
          <w:bottom w:w="0" w:type="dxa"/>
          <w:right w:w="0" w:type="dxa"/>
        </w:tblCellMar>
      </w:tblPr>
      <w:tblGrid>
        <w:gridCol w:w="5716"/>
        <w:gridCol w:w="326"/>
        <w:gridCol w:w="1261"/>
        <w:gridCol w:w="326"/>
        <w:gridCol w:w="1576"/>
        <w:gridCol w:w="154"/>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629660" cy="175260"/>
                      <wp:effectExtent l="0" t="0" r="0" b="0"/>
                      <wp:wrapNone/>
                      <wp:docPr id="175" name="Frame17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00735" cy="175260"/>
                      <wp:effectExtent l="0" t="0" r="0" b="0"/>
                      <wp:wrapNone/>
                      <wp:docPr id="177" name="Frame17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000760" cy="175260"/>
                      <wp:effectExtent l="0" t="0" r="0" b="0"/>
                      <wp:wrapNone/>
                      <wp:docPr id="179" name="Frame17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7790" cy="175260"/>
                      <wp:effectExtent l="0" t="0" r="0" b="0"/>
                      <wp:wrapNone/>
                      <wp:docPr id="180" name="Frame17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2022</w:t>
            </w:r>
          </w:p>
        </w:tc>
        <w:tc>
          <w:tcPr>
            <w:tcW w:w="154" w:type="dxa"/>
            <w:tcBorders/>
            <w:vAlign w:val="center"/>
          </w:tcPr>
          <w:p>
            <w:pPr>
              <w:pStyle w:val="TableContents"/>
              <w:bidi w:val="0"/>
              <w:spacing w:before="0" w:after="0"/>
              <w:ind w:left="0" w:right="0" w:hanging="0"/>
              <w:jc w:val="center"/>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of common stock issued</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28,465</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of common stock reserved for issuance for:</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warrants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options outstanding</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1,291</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1,301</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stock units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3,648</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grant under stock incentive plans</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1,244</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1,140</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sale under employee stock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1,335</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shares of common stock issued and reserved for issuance</w:t>
            </w:r>
          </w:p>
        </w:tc>
        <w:tc>
          <w:tcPr>
            <w:tcW w:w="326" w:type="dxa"/>
            <w:tcBorders/>
            <w:vAlign w:val="center"/>
          </w:tcPr>
          <w:p>
            <w:pPr>
              <w:pStyle w:val="TableContents"/>
              <w:bidi w:val="0"/>
              <w:spacing w:before="0" w:after="0"/>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36,044</w:t>
            </w:r>
          </w:p>
        </w:tc>
        <w:tc>
          <w:tcPr>
            <w:tcW w:w="326" w:type="dxa"/>
            <w:tcBorders/>
            <w:vAlign w:val="center"/>
          </w:tcPr>
          <w:p>
            <w:pPr>
              <w:pStyle w:val="TableContents"/>
              <w:bidi w:val="0"/>
              <w:spacing w:before="0" w:after="0"/>
              <w:ind w:left="0" w:right="0" w:hanging="0"/>
              <w:jc w:val="left"/>
              <w:rPr/>
            </w:pPr>
            <w:r>
              <w:rPr/>
              <w:t> </w:t>
            </w:r>
          </w:p>
        </w:tc>
        <w:tc>
          <w:tcPr>
            <w:tcW w:w="15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34,734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Arial;Helvetica;sans-serif" w:hAnsi="Arial;Helvetica;sans-serif"/>
          <w:b/>
          <w:sz w:val="20"/>
        </w:rPr>
      </w:pPr>
      <w:bookmarkStart w:id="735" w:name="Tc_ciZTG_3-XE-1j2kp1Q5p5Q_7_2"/>
      <w:bookmarkStart w:id="736" w:name="Tc_q1FIfjzAjUemC3vLm5Plsw_6_2"/>
      <w:bookmarkStart w:id="737" w:name="Tc_4uJsbpboEUWXBMcxBOBllA_5_2"/>
      <w:bookmarkStart w:id="738" w:name="Tc_reFLgtnheE-N4e4mXubGeA_4_5"/>
      <w:bookmarkStart w:id="739" w:name="Tc_XG9tOXir406MvtrZZNxBpw_4_2"/>
      <w:bookmarkStart w:id="740" w:name="Tc_V7nwYOy7kkyGaMa2JdTsxg_4_0"/>
      <w:bookmarkStart w:id="741" w:name="Tc_AtEtkG4aMkq3ibHfeQNmpA_3_0"/>
      <w:bookmarkStart w:id="742" w:name="Tc_K6yQT3e3oEGVgsXtb9CrXA_2_0"/>
      <w:bookmarkStart w:id="743" w:name="_16cf423c_712d_45d1_b753_8f0a028d703d"/>
      <w:bookmarkEnd w:id="735"/>
      <w:bookmarkEnd w:id="736"/>
      <w:bookmarkEnd w:id="737"/>
      <w:bookmarkEnd w:id="738"/>
      <w:bookmarkEnd w:id="739"/>
      <w:bookmarkEnd w:id="740"/>
      <w:bookmarkEnd w:id="741"/>
      <w:bookmarkEnd w:id="742"/>
      <w:bookmarkEnd w:id="743"/>
      <w:r>
        <w:rPr>
          <w:rFonts w:ascii="Arial;Helvetica;sans-serif" w:hAnsi="Arial;Helvetica;sans-serif"/>
          <w:b/>
          <w:sz w:val="20"/>
        </w:rPr>
        <w:t>Common Stock Warrants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 the Company’s outstanding common stock warrants as of March 31, 2023, and December 31, 2022:</w:t>
      </w:r>
    </w:p>
    <w:tbl>
      <w:tblPr>
        <w:tblW w:w="4510" w:type="dxa"/>
        <w:jc w:val="left"/>
        <w:tblInd w:w="0" w:type="dxa"/>
        <w:tblLayout w:type="fixed"/>
        <w:tblCellMar>
          <w:top w:w="0" w:type="dxa"/>
          <w:left w:w="0" w:type="dxa"/>
          <w:bottom w:w="0" w:type="dxa"/>
          <w:right w:w="0" w:type="dxa"/>
        </w:tblCellMar>
      </w:tblPr>
      <w:tblGrid>
        <w:gridCol w:w="1291"/>
        <w:gridCol w:w="326"/>
        <w:gridCol w:w="485"/>
        <w:gridCol w:w="716"/>
        <w:gridCol w:w="326"/>
        <w:gridCol w:w="136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19785" cy="175260"/>
                      <wp:effectExtent l="0" t="0" r="0" b="0"/>
                      <wp:wrapNone/>
                      <wp:docPr id="181" name="Frame18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07975" cy="175260"/>
                      <wp:effectExtent l="0" t="0" r="0" b="0"/>
                      <wp:wrapNone/>
                      <wp:docPr id="183" name="Frame182"/>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54660" cy="175260"/>
                      <wp:effectExtent l="0" t="0" r="0" b="0"/>
                      <wp:wrapNone/>
                      <wp:docPr id="184" name="Frame18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67410" cy="175260"/>
                      <wp:effectExtent l="0" t="0" r="0" b="0"/>
                      <wp:wrapNone/>
                      <wp:docPr id="186" name="Frame185"/>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center"/>
              <w:rPr/>
            </w:pPr>
            <w:r>
              <w:rPr/>
              <w:t>    </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Warrants</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center"/>
              <w:rPr/>
            </w:pPr>
            <w:r>
              <w:rPr/>
              <w:t>    </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29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r>
      <w:tr>
        <w:trPr/>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Expiration Date</w:t>
            </w:r>
          </w:p>
        </w:tc>
      </w:tr>
      <w:tr>
        <w:trPr/>
        <w:tc>
          <w:tcPr>
            <w:tcW w:w="12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Aug-2023</w:t>
            </w:r>
          </w:p>
        </w:tc>
      </w:tr>
      <w:tr>
        <w:trPr/>
        <w:tc>
          <w:tcPr>
            <w:tcW w:w="12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Mar-2024</w:t>
            </w:r>
          </w:p>
        </w:tc>
      </w:tr>
      <w:tr>
        <w:trPr/>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Dec-2024</w:t>
            </w:r>
          </w:p>
        </w:tc>
      </w:tr>
      <w:tr>
        <w:trPr/>
        <w:tc>
          <w:tcPr>
            <w:tcW w:w="12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744" w:name="Tc_v-J2B99WBkWkMrOxb-TeLg_6_0"/>
      <w:bookmarkStart w:id="745" w:name="Tc_YARi8ZRr70WRiePioGGX9g_5_0"/>
      <w:bookmarkStart w:id="746" w:name="Tc_J5Gyf16uZkeK-flVKeIHHw_4_0"/>
      <w:bookmarkStart w:id="747" w:name="Tc_ZB62wIsUzU28IouKHs9hyw_3_0"/>
      <w:bookmarkStart w:id="748" w:name="Tc_PH5UUeMbqUq0aAigx1C4Fg_2_4"/>
      <w:bookmarkStart w:id="749" w:name="Tc_7nz95piue02RXvjyvUe_3g_2_2"/>
      <w:bookmarkStart w:id="750" w:name="Tc_BMq3RV_UwUKVJ_K3AiVrrA_1_2"/>
      <w:bookmarkStart w:id="751" w:name="_acb40eff_2991_455c_813e_792faeb1229e"/>
      <w:bookmarkEnd w:id="744"/>
      <w:bookmarkEnd w:id="745"/>
      <w:bookmarkEnd w:id="746"/>
      <w:bookmarkEnd w:id="747"/>
      <w:bookmarkEnd w:id="748"/>
      <w:bookmarkEnd w:id="749"/>
      <w:bookmarkEnd w:id="750"/>
      <w:bookmarkEnd w:id="751"/>
      <w:r>
        <w:rPr>
          <w:rFonts w:ascii="Arial;Helvetica;sans-serif" w:hAnsi="Arial;Helvetica;sans-serif"/>
          <w:b/>
          <w:sz w:val="20"/>
        </w:rPr>
        <w:t>15.     LOSS PER SHARE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units and non-vested performance restricted stock units (“PRSUs”) using the treasury stock method, along with the effect, if any, from the potential conversion of outstanding securities, such as convertible preferred stock.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potentially dilutive securities outstanding as of March 31, 2023 and 2022 have been excluded from the denominator of the diluted loss per share of common stock outstanding calculation (in thousands):</w:t>
      </w:r>
    </w:p>
    <w:p>
      <w:pPr>
        <w:pStyle w:val="TextBody"/>
        <w:bidi w:val="0"/>
        <w:spacing w:before="0" w:after="200"/>
        <w:ind w:left="0" w:right="0" w:hanging="0"/>
        <w:jc w:val="left"/>
        <w:rPr/>
      </w:pPr>
      <w:r>
        <w:rPr/>
        <w:t>​</w:t>
      </w:r>
    </w:p>
    <w:tbl>
      <w:tblPr>
        <w:tblW w:w="4870" w:type="dxa"/>
        <w:jc w:val="left"/>
        <w:tblInd w:w="0" w:type="dxa"/>
        <w:tblLayout w:type="fixed"/>
        <w:tblCellMar>
          <w:top w:w="0" w:type="dxa"/>
          <w:left w:w="0" w:type="dxa"/>
          <w:bottom w:w="0" w:type="dxa"/>
          <w:right w:w="0" w:type="dxa"/>
        </w:tblCellMar>
      </w:tblPr>
      <w:tblGrid>
        <w:gridCol w:w="3001"/>
        <w:gridCol w:w="326"/>
        <w:gridCol w:w="586"/>
        <w:gridCol w:w="326"/>
        <w:gridCol w:w="63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905635" cy="175260"/>
                      <wp:effectExtent l="0" t="0" r="0" b="0"/>
                      <wp:wrapNone/>
                      <wp:docPr id="187" name="Frame186"/>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72110" cy="175260"/>
                      <wp:effectExtent l="0" t="0" r="0" b="0"/>
                      <wp:wrapNone/>
                      <wp:docPr id="189" name="Frame18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00685" cy="175260"/>
                      <wp:effectExtent l="0" t="0" r="0" b="0"/>
                      <wp:wrapNone/>
                      <wp:docPr id="191" name="Frame19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0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1,291</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1,488</w:t>
            </w:r>
          </w:p>
        </w:tc>
      </w:tr>
      <w:tr>
        <w:trPr/>
        <w:tc>
          <w:tcPr>
            <w:tcW w:w="3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PRSUs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r>
      <w:tr>
        <w:trPr/>
        <w:tc>
          <w:tcPr>
            <w:tcW w:w="30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restricted stock units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3,253</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3,666</w:t>
            </w:r>
          </w:p>
        </w:tc>
      </w:tr>
      <w:tr>
        <w:trPr/>
        <w:tc>
          <w:tcPr>
            <w:tcW w:w="3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warrants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752" w:name="Tc_0fcQkh0ve0eUvhSr2Sk98w_7_5"/>
      <w:bookmarkStart w:id="753" w:name="Tc_xNeEFxPsrU-CLZC-5tEEvQ_7_2"/>
      <w:bookmarkStart w:id="754" w:name="Tc_imIAu7deLEiqCT7hYLZuvg_7_0"/>
      <w:bookmarkStart w:id="755" w:name="Tc__TlZUh8EoUCTXvSfF3DCcg_6_0"/>
      <w:bookmarkStart w:id="756" w:name="Tc__pStVNkcG0aXuhOP2Gg5yw_5_0"/>
      <w:bookmarkStart w:id="757" w:name="Tc_-yAqMqLPLkSmcn73vkqR6w_4_0"/>
      <w:bookmarkStart w:id="758" w:name="Tc_7g7mZDMylUSJvl1_Z2YitA_3_5"/>
      <w:bookmarkStart w:id="759" w:name="Tc_d8pnyVyaZ0CbKSjKnKufZA_3_2"/>
      <w:bookmarkStart w:id="760" w:name="Tc_Oa3ZaIRkkU2cUvK22sbs3Q_3_0"/>
      <w:bookmarkStart w:id="761" w:name="Tc_3g0NM6uLEECBKFKW0axDmA_2_5"/>
      <w:bookmarkStart w:id="762" w:name="Tc_NherU_9QbESBUgDV1DhG4g_2_2"/>
      <w:bookmarkStart w:id="763" w:name="Tc_37x_MlXQAUqLioeyJucZyw_1_2"/>
      <w:bookmarkStart w:id="764" w:name="_af4cf635_7727_423c_8db5_56b289600909"/>
      <w:bookmarkEnd w:id="752"/>
      <w:bookmarkEnd w:id="753"/>
      <w:bookmarkEnd w:id="754"/>
      <w:bookmarkEnd w:id="755"/>
      <w:bookmarkEnd w:id="756"/>
      <w:bookmarkEnd w:id="757"/>
      <w:bookmarkEnd w:id="758"/>
      <w:bookmarkEnd w:id="759"/>
      <w:bookmarkEnd w:id="760"/>
      <w:bookmarkEnd w:id="761"/>
      <w:bookmarkEnd w:id="762"/>
      <w:bookmarkEnd w:id="763"/>
      <w:bookmarkEnd w:id="764"/>
      <w:r>
        <w:rPr>
          <w:rFonts w:ascii="Arial;Helvetica;sans-serif" w:hAnsi="Arial;Helvetica;sans-serif"/>
          <w:b/>
          <w:sz w:val="20"/>
        </w:rPr>
        <w:t>16.     SHARE-BASED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amount of share-based compensation expense recognized by the Company by location in its statements of operations for the three months ended March 31, 2023 and 2022 is as follows (in thousands):</w:t>
      </w:r>
    </w:p>
    <w:p>
      <w:pPr>
        <w:pStyle w:val="TextBody"/>
        <w:bidi w:val="0"/>
        <w:spacing w:before="0" w:after="200"/>
        <w:ind w:left="0" w:right="0" w:hanging="0"/>
        <w:jc w:val="left"/>
        <w:rPr/>
      </w:pPr>
      <w:r>
        <w:rPr/>
        <w:t>​</w:t>
      </w:r>
    </w:p>
    <w:tbl>
      <w:tblPr>
        <w:tblW w:w="5457" w:type="dxa"/>
        <w:jc w:val="left"/>
        <w:tblInd w:w="0" w:type="dxa"/>
        <w:tblLayout w:type="fixed"/>
        <w:tblCellMar>
          <w:top w:w="0" w:type="dxa"/>
          <w:left w:w="0" w:type="dxa"/>
          <w:bottom w:w="0" w:type="dxa"/>
          <w:right w:w="0" w:type="dxa"/>
        </w:tblCellMar>
      </w:tblPr>
      <w:tblGrid>
        <w:gridCol w:w="2491"/>
        <w:gridCol w:w="326"/>
        <w:gridCol w:w="275"/>
        <w:gridCol w:w="764"/>
        <w:gridCol w:w="425"/>
        <w:gridCol w:w="275"/>
        <w:gridCol w:w="90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581785" cy="175260"/>
                      <wp:effectExtent l="0" t="0" r="0" b="0"/>
                      <wp:wrapNone/>
                      <wp:docPr id="192" name="Frame19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4625" cy="175260"/>
                      <wp:effectExtent l="0" t="0" r="0" b="0"/>
                      <wp:wrapNone/>
                      <wp:docPr id="194" name="Frame19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85140" cy="175260"/>
                      <wp:effectExtent l="0" t="0" r="0" b="0"/>
                      <wp:wrapNone/>
                      <wp:docPr id="195" name="Frame194"/>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69875" cy="175260"/>
                      <wp:effectExtent l="0" t="0" r="0" b="0"/>
                      <wp:wrapNone/>
                      <wp:docPr id="196" name="Frame195"/>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4625" cy="175260"/>
                      <wp:effectExtent l="0" t="0" r="0" b="0"/>
                      <wp:wrapNone/>
                      <wp:docPr id="197" name="Frame19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72135" cy="175260"/>
                      <wp:effectExtent l="0" t="0" r="0" b="0"/>
                      <wp:wrapNone/>
                      <wp:docPr id="198" name="Frame19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25" w:type="dxa"/>
            <w:tcBorders/>
            <w:vAlign w:val="center"/>
          </w:tcPr>
          <w:p>
            <w:pPr>
              <w:pStyle w:val="TableContents"/>
              <w:bidi w:val="0"/>
              <w:spacing w:before="0" w:after="0"/>
              <w:ind w:left="0" w:right="0" w:hanging="0"/>
              <w:jc w:val="left"/>
              <w:rPr/>
            </w:pPr>
            <w:r>
              <w:rPr/>
              <w:t>    </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425"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642</w:t>
            </w:r>
          </w:p>
        </w:tc>
        <w:tc>
          <w:tcPr>
            <w:tcW w:w="425"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1,135</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967</w:t>
            </w:r>
          </w:p>
        </w:tc>
        <w:tc>
          <w:tcPr>
            <w:tcW w:w="425"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1,009</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w:t>
            </w:r>
          </w:p>
        </w:tc>
        <w:tc>
          <w:tcPr>
            <w:tcW w:w="425"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1,805</w:t>
            </w:r>
          </w:p>
        </w:tc>
        <w:tc>
          <w:tcPr>
            <w:tcW w:w="425"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2,252</w:t>
            </w:r>
          </w:p>
        </w:tc>
      </w:tr>
    </w:tbl>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765" w:name="Tc_X7vpIfcLAUuhcqoyOjkNdg_12_9"/>
      <w:bookmarkStart w:id="766" w:name="Tc_Qyk-inM3LUiCdzH-4yXoaA_12_4"/>
      <w:bookmarkStart w:id="767" w:name="Tc_ULuT9-fQd0ux60BdMGJlFA_12_0"/>
      <w:bookmarkStart w:id="768" w:name="Tc_Hxxw1W88L021kmaR-6YNsA_11_9"/>
      <w:bookmarkStart w:id="769" w:name="Tc_GyVUbxOxZ0q8P3DqgazohA_11_4"/>
      <w:bookmarkStart w:id="770" w:name="Tc_RztGr0ZE-06KinI4jS9xqw_11_0"/>
      <w:bookmarkStart w:id="771" w:name="Tc_utfXlXeWI0-WhAVuR-O45g_10_9"/>
      <w:bookmarkStart w:id="772" w:name="Tc_-0JdPS9kZEG8vnYjCbR12Q_10_4"/>
      <w:bookmarkStart w:id="773" w:name="Tc_NW3Y552ZrEmfBQhblzO0FA_10_0"/>
      <w:bookmarkStart w:id="774" w:name="Tc_PEJ5taCo4keKGwtksJwKBA_9_4"/>
      <w:bookmarkStart w:id="775" w:name="Tc_s8aqYIt7vEOqilzbpgbucg_9_0"/>
      <w:bookmarkStart w:id="776" w:name="Tc_FXuxQD_L1k-vPCRkcd5I6g_8_5"/>
      <w:bookmarkStart w:id="777" w:name="Tc_8ZOAU6dUOUWsxvxnY5ln0A_8_4"/>
      <w:bookmarkStart w:id="778" w:name="Tc_Eh6YBIIYiEKsSaAIz2EU2Q_8_2"/>
      <w:bookmarkStart w:id="779" w:name="Tc_11U15yHAnUW1QX5CKzMiBg_8_0"/>
      <w:bookmarkStart w:id="780" w:name="Tc_evRH4xeOiEO84xaa2IGDHg_7_5"/>
      <w:bookmarkStart w:id="781" w:name="Tc_z-m6NBwsN02n32Vl6pnGGw_7_4"/>
      <w:bookmarkStart w:id="782" w:name="Tc_D5aVXIuzzU-Z-OnoG4DWLg_7_2"/>
      <w:bookmarkStart w:id="783" w:name="Tc__5_GIrCvkE2F-TCu_10_Sg_7_0"/>
      <w:bookmarkStart w:id="784" w:name="Tc_cujKVGfb7EO9q1yYr3lNYg_6_4"/>
      <w:bookmarkStart w:id="785" w:name="Tc_5j6Oz_Ga-EazDSZCsJNx6w_6_0"/>
      <w:bookmarkStart w:id="786" w:name="Tc_YlvN7HWBb0iuIYRXeORDSw_5_9"/>
      <w:bookmarkStart w:id="787" w:name="Tc_sDM7zLSzCEeqYgTFi-OEXQ_5_7"/>
      <w:bookmarkStart w:id="788" w:name="Tc_iCLqWbg3QEeQxe6qRDC-oQ_5_4"/>
      <w:bookmarkStart w:id="789" w:name="Tc_cm68MxuIcEi6HBT66b6AFw_5_2"/>
      <w:bookmarkStart w:id="790" w:name="Tc_ei8H4w8LJ0-XNTxZTjXp-g_4_9"/>
      <w:bookmarkStart w:id="791" w:name="Tc_HeAfKtUCgkuqbdE4ZUq_Ng_4_7"/>
      <w:bookmarkStart w:id="792" w:name="Tc_AdIN89mXeUaQ0Ja4WU6g0Q_4_4"/>
      <w:bookmarkStart w:id="793" w:name="Tc_f_OQ8C8FakmGEP3a96g-CQ_4_2"/>
      <w:bookmarkStart w:id="794" w:name="Tc_ecalFzIJ_UKMWfHL1yCcSA_3_9"/>
      <w:bookmarkStart w:id="795" w:name="Tc_H85ag3TnDU2ifvSM9cjp0Q_3_7"/>
      <w:bookmarkStart w:id="796" w:name="Tc_7YaYhC6t7EOy3Det8uV9Ag_3_4"/>
      <w:bookmarkStart w:id="797" w:name="Tc_zJdFflUKekSL9gULA9nz2Q_3_2"/>
      <w:bookmarkStart w:id="798" w:name="Tc_-CuJ_7rjN0W8yfcV_oweaQ_2_9"/>
      <w:bookmarkStart w:id="799" w:name="Tc_xWPxDTTB00uVaM06aeHdhA_2_7"/>
      <w:bookmarkStart w:id="800" w:name="Tc_yRmLVXlZQUaW1PZLHVMVaQ_2_4"/>
      <w:bookmarkStart w:id="801" w:name="Tc_gU8C8RaUhUaniH9s-wSC6A_2_2"/>
      <w:bookmarkStart w:id="802" w:name="Tc_qk2luJG2G0yZuNLLPaFzPA_1_9"/>
      <w:bookmarkStart w:id="803" w:name="Tc_ef7JPuIf4kez1FMPKbiXUQ_1_7"/>
      <w:bookmarkStart w:id="804" w:name="_2954aeab_11b0_4273_8265_db3f2e7b3eda"/>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2018 Equity Incentive Plan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June 2018, the Company adopted the 2018 Equity Incentive Plan, ( the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w:t>
      </w:r>
      <w:r>
        <w:rPr>
          <w:rFonts w:ascii="Arial;Helvetica;sans-serif" w:hAnsi="Arial;Helvetica;sans-serif"/>
          <w:b w:val="false"/>
          <w:i w:val="false"/>
          <w:caps w:val="false"/>
          <w:smallCaps w:val="false"/>
          <w:sz w:val="20"/>
        </w:rPr>
        <w:t>10 years</w:t>
      </w:r>
      <w:r>
        <w:rPr>
          <w:rFonts w:ascii="Arial;Helvetica;sans-serif" w:hAnsi="Arial;Helvetica;sans-serif"/>
          <w:sz w:val="20"/>
        </w:rPr>
        <w:t xml:space="preserve">,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PRSUs generally vest based on appreciation of the Company’s common stock to a certain price as determined by the Company’s board of directors measured using a trailing </w:t>
      </w:r>
      <w:r>
        <w:rPr>
          <w:rFonts w:ascii="Arial;Helvetica;sans-serif" w:hAnsi="Arial;Helvetica;sans-serif"/>
          <w:b w:val="false"/>
          <w:i w:val="false"/>
          <w:caps w:val="false"/>
          <w:smallCaps w:val="false"/>
          <w:sz w:val="20"/>
        </w:rPr>
        <w:t>30-day</w:t>
      </w:r>
      <w:r>
        <w:rPr>
          <w:rFonts w:ascii="Arial;Helvetica;sans-serif" w:hAnsi="Arial;Helvetica;sans-serif"/>
          <w:sz w:val="20"/>
        </w:rPr>
        <w:t xml:space="preserve"> volume weighted average price of a share of the Company’s common stock. The fair value of the PRSU awards are determined using a risk neutral Monte Carlo simulation valuation model. As of March 31, 2023, there were 0.8 million shares available for future issuance under the 2018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2020 Inducement Incentive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In December 2020, the Company adopted the 2020 Inducement Incentive Plan (the “2020 Plan”), which authorized the issuance of up to 0.4</w:t>
      </w:r>
      <w:r>
        <w:rPr>
          <w:rFonts w:ascii="Arial;Helvetica;sans-serif" w:hAnsi="Arial;Helvetica;sans-serif"/>
          <w:b/>
          <w:sz w:val="20"/>
        </w:rPr>
        <w:t xml:space="preserve"> </w:t>
      </w:r>
      <w:r>
        <w:rPr>
          <w:rFonts w:ascii="Arial;Helvetica;sans-serif" w:hAnsi="Arial;Helvetica;sans-serif"/>
          <w:b w:val="false"/>
          <w:sz w:val="20"/>
        </w:rPr>
        <w:t>million shares, subject to increase by approval of the Company’s board of directors, in the form of stock options, stock appreciation rights, restricted stock awards, restricted stock unit awards, performance stock awards and other stock awards to eligible employees who satisfy the standards for inducement grants under Nasdaq Global Market rules. In March 2022, the Company’s board of directors approved an additional 0.5</w:t>
      </w:r>
      <w:r>
        <w:rPr>
          <w:rFonts w:ascii="Arial;Helvetica;sans-serif" w:hAnsi="Arial;Helvetica;sans-serif"/>
          <w:b/>
          <w:sz w:val="20"/>
        </w:rPr>
        <w:t xml:space="preserve"> </w:t>
      </w:r>
      <w:r>
        <w:rPr>
          <w:rFonts w:ascii="Arial;Helvetica;sans-serif" w:hAnsi="Arial;Helvetica;sans-serif"/>
          <w:b w:val="false"/>
          <w:sz w:val="20"/>
        </w:rPr>
        <w:t>million shares for the issuance under the 2020 Plan. An individual who previously served as an employee or director of the Company is not eligible to receive awards under the 2020 Plan. The amount and terms of grants are determined by the Company’s board of directors. As of March 31, 2023, there were 0.4</w:t>
      </w:r>
      <w:r>
        <w:rPr>
          <w:rFonts w:ascii="Arial;Helvetica;sans-serif" w:hAnsi="Arial;Helvetica;sans-serif"/>
          <w:b/>
          <w:sz w:val="20"/>
        </w:rPr>
        <w:t xml:space="preserve"> </w:t>
      </w:r>
      <w:r>
        <w:rPr>
          <w:rFonts w:ascii="Arial;Helvetica;sans-serif" w:hAnsi="Arial;Helvetica;sans-serif"/>
          <w:b w:val="false"/>
          <w:sz w:val="20"/>
        </w:rPr>
        <w:t>million shares available for future issuance under the 2020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Stock Options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stock option activity for the three months ended March 31, 2023:</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41"/>
        <w:gridCol w:w="326"/>
        <w:gridCol w:w="1268"/>
        <w:gridCol w:w="326"/>
        <w:gridCol w:w="429"/>
        <w:gridCol w:w="772"/>
        <w:gridCol w:w="326"/>
        <w:gridCol w:w="1178"/>
        <w:gridCol w:w="326"/>
        <w:gridCol w:w="374"/>
        <w:gridCol w:w="939"/>
      </w:tblGrid>
      <w:tr>
        <w:trPr/>
        <w:tc>
          <w:tcPr>
            <w:tcW w:w="3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02535" cy="175260"/>
                      <wp:effectExtent l="0" t="0" r="0" b="0"/>
                      <wp:wrapNone/>
                      <wp:docPr id="199" name="Frame198"/>
                      <a:graphic xmlns:a="http://schemas.openxmlformats.org/drawingml/2006/main">
                        <a:graphicData uri="http://schemas.microsoft.com/office/word/2010/wordprocessingShape">
                          <wps:wsp>
                            <wps:cNvSpPr txBox="1"/>
                            <wps:spPr>
                              <a:xfrm>
                                <a:off x="0" y="0"/>
                                <a:ext cx="2502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05180" cy="175260"/>
                      <wp:effectExtent l="0" t="0" r="0" b="0"/>
                      <wp:wrapNone/>
                      <wp:docPr id="201" name="Frame200"/>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72415" cy="175260"/>
                      <wp:effectExtent l="0" t="0" r="0" b="0"/>
                      <wp:wrapNone/>
                      <wp:docPr id="203" name="Frame202"/>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90220" cy="175260"/>
                      <wp:effectExtent l="0" t="0" r="0" b="0"/>
                      <wp:wrapNone/>
                      <wp:docPr id="204" name="Frame203"/>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48030" cy="175260"/>
                      <wp:effectExtent l="0" t="0" r="0" b="0"/>
                      <wp:wrapNone/>
                      <wp:docPr id="206" name="Frame205"/>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37490" cy="175260"/>
                      <wp:effectExtent l="0" t="0" r="0" b="0"/>
                      <wp:wrapNone/>
                      <wp:docPr id="208" name="Frame20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96265" cy="175260"/>
                      <wp:effectExtent l="0" t="0" r="0" b="0"/>
                      <wp:wrapNone/>
                      <wp:docPr id="209" name="Frame208"/>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8"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429" w:type="dxa"/>
            <w:tcBorders/>
            <w:vAlign w:val="center"/>
          </w:tcPr>
          <w:p>
            <w:pPr>
              <w:pStyle w:val="TableContents"/>
              <w:bidi w:val="0"/>
              <w:spacing w:before="0" w:after="1"/>
              <w:ind w:left="0" w:right="0" w:hanging="0"/>
              <w:jc w:val="center"/>
              <w:rPr/>
            </w:pPr>
            <w:r>
              <w:rPr/>
              <w:t>    </w:t>
            </w:r>
          </w:p>
        </w:tc>
        <w:tc>
          <w:tcPr>
            <w:tcW w:w="7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78"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131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8"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1178"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31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8"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 under</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1178"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131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8"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Option</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vAlign w:val="center"/>
          </w:tcPr>
          <w:p>
            <w:pPr>
              <w:pStyle w:val="TableContents"/>
              <w:bidi w:val="0"/>
              <w:spacing w:before="0" w:after="1"/>
              <w:ind w:left="0" w:right="0" w:hanging="0"/>
              <w:jc w:val="center"/>
              <w:rPr/>
            </w:pPr>
            <w:r>
              <w:rPr/>
              <w:t>​</w:t>
            </w:r>
          </w:p>
        </w:tc>
        <w:tc>
          <w:tcPr>
            <w:tcW w:w="1178"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131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 Option</w:t>
            </w:r>
          </w:p>
        </w:tc>
        <w:tc>
          <w:tcPr>
            <w:tcW w:w="326" w:type="dxa"/>
            <w:tcBorders/>
            <w:vAlign w:val="center"/>
          </w:tcPr>
          <w:p>
            <w:pPr>
              <w:pStyle w:val="TableContents"/>
              <w:bidi w:val="0"/>
              <w:spacing w:before="0" w:after="1"/>
              <w:ind w:left="0" w:right="0" w:hanging="0"/>
              <w:jc w:val="center"/>
              <w:rPr/>
            </w:pPr>
            <w:r>
              <w:rPr/>
              <w:t>​</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Life (in years)</w:t>
            </w:r>
          </w:p>
        </w:tc>
        <w:tc>
          <w:tcPr>
            <w:tcW w:w="326" w:type="dxa"/>
            <w:tcBorders/>
            <w:vAlign w:val="center"/>
          </w:tcPr>
          <w:p>
            <w:pPr>
              <w:pStyle w:val="TableContents"/>
              <w:bidi w:val="0"/>
              <w:spacing w:before="0" w:after="1"/>
              <w:ind w:left="0" w:right="0" w:hanging="0"/>
              <w:jc w:val="center"/>
              <w:rPr/>
            </w:pPr>
            <w:r>
              <w:rPr/>
              <w:t>​</w:t>
            </w:r>
          </w:p>
        </w:tc>
        <w:tc>
          <w:tcPr>
            <w:tcW w:w="13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3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1,301</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4.07</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4"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r>
      <w:tr>
        <w:trPr/>
        <w:tc>
          <w:tcPr>
            <w:tcW w:w="3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1"/>
              <w:ind w:left="0" w:right="0" w:hanging="0"/>
              <w:jc w:val="left"/>
              <w:rPr/>
            </w:pPr>
            <w:r>
              <w:rPr/>
              <w:t> </w:t>
            </w:r>
          </w:p>
        </w:tc>
        <w:tc>
          <w:tcPr>
            <w:tcW w:w="12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74"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  </w:t>
            </w:r>
          </w:p>
        </w:tc>
      </w:tr>
      <w:tr>
        <w:trPr/>
        <w:tc>
          <w:tcPr>
            <w:tcW w:w="3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126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4"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  </w:t>
            </w:r>
          </w:p>
        </w:tc>
      </w:tr>
      <w:tr>
        <w:trPr/>
        <w:tc>
          <w:tcPr>
            <w:tcW w:w="3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12.57</w:t>
            </w:r>
          </w:p>
        </w:tc>
        <w:tc>
          <w:tcPr>
            <w:tcW w:w="32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74"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  </w:t>
            </w:r>
          </w:p>
        </w:tc>
      </w:tr>
      <w:tr>
        <w:trPr/>
        <w:tc>
          <w:tcPr>
            <w:tcW w:w="3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1,291</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4.66</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w:t>
            </w:r>
          </w:p>
        </w:tc>
        <w:tc>
          <w:tcPr>
            <w:tcW w:w="326" w:type="dxa"/>
            <w:tcBorders/>
            <w:shd w:fill="CCEEFF" w:val="clear"/>
            <w:vAlign w:val="center"/>
          </w:tcPr>
          <w:p>
            <w:pPr>
              <w:pStyle w:val="TableContents"/>
              <w:bidi w:val="0"/>
              <w:spacing w:before="0" w:after="1"/>
              <w:ind w:left="0" w:right="0" w:hanging="0"/>
              <w:jc w:val="left"/>
              <w:rPr/>
            </w:pPr>
            <w:r>
              <w:rPr/>
              <w:t> </w:t>
            </w:r>
          </w:p>
        </w:tc>
        <w:tc>
          <w:tcPr>
            <w:tcW w:w="37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873</w:t>
            </w:r>
          </w:p>
        </w:tc>
      </w:tr>
      <w:tr>
        <w:trPr/>
        <w:tc>
          <w:tcPr>
            <w:tcW w:w="39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Exercisable at March 31, 2023</w:t>
            </w:r>
          </w:p>
        </w:tc>
        <w:tc>
          <w:tcPr>
            <w:tcW w:w="326" w:type="dxa"/>
            <w:tcBorders/>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937</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4.00</w:t>
            </w:r>
          </w:p>
        </w:tc>
        <w:tc>
          <w:tcPr>
            <w:tcW w:w="326"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w:t>
            </w:r>
          </w:p>
        </w:tc>
        <w:tc>
          <w:tcPr>
            <w:tcW w:w="326" w:type="dxa"/>
            <w:tcBorders/>
            <w:vAlign w:val="center"/>
          </w:tcPr>
          <w:p>
            <w:pPr>
              <w:pStyle w:val="TableContents"/>
              <w:bidi w:val="0"/>
              <w:spacing w:before="0" w:after="1"/>
              <w:ind w:left="0" w:right="0" w:hanging="0"/>
              <w:jc w:val="left"/>
              <w:rPr/>
            </w:pPr>
            <w:r>
              <w:rPr/>
              <w:t> </w:t>
            </w:r>
          </w:p>
        </w:tc>
        <w:tc>
          <w:tcPr>
            <w:tcW w:w="37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563</w:t>
            </w:r>
          </w:p>
        </w:tc>
      </w:tr>
      <w:tr>
        <w:trPr/>
        <w:tc>
          <w:tcPr>
            <w:tcW w:w="39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Vested and expected to vest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1,291</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4.66</w:t>
            </w:r>
          </w:p>
        </w:tc>
        <w:tc>
          <w:tcPr>
            <w:tcW w:w="326"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w:t>
            </w:r>
          </w:p>
        </w:tc>
        <w:tc>
          <w:tcPr>
            <w:tcW w:w="326" w:type="dxa"/>
            <w:tcBorders/>
            <w:shd w:fill="CCEEFF" w:val="clear"/>
            <w:vAlign w:val="center"/>
          </w:tcPr>
          <w:p>
            <w:pPr>
              <w:pStyle w:val="TableContents"/>
              <w:bidi w:val="0"/>
              <w:spacing w:before="0" w:after="1"/>
              <w:ind w:left="0" w:right="0" w:hanging="0"/>
              <w:jc w:val="left"/>
              <w:rPr/>
            </w:pPr>
            <w:r>
              <w:rPr/>
              <w:t> </w:t>
            </w:r>
          </w:p>
        </w:tc>
        <w:tc>
          <w:tcPr>
            <w:tcW w:w="37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shd w:fill="CCEEFF" w:val="cle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873</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recognized share-based compensation expense related to stock options of $0.1 million and $0.2 million for the three months ended March 31, 2023 and 2022, respectively. As of March 31, 2023, there was $0.4 million of total unrecognized compensation cost related to non-vested stock options which the Company expects to recognize over a weighted-average period of 1.1 years.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Interim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Arial;Helvetica;sans-serif" w:hAnsi="Arial;Helvetica;sans-serif"/>
          <w:sz w:val="20"/>
        </w:rPr>
      </w:pPr>
      <w:bookmarkStart w:id="805" w:name="Tc_5nMhPZs0DE-VNn6yx62OCQ_9_9"/>
      <w:bookmarkStart w:id="806" w:name="Tc_8kdLJzmZaUepnMxmdPzvdA_9_4"/>
      <w:bookmarkStart w:id="807" w:name="Tc_jcrt042Ly0WU-_IlOFi1MA_9_0"/>
      <w:bookmarkStart w:id="808" w:name="Tc_wGJ1HvOXTEKL-RpHarpBHQ_8_10"/>
      <w:bookmarkStart w:id="809" w:name="Tc_F1VEYXK6_0azNK3Fzo53fA_8_9"/>
      <w:bookmarkStart w:id="810" w:name="Tc_rzr41h4xskGmBkQCoWSGkg_8_7"/>
      <w:bookmarkStart w:id="811" w:name="Tc_ubCar4C_5EiCQTmGKY4ayg_8_4"/>
      <w:bookmarkStart w:id="812" w:name="Tc_OSfRnMBjVEqiSrZSNmsFKA_8_0"/>
      <w:bookmarkStart w:id="813" w:name="Tc_7yvcNFEpk0erAYo_cZ224g_7_10"/>
      <w:bookmarkStart w:id="814" w:name="Tc__CPuenacqkuRUJ4P54kqIw_7_9"/>
      <w:bookmarkStart w:id="815" w:name="Tc_ZJBIOunFmUyZq-Ne8SRNVA_7_7"/>
      <w:bookmarkStart w:id="816" w:name="Tc_DCapoVSJOkO2zvyY86skIg_7_4"/>
      <w:bookmarkStart w:id="817" w:name="Tc_t6E3HyuaDEC0T9Tk-5vcgg_7_0"/>
      <w:bookmarkStart w:id="818" w:name="Tc_wUsJMs0kL0aq1wnmC4xa-g_6_10"/>
      <w:bookmarkStart w:id="819" w:name="Tc_OfrYK1Wod0mCkbfLFzgFEQ_6_9"/>
      <w:bookmarkStart w:id="820" w:name="Tc_5QtLP_3-f0Gl5E_d3PmQgg_6_7"/>
      <w:bookmarkStart w:id="821" w:name="Tc_YTHMCvvAm0ung7OmdByiJw_6_4"/>
      <w:bookmarkStart w:id="822" w:name="Tc_E2QOfFn_W0Cp-v8EeDbCDA_6_0"/>
      <w:bookmarkStart w:id="823" w:name="Tc_yO-cwIP0FUaH_wH_p9suMA_5_9"/>
      <w:bookmarkStart w:id="824" w:name="Tc_jAPydBGeeUq4jrradKVc-w_5_4"/>
      <w:bookmarkStart w:id="825" w:name="Tc_rhQWSiws6USTad4SUKeNbA_5_0"/>
      <w:bookmarkStart w:id="826" w:name="Tc_mza-xI0UPEyeRPQ-eJFfqw_4_10"/>
      <w:bookmarkStart w:id="827" w:name="Tc_AySwPqedyk-FUX2SoqAUiA_4_7"/>
      <w:bookmarkStart w:id="828" w:name="Tc_h_B23jVRnE2B3SNCUx0sVw_4_5"/>
      <w:bookmarkStart w:id="829" w:name="Tc_FBZ49-pXdUKjHaWa0UU7zw_4_2"/>
      <w:bookmarkStart w:id="830" w:name="Tc_M0nwC5OYrU-XzboTFlBd1g_3_10"/>
      <w:bookmarkStart w:id="831" w:name="Tc_GsK6sPfYV0OQhD9tb_BGTw_3_5"/>
      <w:bookmarkStart w:id="832" w:name="Tc_rK_1Y9p5O0ambPy6ekROiw_3_2"/>
      <w:bookmarkStart w:id="833" w:name="Tc__KdY_VPAKky-QiIz-jONzQ_2_10"/>
      <w:bookmarkStart w:id="834" w:name="Tc_ZtIhPSYoBEKw2ecMtaqHbA_2_7"/>
      <w:bookmarkStart w:id="835" w:name="Tc_ukrpwTLSLEOSYDQifI2vnw_2_5"/>
      <w:bookmarkStart w:id="836" w:name="Tc_e1d-h4pPn0OUWdZHG6bgRg_2_2"/>
      <w:bookmarkStart w:id="837" w:name="Tc_N6YX1hVj70mqH6DIa8Xhaw_1_10"/>
      <w:bookmarkStart w:id="838" w:name="Tc_nLsBhkDEyUKMPSIwOh8Jrg_1_7"/>
      <w:bookmarkStart w:id="839" w:name="Tc_Ry11TirxA0q7MrDRI0mBJg_1_5"/>
      <w:bookmarkStart w:id="840" w:name="Tc_L4X7fO8X3UmlB7L5Zd41mg_1_2"/>
      <w:bookmarkStart w:id="841" w:name="_8a57e19d_f13f_4748_817a_09200e561221"/>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Arial;Helvetica;sans-serif" w:hAnsi="Arial;Helvetica;sans-serif"/>
          <w:sz w:val="20"/>
        </w:rPr>
        <w:t xml:space="preserve">For the three months ended March 31, 2023 the Company did not grant stock options.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Restricted Stock Units and PRSUs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restricted stock unit and PRSU activity for March 31, 2023:</w:t>
      </w:r>
    </w:p>
    <w:p>
      <w:pPr>
        <w:pStyle w:val="TextBody"/>
        <w:bidi w:val="0"/>
        <w:spacing w:before="0" w:after="200"/>
        <w:ind w:left="0" w:right="0" w:hanging="0"/>
        <w:jc w:val="left"/>
        <w:rPr/>
      </w:pPr>
      <w:r>
        <w:rPr/>
        <w:t>​</w:t>
      </w:r>
    </w:p>
    <w:tbl>
      <w:tblPr>
        <w:tblW w:w="9336" w:type="dxa"/>
        <w:jc w:val="left"/>
        <w:tblInd w:w="0" w:type="dxa"/>
        <w:tblLayout w:type="fixed"/>
        <w:tblCellMar>
          <w:top w:w="0" w:type="dxa"/>
          <w:left w:w="0" w:type="dxa"/>
          <w:bottom w:w="0" w:type="dxa"/>
          <w:right w:w="0" w:type="dxa"/>
        </w:tblCellMar>
      </w:tblPr>
      <w:tblGrid>
        <w:gridCol w:w="3091"/>
        <w:gridCol w:w="326"/>
        <w:gridCol w:w="1276"/>
        <w:gridCol w:w="326"/>
        <w:gridCol w:w="211"/>
        <w:gridCol w:w="961"/>
        <w:gridCol w:w="326"/>
        <w:gridCol w:w="1276"/>
        <w:gridCol w:w="326"/>
        <w:gridCol w:w="211"/>
        <w:gridCol w:w="100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62785" cy="175260"/>
                      <wp:effectExtent l="0" t="0" r="0" b="0"/>
                      <wp:wrapNone/>
                      <wp:docPr id="210" name="Frame20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10260" cy="175260"/>
                      <wp:effectExtent l="0" t="0" r="0" b="0"/>
                      <wp:wrapNone/>
                      <wp:docPr id="212" name="Frame21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10235" cy="175260"/>
                      <wp:effectExtent l="0" t="0" r="0" b="0"/>
                      <wp:wrapNone/>
                      <wp:docPr id="215" name="Frame21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810260" cy="175260"/>
                      <wp:effectExtent l="0" t="0" r="0" b="0"/>
                      <wp:wrapNone/>
                      <wp:docPr id="217" name="Frame21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38810" cy="175260"/>
                      <wp:effectExtent l="0" t="0" r="0" b="0"/>
                      <wp:wrapNone/>
                      <wp:docPr id="220" name="Frame21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Restricted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PRSUs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at December 31, 2022</w:t>
            </w:r>
          </w:p>
        </w:tc>
        <w:tc>
          <w:tcPr>
            <w:tcW w:w="326" w:type="dxa"/>
            <w:tcBorders/>
            <w:shd w:fill="CCEEFF" w:val="clear"/>
            <w:vAlign w:val="center"/>
          </w:tcPr>
          <w:p>
            <w:pPr>
              <w:pStyle w:val="TableContents"/>
              <w:bidi w:val="0"/>
              <w:spacing w:before="0" w:after="0"/>
              <w:ind w:left="0" w:right="0" w:hanging="0"/>
              <w:jc w:val="right"/>
              <w:rPr>
                <w:color w:val="FF0000"/>
              </w:rPr>
            </w:pPr>
            <w:r>
              <w:rPr>
                <w:color w:val="FF0000"/>
              </w:rPr>
              <w:t>​</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6.77</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5.83</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5.09</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at March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4.66</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6.77</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recognized $1.7 million and $2.1 million in share-based compensation expense related to the restricted stock units and PRSUs for the three months ended March 31, 2023 and 2022, respectively. As of March 31, 2023, there was $12.9 million of unrecognized compensation cost related to non-vested restricted stock units and PRSUs, which the Company expects to recognize over a weighted-average period of 2.2 years. The total fair value at the vesting date of restricted stock units and PRSUs vested during the three months ended March 31, 2023, was $7.1 million.</w:t>
      </w:r>
    </w:p>
    <w:p>
      <w:pPr>
        <w:pStyle w:val="TextBody"/>
        <w:bidi w:val="0"/>
        <w:spacing w:before="0" w:after="200"/>
        <w:ind w:left="0" w:right="0" w:hanging="0"/>
        <w:jc w:val="left"/>
        <w:rPr>
          <w:rFonts w:ascii="Arial;Helvetica;sans-serif" w:hAnsi="Arial;Helvetica;sans-serif"/>
          <w:sz w:val="2"/>
        </w:rPr>
      </w:pPr>
      <w:r>
        <w:rPr>
          <w:rFonts w:ascii="Arial;Helvetica;sans-serif" w:hAnsi="Arial;Helvetica;sans-serif"/>
          <w:sz w:val="20"/>
        </w:rPr>
        <w:t>The Company did not grant PRSUs during the three months ended March 31, 2023.</w:t>
      </w:r>
      <w:r>
        <w:rPr>
          <w:rFonts w:ascii="Arial;Helvetica;sans-serif" w:hAnsi="Arial;Helvetica;sans-serif"/>
          <w:sz w:val="2"/>
        </w:rPr>
        <w:t xml:space="preserve">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 xml:space="preserve">17.     COMMITMENTS AND CONTINGENCIES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Legal Matters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18.     SEGMENT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842" w:name="Item2ManagementsDiscussionandAnalysisofF"/>
      <w:bookmarkStart w:id="843" w:name="_bb5dee80_91f8_48d9_8524_39eeec98983e"/>
      <w:bookmarkEnd w:id="842"/>
      <w:bookmarkEnd w:id="843"/>
      <w:r>
        <w:rPr>
          <w:rFonts w:ascii="Arial;Helvetica;sans-serif" w:hAnsi="Arial;Helvetica;sans-serif"/>
          <w:b/>
          <w:sz w:val="20"/>
        </w:rPr>
        <w:t>Item 2.     Management’s Discussion and Analysis of Financial Condition and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(the “Securities Act”) and Section 21E of the Securities Exchange Act of 1934, as amended (the “ExchangeAct”).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developments in regulation in the United States and other applicable jurisdictions; and the impacts on our operational and budget plans due to inflation.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7, 2023.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TMS to create a pulsed, MRI-strength magnetic field that induces electrical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currents designed to stimulate specific areas of the brain associated with mood. The system is cleared by the FDA to treat adult patients with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believe we are the market leader in TMS therapy based on over 150,310 global patients treated with over 5.5 million of our treatment sessions through such date. We generated revenues of $15.5 million and $14.2 million for the three months ended March 31, 2023 and 2022, respectively.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March 31, 2023, revenues from sales of our treatment sessions and NeuroStar Advanced Therapy Systems represented 71% and 26% of our U.S. revenues, respectively.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currently sell our NeuroStar Advanced Therapy System and recurring treatment sessions in the United States with the collaborative support of our 200 employees as of March 31, 2023. Our sales force targets an estimated 50,000 psychiatrists across 26,000 psychiatric practices in the United States, based on a 2020 data set from Symphony Health and our own internal estimates that treat approximately 42% of the total MDD patients in the United States who meet our labeled indication and are insured. Some of our customers have and may purchase more than one NeuroStar Advanced Therapy System. Based on our commercial data, we believe our customers can recoup their initial capital investment in our system by providing a standard course of treatment to approximately 12 patients. We believe our customers can generate approximately $8,500 of average revenue per patient for a standard course of treatment, which may provide meaningful incremental income to their practices. We have a diverse customer base, including psychiatrists in group psychiatric practices, pain management physicians and other medical professionals in the United States. For the three months ended March 31, 2023, one customer accounted for more than 10% of our 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market our products in a few select markets outside the United States through independent distributors. International revenues represented 4% and 5% of our total revenues for the three months ended March 31, 2023 and 2022, respectively. In October 2017, we entered into an exclusive distribution agreement with Teijin Pharma Limited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system placements and utilization in Japan.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research and development efforts are focused on the following: hardware and software product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developments and enhancements of our NeuroStar Advanced Therapy System and clinical developments relating to additional indications.</w:t>
      </w:r>
      <w:r>
        <w:rPr>
          <w:rFonts w:ascii="Times New Roman;Times;serif" w:hAnsi="Times New Roman;Times;serif"/>
          <w:sz w:val="20"/>
        </w:rPr>
        <w:t xml:space="preserve"> </w:t>
      </w:r>
      <w:r>
        <w:rPr>
          <w:rFonts w:ascii="Arial;Helvetica;sans-serif" w:hAnsi="Arial;Helvetica;sans-serif"/>
          <w:sz w:val="20"/>
        </w:rPr>
        <w:t>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total revenues an increase by $1.3 million, or 10%, from $14.2 million for the three months ended March 31, 2022 to $15.5 million for the three months ended March 31, 2023. For the three months ended March 31, 2023, our U.S. revenues were $15.0 million compared to $13.5 million for three months ended March 31, 2022, which represents an increase of 11% period over period. The increase was primarily attributable to an increase in U.S. NeuroStar Advanced Therapy System sales period over period. We incurred net losses of $10.5 million for the three months ended March 31, 2023 compared to net losses of $10.8 million for the three months ended March 31, 2022. We expect to continue to incur losses for the next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several years as we invest in our commercial organization to support our planned sales growth and while continuing to invest in our pipeline indications. As of March 31, 2023, we had an accumulated deficit of $356.4 million.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Global Economic Conditions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continuing to closely monitor macroeconomic impacts, including, but not limited to, developments affecting financial institutions and potential recessionary pressures, on our business, results of operations and financial results.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monitoring ongoing events involving limited liquidity, defaults, non-performance or other adverse developments that affect financial institutions or other companies in the financial services industry or the financial services industry generally, including SVB, being closed by the California Department of Financial Protection and Innovation, which appointed the FDIC as receiver on March 10, 2023, Signature Bank being closed by its New York State Department of Financial Services on March 12, 2023, and other financial institutions. Despite the steps taken to date by U.S. agencies to protect depositors, the follow-on effects of the events surrounding the SVB and Signature Bank failures and pressure on other banks are unknown, and could include failures of other financial institutions to which we may encounter direct or indirect exposure. The extent of such impacts is uncertain, and there may be additional risks that we have not yet identified. We continue to monitor the situation on U.S. financial institutions and potential impact on our business.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Components of Our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date, we have generated revenues primarily from the capital portion of our business and related sales and rentals of the NeuroStar Advanced Therapy System and the recurring revenues from our sale of treatment sessions in the United States.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NeuroStar Advanced Therapy System Revenues</w:t>
      </w:r>
      <w:r>
        <w:rPr>
          <w:rFonts w:ascii="Arial;Helvetica;sans-serif" w:hAnsi="Arial;Helvetica;sans-serif"/>
          <w:sz w:val="20"/>
        </w:rPr>
        <w:t xml:space="preserve">. NeuroStar Advanced Therapy System revenues consist primarily of sales or rentals of a capital component, including upgrades to the equipment attributable to the initial sale of the system. NeuroStar Advanced Therapy Systems can be purchased outright or on a rent-to-own basis by certain customers.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Treatment Session Revenues</w:t>
      </w:r>
      <w:r>
        <w:rPr>
          <w:rFonts w:ascii="Arial;Helvetica;sans-serif" w:hAnsi="Arial;Helvetica;sans-serif"/>
          <w:sz w:val="20"/>
        </w:rPr>
        <w:t>. Treatment session revenues primarily include sales of NeuroStar treatment sessions and SenStar treatment links. The 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Other Revenues</w:t>
      </w:r>
      <w:r>
        <w:rPr>
          <w:rFonts w:ascii="Arial;Helvetica;sans-serif" w:hAnsi="Arial;Helvetica;sans-serif"/>
          <w:sz w:val="20"/>
        </w:rPr>
        <w:t>. Other revenues are derived primarily from service and repair and extended warranty contracts with our existing customers.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refer you to the section titled “Critical Accounting Policies and Use of Estimates—Revenue Recognition” appearing in our Form 10-K filed with the SEC on March 7, 2023. We also refer you to “Note 3. Summary of Significant Accounting Policies.”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includes costs related to personnel, warranty, shipping, and our operations and field service departments. We expect our cost of revenues to increase to the extent our revenues grow.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and radio media campaigns, travel and training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anticipate that our sales and marketing expenses will decrease in 2023 compared to 2022 expenses due in-part to the termination of the one-time 2022 sales equity match incentive.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General and administrative expenses consist primarily of personnel expenses, including salaries and related benefits, share-based compensation and travel expenses, for employees in executive, finance, information technology (“IT”),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anticipate that our general and administrative expenses will remain flat compared to our 2022 expenses.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shd w:fill="FFFFFF" w:val="clear"/>
        </w:rPr>
        <w:t>We plan to incur research and development expenses for the near future as we expect to continue our development of TMS therapy for the treatment of additional patient populations and new indications related to neurohealth disorders, as well as for various hardware and software development projects. As a result, we expect our research and development expenses to increase during 2023 compared to our 2022 expenses</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expense consists of cash interest payable under our credit facility and non-cash interest attributable to the accrual of final payment fees and the amortization of deferred financing costs related to our indebtedness.</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consists primarily of interest income earned on our money market account balances and note receivables.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Comparison of the three months ended March 31, 2023 and 2022</w:t>
      </w:r>
    </w:p>
    <w:p>
      <w:pPr>
        <w:pStyle w:val="TextBody"/>
        <w:bidi w:val="0"/>
        <w:spacing w:before="0" w:after="200"/>
        <w:ind w:left="0" w:right="0" w:hanging="0"/>
        <w:jc w:val="left"/>
        <w:rPr/>
      </w:pPr>
      <w:r>
        <w:rPr/>
        <w:t>​</w:t>
      </w:r>
    </w:p>
    <w:tbl>
      <w:tblPr>
        <w:tblW w:w="8118" w:type="dxa"/>
        <w:jc w:val="left"/>
        <w:tblInd w:w="0" w:type="dxa"/>
        <w:tblLayout w:type="fixed"/>
        <w:tblCellMar>
          <w:top w:w="0" w:type="dxa"/>
          <w:left w:w="0" w:type="dxa"/>
          <w:bottom w:w="0" w:type="dxa"/>
          <w:right w:w="0" w:type="dxa"/>
        </w:tblCellMar>
      </w:tblPr>
      <w:tblGrid>
        <w:gridCol w:w="2491"/>
        <w:gridCol w:w="326"/>
        <w:gridCol w:w="211"/>
        <w:gridCol w:w="811"/>
        <w:gridCol w:w="406"/>
        <w:gridCol w:w="211"/>
        <w:gridCol w:w="811"/>
        <w:gridCol w:w="406"/>
        <w:gridCol w:w="211"/>
        <w:gridCol w:w="586"/>
        <w:gridCol w:w="326"/>
        <w:gridCol w:w="991"/>
        <w:gridCol w:w="33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81785" cy="175260"/>
                      <wp:effectExtent l="0" t="0" r="0" b="0"/>
                      <wp:wrapNone/>
                      <wp:docPr id="221" name="Frame220"/>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14985" cy="175260"/>
                      <wp:effectExtent l="0" t="0" r="0" b="0"/>
                      <wp:wrapNone/>
                      <wp:docPr id="224" name="Frame22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57810" cy="175260"/>
                      <wp:effectExtent l="0" t="0" r="0" b="0"/>
                      <wp:wrapNone/>
                      <wp:docPr id="225" name="Frame22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14985" cy="175260"/>
                      <wp:effectExtent l="0" t="0" r="0" b="0"/>
                      <wp:wrapNone/>
                      <wp:docPr id="227" name="Frame22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57810" cy="175260"/>
                      <wp:effectExtent l="0" t="0" r="0" b="0"/>
                      <wp:wrapNone/>
                      <wp:docPr id="228" name="Frame2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72110" cy="175260"/>
                      <wp:effectExtent l="0" t="0" r="0" b="0"/>
                      <wp:wrapNone/>
                      <wp:docPr id="230" name="Frame2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29285" cy="175260"/>
                      <wp:effectExtent l="0" t="0" r="0" b="0"/>
                      <wp:wrapNone/>
                      <wp:docPr id="232" name="Frame23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0185" cy="175260"/>
                      <wp:effectExtent l="0" t="0" r="0" b="0"/>
                      <wp:wrapNone/>
                      <wp:docPr id="233" name="Frame23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5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Increase / (Decrease)</w:t>
            </w:r>
          </w:p>
        </w:tc>
        <w:tc>
          <w:tcPr>
            <w:tcW w:w="331"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Dollars</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811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970" w:type="dxa"/>
            <w:gridSpan w:val="10"/>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15,540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14,181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4,144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3,485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11,396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10,696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73.3</w:t>
            </w:r>
          </w:p>
        </w:tc>
        <w:tc>
          <w:tcPr>
            <w:tcW w:w="406"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75.4</w:t>
            </w:r>
          </w:p>
        </w:tc>
        <w:tc>
          <w:tcPr>
            <w:tcW w:w="406"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11,902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12,649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6,611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6,379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2,790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21,303</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20,831</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472</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(9,907)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(10,135)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(10,520)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6702"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33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895985" cy="175260"/>
                      <wp:effectExtent l="0" t="0" r="0" b="0"/>
                      <wp:wrapNone/>
                      <wp:docPr id="234" name="Frame23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38785" cy="175260"/>
                      <wp:effectExtent l="0" t="0" r="0" b="0"/>
                      <wp:wrapNone/>
                      <wp:docPr id="237" name="Frame2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62610" cy="175260"/>
                      <wp:effectExtent l="0" t="0" r="0" b="0"/>
                      <wp:wrapNone/>
                      <wp:docPr id="239" name="Frame23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57810" cy="175260"/>
                      <wp:effectExtent l="0" t="0" r="0" b="0"/>
                      <wp:wrapNone/>
                      <wp:docPr id="240" name="Frame23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38785" cy="175260"/>
                      <wp:effectExtent l="0" t="0" r="0" b="0"/>
                      <wp:wrapNone/>
                      <wp:docPr id="242" name="Frame2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62610" cy="175260"/>
                      <wp:effectExtent l="0" t="0" r="0" b="0"/>
                      <wp:wrapNone/>
                      <wp:docPr id="244" name="Frame24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0185" cy="175260"/>
                      <wp:effectExtent l="0" t="0" r="0" b="0"/>
                      <wp:wrapNone/>
                      <wp:docPr id="245" name="Frame24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67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14,964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13,517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576</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15,540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14,181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8712"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406"/>
        <w:gridCol w:w="211"/>
        <w:gridCol w:w="69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72335" cy="175260"/>
                      <wp:effectExtent l="0" t="0" r="0" b="0"/>
                      <wp:wrapNone/>
                      <wp:docPr id="246" name="Frame24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38785" cy="175260"/>
                      <wp:effectExtent l="0" t="0" r="0" b="0"/>
                      <wp:wrapNone/>
                      <wp:docPr id="249" name="Frame2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62610" cy="175260"/>
                      <wp:effectExtent l="0" t="0" r="0" b="0"/>
                      <wp:wrapNone/>
                      <wp:docPr id="251" name="Frame2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57810" cy="175260"/>
                      <wp:effectExtent l="0" t="0" r="0" b="0"/>
                      <wp:wrapNone/>
                      <wp:docPr id="252" name="Frame25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38785" cy="175260"/>
                      <wp:effectExtent l="0" t="0" r="0" b="0"/>
                      <wp:wrapNone/>
                      <wp:docPr id="254" name="Frame2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62610" cy="175260"/>
                      <wp:effectExtent l="0" t="0" r="0" b="0"/>
                      <wp:wrapNone/>
                      <wp:docPr id="256" name="Frame2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0185" cy="175260"/>
                      <wp:effectExtent l="0" t="0" r="0" b="0"/>
                      <wp:wrapNone/>
                      <wp:docPr id="257" name="Frame25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871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3,850</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10,643</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9,469</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14,964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13,517</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24"/>
        <w:gridCol w:w="326"/>
        <w:gridCol w:w="211"/>
        <w:gridCol w:w="586"/>
        <w:gridCol w:w="326"/>
        <w:gridCol w:w="886"/>
        <w:gridCol w:w="406"/>
        <w:gridCol w:w="211"/>
        <w:gridCol w:w="586"/>
        <w:gridCol w:w="326"/>
        <w:gridCol w:w="886"/>
        <w:gridCol w:w="331"/>
      </w:tblGrid>
      <w:tr>
        <w:trPr/>
        <w:tc>
          <w:tcPr>
            <w:tcW w:w="5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253740" cy="175260"/>
                      <wp:effectExtent l="0" t="0" r="0" b="0"/>
                      <wp:wrapNone/>
                      <wp:docPr id="258" name="Frame257"/>
                      <a:graphic xmlns:a="http://schemas.openxmlformats.org/drawingml/2006/main">
                        <a:graphicData uri="http://schemas.microsoft.com/office/word/2010/wordprocessingShape">
                          <wps:wsp>
                            <wps:cNvSpPr txBox="1"/>
                            <wps:spPr>
                              <a:xfrm>
                                <a:off x="0" y="0"/>
                                <a:ext cx="325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72110" cy="175260"/>
                      <wp:effectExtent l="0" t="0" r="0" b="0"/>
                      <wp:wrapNone/>
                      <wp:docPr id="261" name="Frame26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62610" cy="175260"/>
                      <wp:effectExtent l="0" t="0" r="0" b="0"/>
                      <wp:wrapNone/>
                      <wp:docPr id="263" name="Frame26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57810" cy="175260"/>
                      <wp:effectExtent l="0" t="0" r="0" b="0"/>
                      <wp:wrapNone/>
                      <wp:docPr id="264" name="Frame26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72110" cy="175260"/>
                      <wp:effectExtent l="0" t="0" r="0" b="0"/>
                      <wp:wrapNone/>
                      <wp:docPr id="266" name="Frame26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62610" cy="175260"/>
                      <wp:effectExtent l="0" t="0" r="0" b="0"/>
                      <wp:wrapNone/>
                      <wp:docPr id="268" name="Frame2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0185" cy="175260"/>
                      <wp:effectExtent l="0" t="0" r="0" b="0"/>
                      <wp:wrapNone/>
                      <wp:docPr id="269" name="Frame26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2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NeuroStar Advanced Therapy System</w:t>
            </w:r>
          </w:p>
        </w:tc>
        <w:tc>
          <w:tcPr>
            <w:tcW w:w="331" w:type="dxa"/>
            <w:tcBorders/>
            <w:vAlign w:val="center"/>
          </w:tcPr>
          <w:p>
            <w:pPr>
              <w:pStyle w:val="TableContents"/>
              <w:bidi w:val="0"/>
              <w:spacing w:before="0" w:after="0"/>
              <w:ind w:left="0" w:right="0" w:hanging="0"/>
              <w:jc w:val="center"/>
              <w:rPr/>
            </w:pPr>
            <w:r>
              <w:rPr/>
              <w:t> </w:t>
            </w:r>
          </w:p>
        </w:tc>
      </w:tr>
      <w:tr>
        <w:trPr/>
        <w:tc>
          <w:tcPr>
            <w:tcW w:w="5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2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Type</w:t>
            </w:r>
          </w:p>
        </w:tc>
        <w:tc>
          <w:tcPr>
            <w:tcW w:w="331" w:type="dxa"/>
            <w:tcBorders/>
            <w:vAlign w:val="center"/>
          </w:tcPr>
          <w:p>
            <w:pPr>
              <w:pStyle w:val="TableContents"/>
              <w:bidi w:val="0"/>
              <w:spacing w:before="0" w:after="0"/>
              <w:ind w:left="0" w:right="0" w:hanging="0"/>
              <w:jc w:val="center"/>
              <w:rPr/>
            </w:pPr>
            <w:r>
              <w:rPr/>
              <w:t> </w:t>
            </w:r>
          </w:p>
        </w:tc>
      </w:tr>
      <w:tr>
        <w:trPr/>
        <w:tc>
          <w:tcPr>
            <w:tcW w:w="5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2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vAlign w:val="center"/>
          </w:tcPr>
          <w:p>
            <w:pPr>
              <w:pStyle w:val="TableContents"/>
              <w:bidi w:val="0"/>
              <w:spacing w:before="0" w:after="0"/>
              <w:ind w:left="0" w:right="0" w:hanging="0"/>
              <w:jc w:val="center"/>
              <w:rPr/>
            </w:pPr>
            <w:r>
              <w:rPr/>
              <w:t> </w:t>
            </w:r>
          </w:p>
        </w:tc>
      </w:tr>
      <w:tr>
        <w:trPr/>
        <w:tc>
          <w:tcPr>
            <w:tcW w:w="5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center"/>
              <w:rPr/>
            </w:pPr>
            <w:r>
              <w:rPr/>
              <w:t>​</w:t>
            </w:r>
          </w:p>
        </w:tc>
        <w:tc>
          <w:tcPr>
            <w:tcW w:w="20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5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5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2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51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3,485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51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512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512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United States NeuroStar Advanced Therapy System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3,850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Total revenue for the three months ended March 31, 2023 was $15.5 million, an increase of 10% compared to the three months ended March 31, 2022 revenue of $14.2 million. During the quarter, total U.S. revenue increased by 11% and international revenue decreased by 13% over the prior year quarter. The U.S. growth was driven by an increase in NeuroStar Advanced Therapy System and treatment session sales. The decline in international revenue was due to a decrease in NeuroStar Advanced Therapy System sales and treatment session sales.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U.S. NeuroStar Advanced Therapy System revenue for the three months ended March 31, 2023 was $3.9 million, an increase of 6% compared to the three months ended March 31, 2022 revenue of $3.6 million. For the three months ended March 31, 2023 and 2022, the Company sold 49 and 45 systems, respectively.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U.S. treatment session revenue for the three months ended March 31, 2023 was $10.6 million, an increase of 12% compared to the three months ended March 31, 2022 revenue of $9.5 million. The revenue growth was primarily driven by an increase in treatment session volume over the prior year quarter due to the impact of the spike in COVID-19 Omicron variant infections and related business and government responses in January and February 2022.</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revenues increased by $0.6 million, or 19%, from $3.5 million for the three months ended March 31, 2022 to $4.1 million for the three months ended March 31, 2023. Gross margin decreased from 75.4% for the three months ended March 31, 2022 to 73.3% for the three months ended March 31, 2023. The decrease was primarily a result of increased sales volume of our NeuroStar Advanced Therapy System sales and the change in product mix, as well as an increase in capitalized software amortization expense associated with the latest product release.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Sales and marketing expenses decreased by $0.7 million, or 6%, from $12.6 million for the three months ended March 31, 2022 to $11.9 million for the three months ended March 31, 2023. The decrease was primarily due to a reduction in marketing initiative related costs, including trade shows, digital paid media costs and market research, and sales personnel expenses related to salary, benefits, commissions and share-based compensation incurred in the current period versus the prior year quarter.</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General and administrative expenses increased by $0.2 million, or 4%, from $6.4 million for the three months ended March 31, 2022 to $6.6 million for the three months ended March 31, 2023. The increase was primarily due to planned increases in IT personnel expenses and legal cost in the current period versus the prior year quarter.</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Research and development expenses increased by $1.0 million, or 55%, from $1.8 million for the three months ended March 31, 2022 to $2.8 million for the three months ended March 31, 2023. The increase in research and development was primarily due to lower capitalization of product development costs related to certain of the Company’s software project costs in addition to an increase in quality assurance costs in the current period versus the prior year quarter.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Interest expense increased by $0.3 million, or 28%, from $1.0 million for the three months ended March 31, 2022 to $1.3 million for the three months ended March 31, 2023 due to increase in interest rate.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increased by $0.3 million from $0.3 million for the three months ended March 31, 2022 to $0.6 million for the three months ended March 31, 2023, primarily as a result of increased interest income earned on the Company’s money market accounts.</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Overview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March 31, 2023, we had cash and cash equivalents of $55.4 million and an accumulated deficit of $356.4 million, compared to cash and cash equivalents of $70.4 million and an accumulated deficit of $345.9 million as of December 31, 2022. We incurred negative cash flows from operating activities of $15.2 million and $12.2 million for the three months ended March 31, 2023 and 2022, respectively. We have incurred operating losses since our inception, and we anticipate that our operating losses will lessen in the near term as we adjust our sales and marketing initiatives, research and development activities and other corporate initiatives. The Company’s primary sources of capital to date have been proceeds from its IPO, private placements of its convertible preferred securities, borrowings under its credit facility, proceeds from its secondary public offering of common stock and revenues from sales of its products. As of March 31, 2023, the Company had $37.5 million of borrowings outstanding under its credit facility, which has a final maturity in March 2028. Management believes that the Company’s cash and cash equivalents as of March 31, 2023 and anticipated revenues from sales of its products are sufficient to fund the Company’s operations for at least 12 months from the issuance of these financial statements.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current and future funding requirements will depend on many factors, including:</w:t>
      </w:r>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achieve revenue growth and improve operating margins;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the terms and conditions, including covenants, set forth in our credit facility;</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expanding our operations and offerings, including our sales and marketing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improve or maintain coverage and reimbursement arrangements with domestic third-party and government payors, particularly in Japan;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establishing coverage and reimbursement arrangements from international commercial third-party and government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and cost of the sales and marketing activities associated with, establishing adoption of our products and maintaining or improving our sales to our current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research and development activities, including research and development relating to additional indications of neurohealth disorders;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competing technological and market developments;</w:t>
            </w:r>
          </w:p>
        </w:tc>
      </w:tr>
    </w:tbl>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related to international expansion;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cost of and delays in product development as a result of any regulatory oversight applicable to our products.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As of March 31, 2023, there were no significant changes to our material cash requirements as set forth in our Form 10-K, filed with the SEC on March 7, 2023.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Flows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a summary of our cash flows for the three months ended March 31, 2023 and 2022:</w:t>
      </w:r>
    </w:p>
    <w:p>
      <w:pPr>
        <w:pStyle w:val="TextBody"/>
        <w:bidi w:val="0"/>
        <w:spacing w:before="0" w:after="200"/>
        <w:ind w:left="0" w:right="0" w:hanging="0"/>
        <w:jc w:val="left"/>
        <w:rPr/>
      </w:pPr>
      <w:r>
        <w:rPr/>
        <w:t>​</w:t>
      </w:r>
    </w:p>
    <w:tbl>
      <w:tblPr>
        <w:tblW w:w="7600" w:type="dxa"/>
        <w:jc w:val="left"/>
        <w:tblInd w:w="0" w:type="dxa"/>
        <w:tblLayout w:type="fixed"/>
        <w:tblCellMar>
          <w:top w:w="0" w:type="dxa"/>
          <w:left w:w="0" w:type="dxa"/>
          <w:bottom w:w="0" w:type="dxa"/>
          <w:right w:w="0" w:type="dxa"/>
        </w:tblCellMar>
      </w:tblPr>
      <w:tblGrid>
        <w:gridCol w:w="4636"/>
        <w:gridCol w:w="326"/>
        <w:gridCol w:w="230"/>
        <w:gridCol w:w="886"/>
        <w:gridCol w:w="356"/>
        <w:gridCol w:w="230"/>
        <w:gridCol w:w="936"/>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943860" cy="175260"/>
                      <wp:effectExtent l="0" t="0" r="0" b="0"/>
                      <wp:wrapNone/>
                      <wp:docPr id="270" name="Frame269"/>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46050" cy="175260"/>
                      <wp:effectExtent l="0" t="0" r="0" b="0"/>
                      <wp:wrapNone/>
                      <wp:docPr id="272" name="Frame27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62610" cy="175260"/>
                      <wp:effectExtent l="0" t="0" r="0" b="0"/>
                      <wp:wrapNone/>
                      <wp:docPr id="273" name="Frame2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26060" cy="175260"/>
                      <wp:effectExtent l="0" t="0" r="0" b="0"/>
                      <wp:wrapNone/>
                      <wp:docPr id="274" name="Frame27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6050" cy="175260"/>
                      <wp:effectExtent l="0" t="0" r="0" b="0"/>
                      <wp:wrapNone/>
                      <wp:docPr id="275" name="Frame27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94360" cy="175260"/>
                      <wp:effectExtent l="0" t="0" r="0" b="0"/>
                      <wp:wrapNone/>
                      <wp:docPr id="276" name="Frame275"/>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56" w:type="dxa"/>
            <w:tcBorders/>
            <w:vAlign w:val="center"/>
          </w:tcPr>
          <w:p>
            <w:pPr>
              <w:pStyle w:val="TableContents"/>
              <w:bidi w:val="0"/>
              <w:spacing w:before="0" w:after="1"/>
              <w:ind w:left="0" w:right="0" w:hanging="0"/>
              <w:jc w:val="center"/>
              <w:rPr/>
            </w:pPr>
            <w:r>
              <w:rPr/>
              <w:t>    </w:t>
            </w:r>
          </w:p>
        </w:tc>
        <w:tc>
          <w:tcPr>
            <w:tcW w:w="11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6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8"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46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(15,213)</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(12,182)</w:t>
            </w:r>
          </w:p>
        </w:tc>
      </w:tr>
      <w:tr>
        <w:trPr/>
        <w:tc>
          <w:tcPr>
            <w:tcW w:w="46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(183)</w:t>
            </w:r>
          </w:p>
        </w:tc>
        <w:tc>
          <w:tcPr>
            <w:tcW w:w="35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(1,074)</w:t>
            </w:r>
          </w:p>
        </w:tc>
      </w:tr>
      <w:tr>
        <w:trPr/>
        <w:tc>
          <w:tcPr>
            <w:tcW w:w="46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499</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w:t>
            </w:r>
          </w:p>
        </w:tc>
      </w:tr>
      <w:tr>
        <w:trPr/>
        <w:tc>
          <w:tcPr>
            <w:tcW w:w="46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(14,897)</w:t>
            </w:r>
          </w:p>
        </w:tc>
        <w:tc>
          <w:tcPr>
            <w:tcW w:w="35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(13,304)</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Used in Operating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operating activities for the three months ended March 31, 2023 was $15.2 million, consisting primarily of a net loss of $10.5 million and a decrease in net operating liabilities of $7.2 million, partially offset by non-cash charges of $2.5 million. The decrease in net operating liabilities was primarily due to decreases in our accrued expenses as a result of the 2023 payment of the 2022 bonus compensation accrued as of December 31, 2022. Non-cash charges consisted of depreciation and amortization, non-cash interest expense and share-based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 for the three months ended March 31, 2022 was $12.2 million, consisting primarily of a net loss of $10.8 million and a decrease in net operating liabilities of $4.1 million, partially offset by non-cash charges of $2.7 million. The decrease in net operating liabilities was primarily due to increases in accounts receivable and inventory and decreases in accounts payable and accrued expenses as a result of timing and the 2022 payment of the 2021 bonus compensation accrued as of December 31, 2021. Non-cash charges consisted of depreciation and amortization, non-cash interest expense and share-based compensation.</w:t>
      </w:r>
    </w:p>
    <w:p>
      <w:pPr>
        <w:pStyle w:val="TextBody"/>
        <w:bidi w:val="0"/>
        <w:spacing w:before="8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Used in Investing Activities</w:t>
      </w:r>
    </w:p>
    <w:p>
      <w:pPr>
        <w:pStyle w:val="TextBody"/>
        <w:bidi w:val="0"/>
        <w:spacing w:before="8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Net cash used in investing activities for the three months ended March 31, 2023 and 2022 was $0.2 million and $1.1 million, respectively. Net cash used in investing activities for the three months ended March 31, 2023 was primarily due to repayment of notes receivables and purchases of property and equipment and capitalized software costs. Net cash used in investing activities for the three months ended March 31, 2022 was due to purchases of property and equipment and capitalized software costs.</w:t>
      </w:r>
    </w:p>
    <w:p>
      <w:pPr>
        <w:pStyle w:val="TextBody"/>
        <w:bidi w:val="0"/>
        <w:spacing w:before="8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Provided by (Used in) Financing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provided by financing activities for the three months ended March 31, 2023 was $0.5 million and primarily consisted of the additional debt net of the final payment and amendment fee paid in connection with the Solar Fourth Amendemnet . Net cash used in financing activities for the three months ended March 31, 2022 was $0.05 million and primarily consisted of the amendment fee paid in relation to the third amendment to the Solar Facility.</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Indebtedness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 xml:space="preserve">Refer to Note 13. Debt in our unaudited financial statements and related notes thereto appearing elsewhere in this Quarterly Report on Form 10-Q for information regarding the Solar Facility.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an “emerging growth company,” as defined in the Jumpstart Our Business Startups Act of 2012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until the earlier of the date we (i) are no longer an emerging growth company or (ii) affirmatively and irrevocably opt out of the extended transition period provided in the JOBS Act. Section 107 of the JOBS Act provides that we can elect to opt out of the extended transition period at any time, which election is irrevocable.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refer you to Note 3. Summary of Significant Accounting Policies and Note 4. Recent Accounting Pronouncements in Notes to Interim Financial Statements located in Part I – FINANCIAL INFORMATION, Item 1.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44" w:name="Item3QuantitativeandQualitativeDisclosur"/>
      <w:bookmarkStart w:id="845" w:name="_da5026b3_931e_4c77_b6d3_b82bb3654df5"/>
      <w:bookmarkEnd w:id="844"/>
      <w:bookmarkEnd w:id="845"/>
      <w:r>
        <w:rPr>
          <w:rFonts w:ascii="Arial;Helvetica;sans-serif" w:hAnsi="Arial;Helvetica;sans-serif"/>
          <w:b/>
          <w:sz w:val="20"/>
        </w:rPr>
        <w:t>Item 3.     Quantitative and Qualitative Disclosures About Market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refer you to the information described in the “Item 7A. Quantitative and Qualitative Disclosures About Market Risk” section of the Company’s Annual Report on Form 10-K filed with the SEC on March 7, 2023. There have been no material changes to our market risk described therein.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continue to monitor inflationary factors, such as increases in our cost of revenues and operating expenses that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the selling prices of our products do not increase as much or more than our costs increase.</w:t>
      </w:r>
    </w:p>
    <w:p>
      <w:pPr>
        <w:pStyle w:val="TextBody"/>
        <w:bidi w:val="0"/>
        <w:spacing w:before="0" w:after="200"/>
        <w:ind w:left="0" w:right="0" w:hanging="0"/>
        <w:jc w:val="left"/>
        <w:rPr>
          <w:rFonts w:ascii="Arial;Helvetica;sans-serif" w:hAnsi="Arial;Helvetica;sans-serif"/>
          <w:b/>
          <w:sz w:val="20"/>
        </w:rPr>
      </w:pPr>
      <w:bookmarkStart w:id="846" w:name="Item4ControlsandProcedures_938545"/>
      <w:bookmarkStart w:id="847" w:name="_a35102d3_c68f_46ba_9a5c_46801c886c7c"/>
      <w:bookmarkEnd w:id="846"/>
      <w:bookmarkEnd w:id="847"/>
      <w:r>
        <w:rPr>
          <w:rFonts w:ascii="Arial;Helvetica;sans-serif" w:hAnsi="Arial;Helvetica;sans-serif"/>
          <w:b/>
          <w:sz w:val="20"/>
        </w:rPr>
        <w:t>Item 4.     Controls and Procedures.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Principal Financial and Accounting Officer, evaluated the effectiveness of our disclosure controls and procedures as of the end of the period covered by this Quarterly Report on Form 10-Q. Based on that evaluation, our Principal Executive Officer and our Principal Financial and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Accounting Officer concluded that our disclosure controls and procedures were effective at the reasonable assurance level as of March 31, 2023.</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quarter ended March 31, 2023, there were no changes in our internal control over financial reporting (as defined in Rule 13a-15(f) of the Exchange Act) which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848" w:name="PARTIIOTHERINFORMATION_867954"/>
      <w:bookmarkStart w:id="849" w:name="_39a8b501_f5da_4d5e_bfc0_4ac0b0f31583"/>
      <w:bookmarkEnd w:id="848"/>
      <w:bookmarkEnd w:id="849"/>
      <w:r>
        <w:rPr>
          <w:rFonts w:ascii="Arial;Helvetica;sans-serif" w:hAnsi="Arial;Helvetica;sans-serif"/>
          <w:b/>
          <w:sz w:val="20"/>
        </w:rPr>
        <w:t>PART II—OTHER INFORMATION</w:t>
      </w:r>
    </w:p>
    <w:p>
      <w:pPr>
        <w:pStyle w:val="TextBody"/>
        <w:bidi w:val="0"/>
        <w:spacing w:before="0" w:after="200"/>
        <w:ind w:left="0" w:right="0" w:hanging="0"/>
        <w:jc w:val="left"/>
        <w:rPr>
          <w:rFonts w:ascii="Arial;Helvetica;sans-serif" w:hAnsi="Arial;Helvetica;sans-serif"/>
          <w:b/>
          <w:sz w:val="20"/>
        </w:rPr>
      </w:pPr>
      <w:bookmarkStart w:id="850" w:name="Item1LegalProceedings_301773"/>
      <w:bookmarkEnd w:id="850"/>
      <w:r>
        <w:rPr>
          <w:rFonts w:ascii="Arial;Helvetica;sans-serif" w:hAnsi="Arial;Helvetica;sans-serif"/>
          <w:b/>
          <w:sz w:val="20"/>
        </w:rPr>
        <w:t>Item 1.     Legal Proceedings.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51" w:name="Item1ARiskFactors_843057"/>
      <w:bookmarkStart w:id="852" w:name="_7071b851_afde_47fd_bda1_ce4312be36ad"/>
      <w:bookmarkEnd w:id="851"/>
      <w:bookmarkEnd w:id="852"/>
      <w:r>
        <w:rPr>
          <w:rFonts w:ascii="Arial;Helvetica;sans-serif" w:hAnsi="Arial;Helvetica;sans-serif"/>
          <w:b/>
          <w:sz w:val="20"/>
        </w:rPr>
        <w:t>Item 1A.     Risk Factors.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You should carefully consider the information described in the “Risk Factors” section of the Company’s Annual Report on Form 10-K filed with the SEC on March 7, 2023. There have been no material changes to the risk factors described therein</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53" w:name="Item2UnregisteredSalesofEquitySecurities"/>
      <w:bookmarkStart w:id="854" w:name="_ca0abef8_b717_4ba8_8d1f_2241d0ba1c89"/>
      <w:bookmarkEnd w:id="853"/>
      <w:bookmarkEnd w:id="854"/>
      <w:r>
        <w:rPr>
          <w:rFonts w:ascii="Arial;Helvetica;sans-serif" w:hAnsi="Arial;Helvetica;sans-serif"/>
          <w:b/>
          <w:sz w:val="20"/>
        </w:rPr>
        <w:t>Item 2.     Unregistered Sales of Equity Securities and Use of Proceeds.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Not 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55" w:name="Item3DefaultsUponSeniorSecurities_544144"/>
      <w:bookmarkStart w:id="856" w:name="_2a7b1a1f_0b79_43bf_afe2_b65099b228ac"/>
      <w:bookmarkEnd w:id="855"/>
      <w:bookmarkEnd w:id="856"/>
      <w:r>
        <w:rPr>
          <w:rFonts w:ascii="Arial;Helvetica;sans-serif" w:hAnsi="Arial;Helvetica;sans-serif"/>
          <w:b/>
          <w:sz w:val="20"/>
        </w:rPr>
        <w:t>Item 3.     Defaults Upon Senior Securities.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57" w:name="Item4MineSafetyDisclosures_535317"/>
      <w:bookmarkStart w:id="858" w:name="_a23108c5_2323_4bdb_83f9_741ef0288d62"/>
      <w:bookmarkEnd w:id="857"/>
      <w:bookmarkEnd w:id="858"/>
      <w:r>
        <w:rPr>
          <w:rFonts w:ascii="Arial;Helvetica;sans-serif" w:hAnsi="Arial;Helvetica;sans-serif"/>
          <w:b/>
          <w:sz w:val="20"/>
        </w:rPr>
        <w:t>Item 4.     Mine Safety Disclosures.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59" w:name="Item5OtherInformation_821519"/>
      <w:bookmarkStart w:id="860" w:name="_38984211_85d9_4e88_af5b_d45d49b3ac5c"/>
      <w:bookmarkEnd w:id="859"/>
      <w:bookmarkEnd w:id="860"/>
      <w:r>
        <w:rPr>
          <w:rFonts w:ascii="Arial;Helvetica;sans-serif" w:hAnsi="Arial;Helvetica;sans-serif"/>
          <w:b/>
          <w:sz w:val="20"/>
        </w:rPr>
        <w:t>Item 5.     Other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b/>
          <w:sz w:val="20"/>
        </w:rPr>
      </w:pPr>
      <w:bookmarkStart w:id="861" w:name="Exhibits"/>
      <w:bookmarkStart w:id="862" w:name="_d6b0c217_58c3_478f_82d1_68ea9f8fbffb"/>
      <w:bookmarkEnd w:id="861"/>
      <w:bookmarkEnd w:id="862"/>
      <w:r>
        <w:rPr>
          <w:rFonts w:ascii="Arial;Helvetica;sans-serif" w:hAnsi="Arial;Helvetica;sans-serif"/>
          <w:b/>
          <w:sz w:val="20"/>
        </w:rPr>
        <w:t>Item 6.     Exhibits.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tbl>
      <w:tblPr>
        <w:tblW w:w="10205" w:type="dxa"/>
        <w:jc w:val="left"/>
        <w:tblInd w:w="0" w:type="dxa"/>
        <w:tblLayout w:type="fixed"/>
        <w:tblCellMar>
          <w:top w:w="0" w:type="dxa"/>
          <w:left w:w="0" w:type="dxa"/>
          <w:bottom w:w="0" w:type="dxa"/>
          <w:right w:w="0" w:type="dxa"/>
        </w:tblCellMar>
      </w:tblPr>
      <w:tblGrid>
        <w:gridCol w:w="867"/>
        <w:gridCol w:w="326"/>
        <w:gridCol w:w="9012"/>
      </w:tblGrid>
      <w:tr>
        <w:trPr/>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50545" cy="175260"/>
                      <wp:effectExtent l="0" t="0" r="0" b="0"/>
                      <wp:wrapNone/>
                      <wp:docPr id="277" name="Frame276"/>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722620" cy="175260"/>
                      <wp:effectExtent l="0" t="0" r="0" b="0"/>
                      <wp:wrapNone/>
                      <wp:docPr id="279" name="Frame278"/>
                      <a:graphic xmlns:a="http://schemas.openxmlformats.org/drawingml/2006/main">
                        <a:graphicData uri="http://schemas.microsoft.com/office/word/2010/wordprocessingShape">
                          <wps:wsp>
                            <wps:cNvSpPr txBox="1"/>
                            <wps:spPr>
                              <a:xfrm>
                                <a:off x="0" y="0"/>
                                <a:ext cx="572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67"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w:t>
              <w:br/>
              <w:t>Number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Description</w:t>
            </w:r>
          </w:p>
        </w:tc>
      </w:tr>
      <w:tr>
        <w:trPr/>
        <w:tc>
          <w:tcPr>
            <w:tcW w:w="867"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r>
              <w:rPr/>
              <w:t>​</w:t>
            </w:r>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Fourth Amendment to Loan and Security Agreement, dated March 29, 2023, by and among SLR Investment Corp. (formerly known as Solar Capital Ltd.), as collateral agent, the lenders listed on the signature pages thereto, and Neuronetics, Inc. (incorporated by reference to Exhibit 10.1 to the Registrant’s Current Report on Form 8-K filed on April 4, 2023).</w:t>
              </w:r>
            </w:hyperlink>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10.2◊</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Secured Promissory Note and Guaranty Agreement, dated March 31, 2023, by and among</w:t>
              </w:r>
            </w:hyperlink>
            <w:hyperlink r:id="rId5">
              <w:r>
                <w:rPr>
                  <w:rStyle w:val="InternetLink"/>
                  <w:rFonts w:ascii="Times New Roman;Times;serif" w:hAnsi="Times New Roman;Times;serif"/>
                  <w:caps w:val="false"/>
                  <w:smallCaps w:val="false"/>
                  <w:sz w:val="20"/>
                </w:rPr>
                <w:t xml:space="preserve"> </w:t>
              </w:r>
            </w:hyperlink>
            <w:hyperlink r:id="rId6">
              <w:r>
                <w:rPr>
                  <w:rStyle w:val="InternetLink"/>
                  <w:rFonts w:ascii="Times New Roman;Times;serif" w:hAnsi="Times New Roman;Times;serif"/>
                  <w:b w:val="false"/>
                  <w:i w:val="false"/>
                  <w:caps w:val="false"/>
                  <w:smallCaps w:val="false"/>
                  <w:sz w:val="20"/>
                </w:rPr>
                <w:t>TMS Neurohealth Centers Inc., as maker, Greenbrook TMS Inc. and its subsidiaries, excluding</w:t>
              </w:r>
            </w:hyperlink>
            <w:hyperlink r:id="rId7">
              <w:r>
                <w:rPr>
                  <w:rStyle w:val="InternetLink"/>
                  <w:rFonts w:ascii="Times New Roman;Times;serif" w:hAnsi="Times New Roman;Times;serif"/>
                  <w:caps w:val="false"/>
                  <w:smallCaps w:val="false"/>
                  <w:sz w:val="20"/>
                </w:rPr>
                <w:t xml:space="preserve"> </w:t>
              </w:r>
            </w:hyperlink>
            <w:hyperlink r:id="rId8">
              <w:r>
                <w:rPr>
                  <w:rStyle w:val="InternetLink"/>
                  <w:rFonts w:ascii="Times New Roman;Times;serif" w:hAnsi="Times New Roman;Times;serif"/>
                  <w:b w:val="false"/>
                  <w:i w:val="false"/>
                  <w:caps w:val="false"/>
                  <w:smallCaps w:val="false"/>
                  <w:sz w:val="20"/>
                </w:rPr>
                <w:t>TMS Neurohealth Centers Inc., as guarantors, and Neuronetics, Inc. (incorporated by reference to Exhibit 10.2 to the Registrant’s Current Report on Form 8-K filed on April 4, 2023).</w:t>
              </w:r>
            </w:hyperlink>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w:anchor="stim-20230331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w:anchor="stim-20230331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w:anchor="stim-2023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pPr>
            <w:hyperlink w:anchor="stim-2023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iXBRL tags are embedded within the Inline XBRL document.</w:t>
            </w:r>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r>
      <w:tr>
        <w:trPr/>
        <w:tc>
          <w:tcPr>
            <w:tcW w:w="867"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901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(Formatted as Inline XBRL and contained Exhibit 101).</w:t>
            </w:r>
          </w:p>
        </w:tc>
      </w:tr>
    </w:tbl>
    <w:tbl>
      <w:tblPr>
        <w:tblW w:w="1607" w:type="dxa"/>
        <w:jc w:val="left"/>
        <w:tblInd w:w="0" w:type="dxa"/>
        <w:tblLayout w:type="fixed"/>
        <w:tblCellMar>
          <w:top w:w="0" w:type="dxa"/>
          <w:left w:w="0" w:type="dxa"/>
          <w:bottom w:w="0" w:type="dxa"/>
          <w:right w:w="0" w:type="dxa"/>
        </w:tblCellMar>
      </w:tblPr>
      <w:tblGrid>
        <w:gridCol w:w="196"/>
        <w:gridCol w:w="1411"/>
      </w:tblGrid>
      <w:tr>
        <w:trPr/>
        <w:tc>
          <w:tcPr>
            <w:tcW w:w="196" w:type="dxa"/>
            <w:tcBorders/>
            <w:vAlign w:val="center"/>
          </w:tcPr>
          <w:p>
            <w:pPr>
              <w:pStyle w:val="TableContents"/>
              <w:bidi w:val="0"/>
              <w:spacing w:before="0" w:after="200"/>
              <w:jc w:val="left"/>
              <w:rPr>
                <w:rFonts w:ascii="Arial;Helvetica;sans-serif" w:hAnsi="Arial;Helvetica;sans-serif"/>
                <w:sz w:val="18"/>
              </w:rPr>
            </w:pPr>
            <w:r>
              <w:rPr>
                <w:rFonts w:ascii="Arial;Helvetica;sans-serif" w:hAnsi="Arial;Helvetica;sans-serif"/>
                <w:sz w:val="18"/>
              </w:rPr>
              <w:t>*</w:t>
            </w:r>
          </w:p>
        </w:tc>
        <w:tc>
          <w:tcPr>
            <w:tcW w:w="141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00"/>
              <w:jc w:val="left"/>
              <w:rPr/>
            </w:pPr>
            <w:r>
              <w:rPr/>
              <w:t>◊</w:t>
            </w:r>
          </w:p>
        </w:tc>
        <w:tc>
          <w:tcPr>
            <w:tcW w:w="996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Certain portions of this exhibit have been omitted to preserve the confidentiality of such information. The Company will furnish copies of any such information to the SEC or its staff upon request.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00"/>
              <w:jc w:val="both"/>
              <w:rPr>
                <w:rFonts w:ascii="Arial;Helvetica;sans-serif" w:hAnsi="Arial;Helvetica;sans-serif"/>
                <w:sz w:val="18"/>
              </w:rPr>
            </w:pPr>
            <w:r>
              <w:rPr>
                <w:rFonts w:ascii="Arial;Helvetica;sans-serif" w:hAnsi="Arial;Helvetica;sans-serif"/>
                <w:sz w:val="18"/>
              </w:rPr>
              <w:t>**</w:t>
            </w:r>
          </w:p>
        </w:tc>
        <w:tc>
          <w:tcPr>
            <w:tcW w:w="999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863" w:name="_8b4e95a4_587e_491a_aa54_218fd6a54eeb"/>
      <w:bookmarkEnd w:id="863"/>
      <w:r>
        <w:rPr>
          <w:rFonts w:ascii="Arial;Helvetica;sans-serif" w:hAnsi="Arial;Helvetica;sans-serif"/>
          <w:b/>
          <w:sz w:val="20"/>
        </w:rPr>
        <w:t>SIGNATURES</w:t>
      </w:r>
    </w:p>
    <w:p>
      <w:pPr>
        <w:pStyle w:val="TextBody"/>
        <w:bidi w:val="0"/>
        <w:spacing w:before="0" w:after="0"/>
        <w:ind w:left="0" w:right="0" w:hanging="0"/>
        <w:jc w:val="left"/>
        <w:rPr>
          <w:rFonts w:ascii="Arial;Helvetica;sans-serif" w:hAnsi="Arial;Helvetica;sans-serif"/>
          <w:sz w:val="20"/>
        </w:rPr>
      </w:pPr>
      <w:bookmarkStart w:id="864" w:name="SIGNATURES_811098"/>
      <w:bookmarkEnd w:id="864"/>
      <w:r>
        <w:rPr>
          <w:rFonts w:ascii="Arial;Helvetica;sans-serif" w:hAnsi="Arial;Helvetica;sans-serif"/>
          <w:sz w:val="20"/>
        </w:rPr>
        <w:t>Pursuant to the requirements of the Exchange Act, the registrant has duly caused this report to be signed on its behalf by the undersigned, thereunto duly authorized.</w:t>
      </w:r>
    </w:p>
    <w:p>
      <w:pPr>
        <w:pStyle w:val="TextBody"/>
        <w:bidi w:val="0"/>
        <w:spacing w:before="0" w:after="200"/>
        <w:ind w:left="0" w:right="0" w:hanging="0"/>
        <w:jc w:val="left"/>
        <w:rPr/>
      </w:pPr>
      <w:r>
        <w:rPr/>
        <w:t>​</w:t>
      </w:r>
    </w:p>
    <w:tbl>
      <w:tblPr>
        <w:tblW w:w="6749" w:type="dxa"/>
        <w:jc w:val="left"/>
        <w:tblInd w:w="0" w:type="dxa"/>
        <w:tblLayout w:type="fixed"/>
        <w:tblCellMar>
          <w:top w:w="0" w:type="dxa"/>
          <w:left w:w="0" w:type="dxa"/>
          <w:bottom w:w="0" w:type="dxa"/>
          <w:right w:w="0" w:type="dxa"/>
        </w:tblCellMar>
      </w:tblPr>
      <w:tblGrid>
        <w:gridCol w:w="1831"/>
        <w:gridCol w:w="326"/>
        <w:gridCol w:w="676"/>
        <w:gridCol w:w="391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162685" cy="175260"/>
                      <wp:effectExtent l="0" t="0" r="0" b="0"/>
                      <wp:wrapNone/>
                      <wp:docPr id="280" name="Frame279"/>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29260" cy="175260"/>
                      <wp:effectExtent l="0" t="0" r="0" b="0"/>
                      <wp:wrapNone/>
                      <wp:docPr id="281" name="Frame2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486660" cy="175260"/>
                      <wp:effectExtent l="0" t="0" r="0" b="0"/>
                      <wp:wrapNone/>
                      <wp:docPr id="282" name="Frame281"/>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NEURONETICS, INC.</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(Registrant)</w:t>
            </w:r>
          </w:p>
        </w:tc>
      </w:tr>
      <w:tr>
        <w:trPr/>
        <w:tc>
          <w:tcPr>
            <w:tcW w:w="18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May 15, 2023</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Keith J. Sullivan</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Keith J. Sullivan</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8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May 15, 2023</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Stephen Furlong</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Stephen Furlong</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EVP, Chief Financial Officer and Treasurer</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240"/>
        <w:ind w:left="0" w:right="0" w:hanging="0"/>
        <w:jc w:val="right"/>
        <w:rPr>
          <w:rFonts w:ascii="Times New Roman;Times;serif" w:hAnsi="Times New Roman;Times;serif"/>
          <w:b/>
          <w:sz w:val="18"/>
        </w:rPr>
      </w:pPr>
      <w:bookmarkStart w:id="865" w:name="stim-20230331xex31d1.htm"/>
      <w:bookmarkStart w:id="866" w:name="ksstim20230331xex31d1"/>
      <w:bookmarkEnd w:id="865"/>
      <w:bookmarkEnd w:id="866"/>
      <w:r>
        <w:rPr>
          <w:rFonts w:ascii="Times New Roman;Times;serif" w:hAnsi="Times New Roman;Times;serif"/>
          <w:b/>
          <w:sz w:val="18"/>
        </w:rPr>
        <w:t>Exhibit 31.1</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 Keith J. Sullivan, certify that:</w:t>
      </w:r>
    </w:p>
    <w:tbl>
      <w:tblPr>
        <w:tblW w:w="5320" w:type="dxa"/>
        <w:jc w:val="left"/>
        <w:tblInd w:w="0" w:type="dxa"/>
        <w:tblLayout w:type="fixed"/>
        <w:tblCellMar>
          <w:top w:w="0" w:type="dxa"/>
          <w:left w:w="0" w:type="dxa"/>
          <w:bottom w:w="0" w:type="dxa"/>
          <w:right w:w="0" w:type="dxa"/>
        </w:tblCellMar>
      </w:tblPr>
      <w:tblGrid>
        <w:gridCol w:w="155"/>
        <w:gridCol w:w="5165"/>
      </w:tblGrid>
      <w:tr>
        <w:trPr/>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100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4953" w:type="dxa"/>
        <w:jc w:val="center"/>
        <w:tblInd w:w="0" w:type="dxa"/>
        <w:tblLayout w:type="fixed"/>
        <w:tblCellMar>
          <w:top w:w="0" w:type="dxa"/>
          <w:left w:w="0" w:type="dxa"/>
          <w:bottom w:w="0" w:type="dxa"/>
          <w:right w:w="0" w:type="dxa"/>
        </w:tblCellMar>
      </w:tblPr>
      <w:tblGrid>
        <w:gridCol w:w="1546"/>
        <w:gridCol w:w="571"/>
        <w:gridCol w:w="2836"/>
      </w:tblGrid>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May 15,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Keith J. Sullivan</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Keith J. Sullivan</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867" w:name="stim-20230331xex31d2.htm"/>
      <w:bookmarkStart w:id="868" w:name="ksstim20230331xex31d2"/>
      <w:bookmarkEnd w:id="867"/>
      <w:bookmarkEnd w:id="868"/>
      <w:r>
        <w:rPr>
          <w:rFonts w:ascii="Times New Roman;Times;serif" w:hAnsi="Times New Roman;Times;serif"/>
          <w:b/>
          <w:sz w:val="18"/>
        </w:rPr>
        <w:t>Exhibit 31.2</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 Stephen Furlong, certify that:</w:t>
      </w:r>
    </w:p>
    <w:tbl>
      <w:tblPr>
        <w:tblW w:w="5320" w:type="dxa"/>
        <w:jc w:val="left"/>
        <w:tblInd w:w="0" w:type="dxa"/>
        <w:tblLayout w:type="fixed"/>
        <w:tblCellMar>
          <w:top w:w="0" w:type="dxa"/>
          <w:left w:w="0" w:type="dxa"/>
          <w:bottom w:w="0" w:type="dxa"/>
          <w:right w:w="0" w:type="dxa"/>
        </w:tblCellMar>
      </w:tblPr>
      <w:tblGrid>
        <w:gridCol w:w="155"/>
        <w:gridCol w:w="5165"/>
      </w:tblGrid>
      <w:tr>
        <w:trPr/>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5433" w:type="dxa"/>
        <w:jc w:val="center"/>
        <w:tblInd w:w="0" w:type="dxa"/>
        <w:tblLayout w:type="fixed"/>
        <w:tblCellMar>
          <w:top w:w="0" w:type="dxa"/>
          <w:left w:w="0" w:type="dxa"/>
          <w:bottom w:w="0" w:type="dxa"/>
          <w:right w:w="0" w:type="dxa"/>
        </w:tblCellMar>
      </w:tblPr>
      <w:tblGrid>
        <w:gridCol w:w="1546"/>
        <w:gridCol w:w="571"/>
        <w:gridCol w:w="3316"/>
      </w:tblGrid>
      <w:tr>
        <w:trPr/>
        <w:tc>
          <w:tcPr>
            <w:tcW w:w="15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585" cy="175260"/>
                      <wp:effectExtent l="0" t="0" r="0" b="0"/>
                      <wp:wrapNone/>
                      <wp:docPr id="283" name="Frame2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May 15,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Stephen Furlong</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33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Stephen Furlong</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EVP, Chief Financial Officer and Treasurer</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869" w:name="stim-20230331xex32d1.htm"/>
      <w:bookmarkStart w:id="870" w:name="ksstim20230331xex32d1"/>
      <w:bookmarkEnd w:id="869"/>
      <w:bookmarkEnd w:id="870"/>
      <w:r>
        <w:rPr>
          <w:rFonts w:ascii="Times New Roman;Times;serif" w:hAnsi="Times New Roman;Times;serif"/>
          <w:b/>
          <w:sz w:val="18"/>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March 31, 2023 as filed with the Securities and Exchange Commission on the date hereof (the “Report”), I certify, pursuant to 18 U.S.C. Section 1350, as adopted pursuant to Section 906 of the Sarbanes-Oxley Act of 2002, that: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tbl>
      <w:tblPr>
        <w:tblW w:w="4953" w:type="dxa"/>
        <w:jc w:val="center"/>
        <w:tblInd w:w="0" w:type="dxa"/>
        <w:tblLayout w:type="fixed"/>
        <w:tblCellMar>
          <w:top w:w="0" w:type="dxa"/>
          <w:left w:w="0" w:type="dxa"/>
          <w:bottom w:w="0" w:type="dxa"/>
          <w:right w:w="0" w:type="dxa"/>
        </w:tblCellMar>
      </w:tblPr>
      <w:tblGrid>
        <w:gridCol w:w="1546"/>
        <w:gridCol w:w="571"/>
        <w:gridCol w:w="2836"/>
      </w:tblGrid>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May 15,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Keith J. Sullivan</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Keith J. Sullivan</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871" w:name="stim-20230331xex32d2.htm"/>
      <w:bookmarkStart w:id="872" w:name="ksstim20230331xex32d2"/>
      <w:bookmarkEnd w:id="871"/>
      <w:bookmarkEnd w:id="872"/>
      <w:r>
        <w:rPr>
          <w:rFonts w:ascii="Times New Roman;Times;serif" w:hAnsi="Times New Roman;Times;serif"/>
          <w:b/>
          <w:sz w:val="18"/>
        </w:rPr>
        <w:t>Exhibit 32.2</w:t>
      </w:r>
      <w:r>
        <w:br w:type="page"/>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March 31, 2023 as filed with the Securities and Exchange Commission on the date hereof (the “Report”), I certify, pursuant to 18 U.S.C. Section 1350, as adopted pursuant to Section 906 of the Sarbanes-Oxley Act of 2002, that: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433" w:type="dxa"/>
        <w:jc w:val="center"/>
        <w:tblInd w:w="0" w:type="dxa"/>
        <w:tblLayout w:type="fixed"/>
        <w:tblCellMar>
          <w:top w:w="0" w:type="dxa"/>
          <w:left w:w="0" w:type="dxa"/>
          <w:bottom w:w="0" w:type="dxa"/>
          <w:right w:w="0" w:type="dxa"/>
        </w:tblCellMar>
      </w:tblPr>
      <w:tblGrid>
        <w:gridCol w:w="1546"/>
        <w:gridCol w:w="571"/>
        <w:gridCol w:w="3316"/>
      </w:tblGrid>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May 15, 2022</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Stephen Furlong</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33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Stephen Furlong</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EVP, Chief Financial Officer and Treasurer</w:t>
            </w:r>
          </w:p>
        </w:tc>
      </w:tr>
      <w:tr>
        <w:trPr/>
        <w:tc>
          <w:tcPr>
            <w:tcW w:w="15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27636/000155837022001502/stim-20220215xex10d1.htm" TargetMode="External"/><Relationship Id="rId4" Type="http://schemas.openxmlformats.org/officeDocument/2006/relationships/hyperlink" Target="https://www.sec.gov/Archives/edgar/data/1227636/000119312523090435/d482212dex102.htm" TargetMode="External"/><Relationship Id="rId5" Type="http://schemas.openxmlformats.org/officeDocument/2006/relationships/hyperlink" Target="https://www.sec.gov/Archives/edgar/data/1227636/000119312523090435/d482212dex102.htm" TargetMode="External"/><Relationship Id="rId6" Type="http://schemas.openxmlformats.org/officeDocument/2006/relationships/hyperlink" Target="https://www.sec.gov/Archives/edgar/data/1227636/000119312523090435/d482212dex102.htm" TargetMode="External"/><Relationship Id="rId7" Type="http://schemas.openxmlformats.org/officeDocument/2006/relationships/hyperlink" Target="https://www.sec.gov/Archives/edgar/data/1227636/000119312523090435/d482212dex102.htm" TargetMode="External"/><Relationship Id="rId8" Type="http://schemas.openxmlformats.org/officeDocument/2006/relationships/hyperlink" Target="https://www.sec.gov/Archives/edgar/data/1227636/000119312523090435/d482212dex10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14324</Words>
  <Characters>78271</Characters>
  <CharactersWithSpaces>93585</CharactersWithSpaces>
  <Paragraphs>3907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