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line="238"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9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96" w:lineRule="exact"/>
        <w:rPr>
          <w:sz w:val="24"/>
          <w:szCs w:val="24"/>
          <w:color w:val="auto"/>
        </w:rPr>
      </w:pPr>
    </w:p>
    <w:p>
      <w:pPr>
        <w:ind w:left="700" w:right="499" w:hanging="650"/>
        <w:spacing w:after="0" w:line="258" w:lineRule="auto"/>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September 30, 2021</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82" w:lineRule="exact"/>
        <w:rPr>
          <w:sz w:val="24"/>
          <w:szCs w:val="24"/>
          <w:color w:val="auto"/>
        </w:rPr>
      </w:pPr>
    </w:p>
    <w:p>
      <w:pPr>
        <w:ind w:left="700" w:right="499" w:hanging="650"/>
        <w:spacing w:after="0" w:line="258" w:lineRule="auto"/>
        <w:tabs>
          <w:tab w:leader="none" w:pos="7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 to 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137795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NEURONETICS,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118745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70"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375"/>
              <w:spacing w:after="0"/>
              <w:rPr>
                <w:sz w:val="20"/>
                <w:szCs w:val="20"/>
                <w:color w:val="auto"/>
              </w:rPr>
            </w:pPr>
            <w:r>
              <w:rPr>
                <w:rFonts w:ascii="Arial" w:cs="Arial" w:eastAsia="Arial" w:hAnsi="Arial"/>
                <w:sz w:val="14"/>
                <w:szCs w:val="14"/>
                <w:b w:val="1"/>
                <w:bCs w:val="1"/>
                <w:color w:val="auto"/>
              </w:rPr>
              <w:t>33-1051425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8"/>
              </w:rPr>
              <w:t>(State or other jurisdiction of</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8"/>
              </w:rPr>
              <w:t>(I.R.S. Employer Identification No.)</w:t>
            </w:r>
          </w:p>
        </w:tc>
      </w:tr>
      <w:tr>
        <w:trPr>
          <w:trHeight w:val="135"/>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incorporation or organization)</w:t>
            </w:r>
          </w:p>
        </w:tc>
        <w:tc>
          <w:tcPr>
            <w:tcW w:w="3780" w:type="dxa"/>
            <w:vAlign w:val="bottom"/>
          </w:tcPr>
          <w:p>
            <w:pPr>
              <w:spacing w:after="0"/>
              <w:rPr>
                <w:sz w:val="11"/>
                <w:szCs w:val="11"/>
                <w:color w:val="auto"/>
              </w:rPr>
            </w:pPr>
          </w:p>
        </w:tc>
      </w:tr>
      <w:tr>
        <w:trPr>
          <w:trHeight w:val="316"/>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3222 Phoenixville Pike, Malvern, PA</w:t>
            </w:r>
          </w:p>
        </w:tc>
        <w:tc>
          <w:tcPr>
            <w:tcW w:w="3780" w:type="dxa"/>
            <w:vAlign w:val="bottom"/>
          </w:tcPr>
          <w:p>
            <w:pPr>
              <w:jc w:val="right"/>
              <w:ind w:right="555"/>
              <w:spacing w:after="0"/>
              <w:rPr>
                <w:sz w:val="20"/>
                <w:szCs w:val="20"/>
                <w:color w:val="auto"/>
              </w:rPr>
            </w:pPr>
            <w:r>
              <w:rPr>
                <w:rFonts w:ascii="Arial" w:cs="Arial" w:eastAsia="Arial" w:hAnsi="Arial"/>
                <w:sz w:val="14"/>
                <w:szCs w:val="14"/>
                <w:b w:val="1"/>
                <w:bCs w:val="1"/>
                <w:color w:val="auto"/>
              </w:rPr>
              <w:t>19355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(Address of principal executive offices)</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6"/>
              </w:rPr>
              <w:t>(Zip Code)</w:t>
            </w:r>
          </w:p>
        </w:tc>
      </w:tr>
      <w:tr>
        <w:trPr>
          <w:trHeight w:val="221"/>
        </w:trPr>
        <w:tc>
          <w:tcPr>
            <w:tcW w:w="2760" w:type="dxa"/>
            <w:vAlign w:val="bottom"/>
          </w:tcPr>
          <w:p>
            <w:pPr>
              <w:jc w:val="center"/>
              <w:ind w:right="158"/>
              <w:spacing w:after="0"/>
              <w:rPr>
                <w:sz w:val="20"/>
                <w:szCs w:val="20"/>
                <w:color w:val="auto"/>
              </w:rPr>
            </w:pPr>
            <w:r>
              <w:rPr>
                <w:rFonts w:ascii="Arial" w:cs="Arial" w:eastAsia="Arial" w:hAnsi="Arial"/>
                <w:sz w:val="14"/>
                <w:szCs w:val="14"/>
                <w:b w:val="1"/>
                <w:bCs w:val="1"/>
                <w:color w:val="auto"/>
              </w:rPr>
              <w:t>(610) 640-4202</w:t>
            </w:r>
          </w:p>
        </w:tc>
        <w:tc>
          <w:tcPr>
            <w:tcW w:w="3780" w:type="dxa"/>
            <w:vAlign w:val="bottom"/>
          </w:tcPr>
          <w:p>
            <w:pPr>
              <w:spacing w:after="0"/>
              <w:rPr>
                <w:sz w:val="19"/>
                <w:szCs w:val="19"/>
                <w:color w:val="auto"/>
              </w:rPr>
            </w:pP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(Registrant’s telephone number, including area code)</w:t>
            </w:r>
          </w:p>
        </w:tc>
        <w:tc>
          <w:tcPr>
            <w:tcW w:w="3780" w:type="dxa"/>
            <w:vAlign w:val="bottom"/>
          </w:tcPr>
          <w:p>
            <w:pPr>
              <w:spacing w:after="0"/>
              <w:rPr>
                <w:sz w:val="11"/>
                <w:szCs w:val="11"/>
                <w:color w:val="auto"/>
              </w:rPr>
            </w:pPr>
          </w:p>
        </w:tc>
      </w:tr>
      <w:tr>
        <w:trPr>
          <w:trHeight w:val="253"/>
        </w:trPr>
        <w:tc>
          <w:tcPr>
            <w:tcW w:w="2760" w:type="dxa"/>
            <w:vAlign w:val="bottom"/>
          </w:tcPr>
          <w:p>
            <w:pPr>
              <w:spacing w:after="0"/>
              <w:rPr>
                <w:sz w:val="22"/>
                <w:szCs w:val="22"/>
                <w:color w:val="auto"/>
              </w:rPr>
            </w:pPr>
          </w:p>
        </w:tc>
        <w:tc>
          <w:tcPr>
            <w:tcW w:w="3780" w:type="dxa"/>
            <w:vAlign w:val="bottom"/>
          </w:tcPr>
          <w:p>
            <w:pPr>
              <w:ind w:left="220"/>
              <w:spacing w:after="0"/>
              <w:rPr>
                <w:sz w:val="20"/>
                <w:szCs w:val="20"/>
                <w:color w:val="auto"/>
              </w:rPr>
            </w:pPr>
            <w:r>
              <w:rPr>
                <w:rFonts w:ascii="Arial" w:cs="Arial" w:eastAsia="Arial" w:hAnsi="Arial"/>
                <w:sz w:val="14"/>
                <w:szCs w:val="14"/>
                <w:b w:val="1"/>
                <w:bCs w:val="1"/>
                <w:color w:val="auto"/>
              </w:rPr>
              <w:t>Not applicable.</w:t>
            </w: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228"/>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Trading</w:t>
            </w:r>
          </w:p>
        </w:tc>
        <w:tc>
          <w:tcPr>
            <w:tcW w:w="3780" w:type="dxa"/>
            <w:vAlign w:val="bottom"/>
          </w:tcPr>
          <w:p>
            <w:pPr>
              <w:spacing w:after="0"/>
              <w:rPr>
                <w:sz w:val="19"/>
                <w:szCs w:val="19"/>
                <w:color w:val="auto"/>
              </w:rPr>
            </w:pPr>
          </w:p>
        </w:tc>
      </w:tr>
      <w:tr>
        <w:trPr>
          <w:trHeight w:val="17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 (s)</w:t>
            </w:r>
          </w:p>
        </w:tc>
        <w:tc>
          <w:tcPr>
            <w:tcW w:w="260" w:type="dxa"/>
            <w:vAlign w:val="bottom"/>
          </w:tcPr>
          <w:p>
            <w:pPr>
              <w:spacing w:after="0"/>
              <w:rPr>
                <w:sz w:val="15"/>
                <w:szCs w:val="15"/>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on each exchange on which registered</w:t>
            </w:r>
          </w:p>
        </w:tc>
      </w:tr>
      <w:tr>
        <w:trPr>
          <w:trHeight w:val="170"/>
        </w:trPr>
        <w:tc>
          <w:tcPr>
            <w:tcW w:w="3740" w:type="dxa"/>
            <w:vAlign w:val="bottom"/>
            <w:gridSpan w:val="2"/>
          </w:tcPr>
          <w:p>
            <w:pPr>
              <w:jc w:val="center"/>
              <w:ind w:right="200"/>
              <w:spacing w:after="0"/>
              <w:rPr>
                <w:sz w:val="20"/>
                <w:szCs w:val="20"/>
                <w:color w:val="auto"/>
              </w:rPr>
            </w:pPr>
            <w:r>
              <w:rPr>
                <w:rFonts w:ascii="Arial" w:cs="Arial" w:eastAsia="Arial" w:hAnsi="Arial"/>
                <w:sz w:val="14"/>
                <w:szCs w:val="14"/>
                <w:color w:val="auto"/>
              </w:rPr>
              <w:t>Common Stock ($0.01 par value)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STIM</w:t>
            </w:r>
          </w:p>
        </w:tc>
        <w:tc>
          <w:tcPr>
            <w:tcW w:w="378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110490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61" w:lineRule="exact"/>
        <w:rPr>
          <w:sz w:val="24"/>
          <w:szCs w:val="24"/>
          <w:color w:val="auto"/>
        </w:rPr>
      </w:pPr>
    </w:p>
    <w:p>
      <w:pPr>
        <w:ind w:left="60" w:right="159"/>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60" w:right="199"/>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left="60" w:right="259"/>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1"/>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3" w:lineRule="exact"/>
        <w:rPr>
          <w:sz w:val="24"/>
          <w:szCs w:val="24"/>
          <w:color w:val="auto"/>
        </w:rPr>
      </w:pPr>
    </w:p>
    <w:p>
      <w:pPr>
        <w:ind w:left="60" w:right="7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4"/>
          <w:szCs w:val="24"/>
          <w:color w:val="auto"/>
        </w:rPr>
      </w:pPr>
    </w:p>
    <w:p>
      <w:pPr>
        <w:ind w:left="60"/>
        <w:spacing w:after="0"/>
        <w:rPr>
          <w:sz w:val="20"/>
          <w:szCs w:val="20"/>
          <w:color w:val="auto"/>
        </w:rPr>
      </w:pPr>
      <w:r>
        <w:rPr>
          <w:rFonts w:ascii="Arial" w:cs="Arial" w:eastAsia="Arial" w:hAnsi="Arial"/>
          <w:sz w:val="14"/>
          <w:szCs w:val="14"/>
          <w:color w:val="auto"/>
        </w:rPr>
        <w:t>There were 26,367,959 shares of the registrant’s common stock outstanding as of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12"/>
          </w:tcPr>
          <w:p>
            <w:pPr>
              <w:jc w:val="center"/>
              <w:ind w:right="2960"/>
              <w:spacing w:after="0"/>
              <w:rPr>
                <w:sz w:val="20"/>
                <w:szCs w:val="20"/>
                <w:color w:val="auto"/>
              </w:rPr>
            </w:pPr>
            <w:r>
              <w:rPr>
                <w:rFonts w:ascii="Arial" w:cs="Arial" w:eastAsia="Arial" w:hAnsi="Arial"/>
                <w:sz w:val="18"/>
                <w:szCs w:val="18"/>
                <w:b w:val="1"/>
                <w:bCs w:val="1"/>
                <w:color w:val="auto"/>
                <w:w w:val="99"/>
              </w:rPr>
              <w:t>NEURONETICS, 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gridSpan w:val="25"/>
          </w:tcPr>
          <w:p>
            <w:pPr>
              <w:jc w:val="center"/>
              <w:ind w:right="440"/>
              <w:spacing w:after="0"/>
              <w:rPr>
                <w:sz w:val="20"/>
                <w:szCs w:val="20"/>
                <w:color w:val="auto"/>
              </w:rPr>
            </w:pPr>
            <w:r>
              <w:rPr>
                <w:rFonts w:ascii="Arial" w:cs="Arial" w:eastAsia="Arial" w:hAnsi="Arial"/>
                <w:sz w:val="16"/>
                <w:szCs w:val="16"/>
                <w:b w:val="1"/>
                <w:bCs w:val="1"/>
                <w:color w:val="auto"/>
              </w:rPr>
              <w:t xml:space="preserve">Quarterly Report on </w:t>
            </w:r>
            <w:r>
              <w:rPr>
                <w:rFonts w:ascii="Arial" w:cs="Arial" w:eastAsia="Arial" w:hAnsi="Arial"/>
                <w:sz w:val="17"/>
                <w:szCs w:val="17"/>
                <w:b w:val="1"/>
                <w:bCs w:val="1"/>
                <w:color w:val="auto"/>
              </w:rPr>
              <w:t>Form</w:t>
            </w:r>
            <w:r>
              <w:rPr>
                <w:rFonts w:ascii="Arial" w:cs="Arial" w:eastAsia="Arial" w:hAnsi="Arial"/>
                <w:sz w:val="16"/>
                <w:szCs w:val="16"/>
                <w:b w:val="1"/>
                <w:bCs w:val="1"/>
                <w:color w:val="auto"/>
              </w:rPr>
              <w:t xml:space="preserve"> 10-Q for the quarterly period ended September 30, 2021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40" w:type="dxa"/>
            <w:vAlign w:val="bottom"/>
            <w:gridSpan w:val="12"/>
          </w:tcPr>
          <w:p>
            <w:pPr>
              <w:jc w:val="center"/>
              <w:ind w:right="2960"/>
              <w:spacing w:after="0"/>
              <w:rPr>
                <w:sz w:val="20"/>
                <w:szCs w:val="20"/>
                <w:color w:val="auto"/>
              </w:rPr>
            </w:pPr>
            <w:r>
              <w:rPr>
                <w:rFonts w:ascii="Arial" w:cs="Arial" w:eastAsia="Arial" w:hAnsi="Arial"/>
                <w:sz w:val="16"/>
                <w:szCs w:val="16"/>
                <w:b w:val="1"/>
                <w:bCs w:val="1"/>
                <w:color w:val="auto"/>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17"/>
            <w:vMerge w:val="restart"/>
          </w:tcPr>
          <w:p>
            <w:pPr>
              <w:jc w:val="center"/>
              <w:ind w:right="236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500" w:type="dxa"/>
            <w:vAlign w:val="bottom"/>
            <w:gridSpan w:val="17"/>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190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3060" w:type="dxa"/>
            <w:vAlign w:val="bottom"/>
            <w:tcBorders>
              <w:top w:val="single" w:sz="8" w:color="0000EE"/>
            </w:tcBorders>
            <w:gridSpan w:val="8"/>
          </w:tcPr>
          <w:p>
            <w:pPr>
              <w:spacing w:after="0"/>
              <w:rPr>
                <w:sz w:val="24"/>
                <w:szCs w:val="24"/>
                <w:color w:val="auto"/>
              </w:rPr>
            </w:pPr>
          </w:p>
        </w:tc>
        <w:tc>
          <w:tcPr>
            <w:tcW w:w="24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top w:val="single" w:sz="8" w:color="0000EE"/>
            </w:tcBorders>
            <w:gridSpan w:val="8"/>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Balance Sheets as of</w:t>
              </w:r>
            </w:hyperlink>
          </w:p>
        </w:tc>
        <w:tc>
          <w:tcPr>
            <w:tcW w:w="5500" w:type="dxa"/>
            <w:vAlign w:val="bottom"/>
            <w:gridSpan w:val="17"/>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September 30, 2021 and December 31, 2020</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58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Statements of Operations for the Three and Nine Months ended</w:t>
              </w:r>
            </w:hyperlink>
          </w:p>
        </w:tc>
        <w:tc>
          <w:tcPr>
            <w:tcW w:w="1780" w:type="dxa"/>
            <w:vAlign w:val="bottom"/>
            <w:gridSpan w:val="5"/>
          </w:tcPr>
          <w:p>
            <w:pPr>
              <w:spacing w:after="0" w:line="18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September 30, 2021</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60" w:type="dxa"/>
            <w:vAlign w:val="bottom"/>
            <w:tcBorders>
              <w:top w:val="single" w:sz="8" w:color="0000EE"/>
            </w:tcBorders>
            <w:gridSpan w:val="24"/>
          </w:tcPr>
          <w:p>
            <w:pPr>
              <w:spacing w:after="0" w:line="18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and 2020</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78"/>
              </w:rPr>
            </w:pPr>
            <w:hyperlink w:anchor="page5">
              <w:r>
                <w:rPr>
                  <w:rFonts w:ascii="Arial" w:cs="Arial" w:eastAsia="Arial" w:hAnsi="Arial"/>
                  <w:sz w:val="18"/>
                  <w:szCs w:val="18"/>
                  <w:b w:val="1"/>
                  <w:bCs w:val="1"/>
                  <w:color w:val="0000EE"/>
                  <w:w w:val="78"/>
                </w:rPr>
                <w:t>Statements</w:t>
              </w:r>
            </w:hyperlink>
          </w:p>
        </w:tc>
        <w:tc>
          <w:tcPr>
            <w:tcW w:w="220" w:type="dxa"/>
            <w:vAlign w:val="bottom"/>
          </w:tcPr>
          <w:p>
            <w:pPr>
              <w:spacing w:after="0"/>
              <w:rPr>
                <w:sz w:val="15"/>
                <w:szCs w:val="15"/>
                <w:color w:val="auto"/>
              </w:rPr>
            </w:pPr>
          </w:p>
        </w:tc>
        <w:tc>
          <w:tcPr>
            <w:tcW w:w="6360" w:type="dxa"/>
            <w:vAlign w:val="bottom"/>
            <w:gridSpan w:val="22"/>
          </w:tcPr>
          <w:p>
            <w:pPr>
              <w:ind w:left="20"/>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of Changes in Stockholders’ Equity for the Three and Nine Months ended</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80" w:type="dxa"/>
            <w:vAlign w:val="bottom"/>
            <w:tcBorders>
              <w:top w:val="single" w:sz="8" w:color="0000EE"/>
            </w:tcBorders>
            <w:gridSpan w:val="25"/>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September 30, 2021 and 2020</w:t>
              </w:r>
            </w:hyperlink>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Borders>
              <w:top w:val="single" w:sz="8" w:color="0000EE"/>
            </w:tcBorders>
            <w:gridSpan w:val="14"/>
          </w:tcPr>
          <w:p>
            <w:pPr>
              <w:spacing w:after="0" w:line="182" w:lineRule="exact"/>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Statements of Cash Flows for</w:t>
              </w:r>
            </w:hyperlink>
          </w:p>
        </w:tc>
        <w:tc>
          <w:tcPr>
            <w:tcW w:w="4840" w:type="dxa"/>
            <w:vAlign w:val="bottom"/>
            <w:gridSpan w:val="12"/>
          </w:tcPr>
          <w:p>
            <w:pPr>
              <w:ind w:left="60"/>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the Nine Months ended September 30, 2021 and 2020</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Notes to Interim Financial Statements</w:t>
              </w:r>
            </w:hyperlink>
          </w:p>
        </w:tc>
        <w:tc>
          <w:tcPr>
            <w:tcW w:w="240" w:type="dxa"/>
            <w:vAlign w:val="bottom"/>
            <w:gridSpan w:val="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gridSpan w:val="5"/>
            <w:vMerge w:val="restart"/>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2.</w:t>
              </w:r>
            </w:hyperlink>
          </w:p>
        </w:tc>
        <w:tc>
          <w:tcPr>
            <w:tcW w:w="7360" w:type="dxa"/>
            <w:vAlign w:val="bottom"/>
            <w:gridSpan w:val="26"/>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Management’s Discussion and Analysis of Financial Condition and Results of</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182"/>
        </w:trPr>
        <w:tc>
          <w:tcPr>
            <w:tcW w:w="980" w:type="dxa"/>
            <w:vAlign w:val="bottom"/>
            <w:gridSpan w:val="5"/>
            <w:vMerge w:val="continue"/>
          </w:tcPr>
          <w:p>
            <w:pPr>
              <w:spacing w:after="0"/>
              <w:rPr>
                <w:sz w:val="15"/>
                <w:szCs w:val="15"/>
                <w:color w:val="auto"/>
              </w:rPr>
            </w:pPr>
          </w:p>
        </w:tc>
        <w:tc>
          <w:tcPr>
            <w:tcW w:w="666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Operations.</w:t>
              </w:r>
            </w:hyperlink>
          </w:p>
        </w:tc>
        <w:tc>
          <w:tcPr>
            <w:tcW w:w="700" w:type="dxa"/>
            <w:vAlign w:val="bottom"/>
            <w:gridSpan w:val="4"/>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Item 3.</w:t>
              </w:r>
            </w:hyperlink>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2"/>
              </w:rPr>
            </w:pPr>
            <w:hyperlink w:anchor="page38">
              <w:r>
                <w:rPr>
                  <w:rFonts w:ascii="Arial" w:cs="Arial" w:eastAsia="Arial" w:hAnsi="Arial"/>
                  <w:sz w:val="18"/>
                  <w:szCs w:val="18"/>
                  <w:b w:val="1"/>
                  <w:bCs w:val="1"/>
                  <w:color w:val="0000EE"/>
                  <w:w w:val="92"/>
                </w:rPr>
                <w:t>Quantitative</w:t>
              </w:r>
            </w:hyperlink>
          </w:p>
        </w:tc>
        <w:tc>
          <w:tcPr>
            <w:tcW w:w="80" w:type="dxa"/>
            <w:vAlign w:val="bottom"/>
          </w:tcPr>
          <w:p>
            <w:pPr>
              <w:spacing w:after="0"/>
              <w:rPr>
                <w:sz w:val="15"/>
                <w:szCs w:val="15"/>
                <w:color w:val="auto"/>
              </w:rPr>
            </w:pPr>
          </w:p>
        </w:tc>
        <w:tc>
          <w:tcPr>
            <w:tcW w:w="6280" w:type="dxa"/>
            <w:vAlign w:val="bottom"/>
            <w:gridSpan w:val="21"/>
          </w:tcPr>
          <w:p>
            <w:pPr>
              <w:ind w:left="20"/>
              <w:spacing w:after="0" w:line="182"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and Qualitative Disclosures About Market Risk.</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Item 4.</w:t>
              </w:r>
            </w:hyperlink>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Controls and Procedures.</w:t>
              </w:r>
            </w:hyperlink>
          </w:p>
        </w:tc>
        <w:tc>
          <w:tcPr>
            <w:tcW w:w="100" w:type="dxa"/>
            <w:vAlign w:val="bottom"/>
          </w:tcPr>
          <w:p>
            <w:pPr>
              <w:spacing w:after="0"/>
              <w:rPr>
                <w:sz w:val="15"/>
                <w:szCs w:val="15"/>
                <w:color w:val="auto"/>
              </w:rPr>
            </w:pPr>
          </w:p>
        </w:tc>
        <w:tc>
          <w:tcPr>
            <w:tcW w:w="2120" w:type="dxa"/>
            <w:vAlign w:val="bottom"/>
            <w:gridSpan w:val="6"/>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20" w:type="dxa"/>
            <w:vAlign w:val="bottom"/>
            <w:gridSpan w:val="15"/>
          </w:tcPr>
          <w:p>
            <w:pPr>
              <w:jc w:val="center"/>
              <w:ind w:right="2560"/>
              <w:spacing w:after="0" w:line="182" w:lineRule="exact"/>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PART II – OTHER INFORMATION</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gridSpan w:val="5"/>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1.</w:t>
              </w:r>
            </w:hyperlink>
          </w:p>
        </w:tc>
        <w:tc>
          <w:tcPr>
            <w:tcW w:w="2040" w:type="dxa"/>
            <w:vAlign w:val="bottom"/>
            <w:gridSpan w:val="11"/>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Proceedings.</w:t>
              </w:r>
            </w:hyperlink>
          </w:p>
        </w:tc>
        <w:tc>
          <w:tcPr>
            <w:tcW w:w="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gridSpan w:val="3"/>
          </w:tcPr>
          <w:p>
            <w:pPr>
              <w:spacing w:after="0"/>
              <w:rPr>
                <w:sz w:val="15"/>
                <w:szCs w:val="15"/>
                <w:color w:val="auto"/>
              </w:rPr>
            </w:pPr>
          </w:p>
        </w:tc>
        <w:tc>
          <w:tcPr>
            <w:tcW w:w="2000" w:type="dxa"/>
            <w:vAlign w:val="bottom"/>
            <w:tcBorders>
              <w:top w:val="single" w:sz="8" w:color="0000EE"/>
            </w:tcBorders>
            <w:gridSpan w:val="2"/>
          </w:tcPr>
          <w:p>
            <w:pPr>
              <w:spacing w:after="0"/>
              <w:rPr>
                <w:sz w:val="15"/>
                <w:szCs w:val="15"/>
                <w:color w:val="auto"/>
              </w:rPr>
            </w:pPr>
          </w:p>
        </w:tc>
        <w:tc>
          <w:tcPr>
            <w:tcW w:w="440" w:type="dxa"/>
            <w:vAlign w:val="bottom"/>
            <w:gridSpan w:val="3"/>
          </w:tcPr>
          <w:p>
            <w:pPr>
              <w:spacing w:after="0"/>
              <w:rPr>
                <w:sz w:val="15"/>
                <w:szCs w:val="15"/>
                <w:color w:val="auto"/>
              </w:rPr>
            </w:pPr>
          </w:p>
        </w:tc>
        <w:tc>
          <w:tcPr>
            <w:tcW w:w="2120" w:type="dxa"/>
            <w:vAlign w:val="bottom"/>
            <w:gridSpan w:val="6"/>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vMerge w:val="restart"/>
          </w:tcPr>
          <w:p>
            <w:pPr>
              <w:spacing w:after="0" w:line="20" w:lineRule="exact"/>
              <w:rPr>
                <w:sz w:val="1"/>
                <w:szCs w:val="1"/>
                <w:color w:val="auto"/>
              </w:rPr>
            </w:pPr>
          </w:p>
        </w:tc>
        <w:tc>
          <w:tcPr>
            <w:tcW w:w="680" w:type="dxa"/>
            <w:vAlign w:val="bottom"/>
            <w:gridSpan w:val="3"/>
            <w:vMerge w:val="restart"/>
          </w:tcPr>
          <w:p>
            <w:pPr>
              <w:spacing w:after="0" w:line="20" w:lineRule="exact"/>
              <w:rPr>
                <w:sz w:val="1"/>
                <w:szCs w:val="1"/>
                <w:color w:val="auto"/>
              </w:rPr>
            </w:pPr>
          </w:p>
        </w:tc>
        <w:tc>
          <w:tcPr>
            <w:tcW w:w="2440" w:type="dxa"/>
            <w:vAlign w:val="bottom"/>
            <w:gridSpan w:val="5"/>
            <w:vMerge w:val="restart"/>
          </w:tcPr>
          <w:p>
            <w:pPr>
              <w:spacing w:after="0" w:line="20" w:lineRule="exact"/>
              <w:rPr>
                <w:sz w:val="1"/>
                <w:szCs w:val="1"/>
                <w:color w:val="auto"/>
              </w:rPr>
            </w:pPr>
          </w:p>
        </w:tc>
        <w:tc>
          <w:tcPr>
            <w:tcW w:w="2120" w:type="dxa"/>
            <w:vAlign w:val="bottom"/>
            <w:gridSpan w:val="6"/>
            <w:vMerge w:val="restart"/>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60" w:type="dxa"/>
            <w:vAlign w:val="bottom"/>
            <w:gridSpan w:val="4"/>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1A</w:t>
              </w:r>
            </w:hyperlink>
            <w:r>
              <w:rPr>
                <w:rFonts w:ascii="Arial" w:cs="Arial" w:eastAsia="Arial" w:hAnsi="Arial"/>
                <w:sz w:val="18"/>
                <w:szCs w:val="18"/>
                <w:b w:val="1"/>
                <w:bCs w:val="1"/>
                <w:color w:val="000000"/>
              </w:rPr>
              <w:t>.</w:t>
            </w:r>
          </w:p>
        </w:tc>
        <w:tc>
          <w:tcPr>
            <w:tcW w:w="20" w:type="dxa"/>
            <w:vAlign w:val="bottom"/>
            <w:vMerge w:val="continue"/>
          </w:tcPr>
          <w:p>
            <w:pPr>
              <w:spacing w:after="0"/>
              <w:rPr>
                <w:sz w:val="15"/>
                <w:szCs w:val="15"/>
                <w:color w:val="auto"/>
              </w:rPr>
            </w:pPr>
          </w:p>
        </w:tc>
        <w:tc>
          <w:tcPr>
            <w:tcW w:w="1640" w:type="dxa"/>
            <w:vAlign w:val="bottom"/>
            <w:gridSpan w:val="7"/>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Risk Factors</w:t>
              </w:r>
            </w:hyperlink>
            <w:r>
              <w:rPr>
                <w:rFonts w:ascii="Arial" w:cs="Arial" w:eastAsia="Arial" w:hAnsi="Arial"/>
                <w:sz w:val="18"/>
                <w:szCs w:val="18"/>
                <w:b w:val="1"/>
                <w:bCs w:val="1"/>
                <w:color w:val="000000"/>
              </w:rPr>
              <w:t>.</w:t>
            </w:r>
          </w:p>
        </w:tc>
        <w:tc>
          <w:tcPr>
            <w:tcW w:w="460" w:type="dxa"/>
            <w:vAlign w:val="bottom"/>
            <w:gridSpan w:val="4"/>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120" w:type="dxa"/>
            <w:vAlign w:val="bottom"/>
            <w:gridSpan w:val="6"/>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4"/>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2.</w:t>
              </w:r>
            </w:hyperlink>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0000EE"/>
            </w:tcBorders>
            <w:gridSpan w:val="4"/>
          </w:tcPr>
          <w:p>
            <w:pPr>
              <w:spacing w:after="0" w:line="182" w:lineRule="exact"/>
              <w:rPr>
                <w:rFonts w:ascii="Arial" w:cs="Arial" w:eastAsia="Arial" w:hAnsi="Arial"/>
                <w:sz w:val="18"/>
                <w:szCs w:val="18"/>
                <w:b w:val="1"/>
                <w:bCs w:val="1"/>
                <w:color w:val="0000EE"/>
                <w:w w:val="93"/>
              </w:rPr>
            </w:pPr>
            <w:hyperlink w:anchor="page40">
              <w:r>
                <w:rPr>
                  <w:rFonts w:ascii="Arial" w:cs="Arial" w:eastAsia="Arial" w:hAnsi="Arial"/>
                  <w:sz w:val="18"/>
                  <w:szCs w:val="18"/>
                  <w:b w:val="1"/>
                  <w:bCs w:val="1"/>
                  <w:color w:val="0000EE"/>
                  <w:w w:val="93"/>
                </w:rPr>
                <w:t>Unregistered</w:t>
              </w:r>
            </w:hyperlink>
          </w:p>
        </w:tc>
        <w:tc>
          <w:tcPr>
            <w:tcW w:w="6280" w:type="dxa"/>
            <w:vAlign w:val="bottom"/>
            <w:gridSpan w:val="21"/>
          </w:tcPr>
          <w:p>
            <w:pPr>
              <w:ind w:left="80"/>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Sales of Equity Securities and Use of Proceeds.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Item 3.</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Defaults Upon Senior Securities.</w:t>
              </w:r>
            </w:hyperlink>
          </w:p>
        </w:tc>
        <w:tc>
          <w:tcPr>
            <w:tcW w:w="2120" w:type="dxa"/>
            <w:vAlign w:val="bottom"/>
            <w:gridSpan w:val="6"/>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Item 4.</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top w:val="single" w:sz="8" w:color="0000EE"/>
            </w:tcBorders>
            <w:gridSpan w:val="14"/>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Mine Safety Disclosures.</w:t>
              </w:r>
            </w:hyperlink>
          </w:p>
        </w:tc>
        <w:tc>
          <w:tcPr>
            <w:tcW w:w="4560" w:type="dxa"/>
            <w:vAlign w:val="bottom"/>
            <w:gridSpan w:val="11"/>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Item 5.</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5240" w:type="dxa"/>
            <w:vAlign w:val="bottom"/>
            <w:gridSpan w:val="14"/>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Item 6.</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Exhibits.</w:t>
              </w:r>
            </w:hyperlink>
          </w:p>
        </w:tc>
        <w:tc>
          <w:tcPr>
            <w:tcW w:w="5780" w:type="dxa"/>
            <w:vAlign w:val="bottom"/>
            <w:gridSpan w:val="19"/>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180" w:type="dxa"/>
            <w:vAlign w:val="bottom"/>
            <w:gridSpan w:val="20"/>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1160" w:type="dxa"/>
            <w:vAlign w:val="bottom"/>
            <w:tcBorders>
              <w:bottom w:val="single" w:sz="8" w:color="0000EE"/>
            </w:tcBorders>
            <w:gridSpan w:val="5"/>
          </w:tcPr>
          <w:p>
            <w:pPr>
              <w:spacing w:after="0" w:line="182" w:lineRule="exact"/>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SIGNATURES</w:t>
              </w:r>
            </w:hyperlink>
          </w:p>
        </w:tc>
        <w:tc>
          <w:tcPr>
            <w:tcW w:w="6180" w:type="dxa"/>
            <w:vAlign w:val="bottom"/>
            <w:gridSpan w:val="20"/>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183"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7"/>
          <w:szCs w:val="17"/>
          <w:b w:val="1"/>
          <w:bCs w:val="1"/>
          <w:color w:val="auto"/>
        </w:rPr>
        <w:t>Item 1.</w:t>
        <w:tab/>
        <w:t>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Balance Sheets</w:t>
      </w:r>
    </w:p>
    <w:p>
      <w:pPr>
        <w:jc w:val="center"/>
        <w:ind w:right="19"/>
        <w:spacing w:after="0"/>
        <w:rPr>
          <w:sz w:val="20"/>
          <w:szCs w:val="20"/>
          <w:color w:val="auto"/>
        </w:rPr>
      </w:pPr>
      <w:r>
        <w:rPr>
          <w:rFonts w:ascii="Arial" w:cs="Arial" w:eastAsia="Arial" w:hAnsi="Arial"/>
          <w:sz w:val="17"/>
          <w:szCs w:val="17"/>
          <w:b w:val="1"/>
          <w:bCs w:val="1"/>
          <w:color w:val="auto"/>
        </w:rPr>
        <w:t>(Unaudited; In thousands, except per share data)</w:t>
      </w:r>
    </w:p>
    <w:p>
      <w:pPr>
        <w:spacing w:after="0" w:line="170" w:lineRule="exact"/>
        <w:rPr>
          <w:sz w:val="20"/>
          <w:szCs w:val="20"/>
          <w:color w:val="auto"/>
        </w:rPr>
      </w:pPr>
    </w:p>
    <w:tbl>
      <w:tblPr>
        <w:tblLayout w:type="fixed"/>
        <w:tblInd w:w="5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w:t>
            </w:r>
          </w:p>
        </w:tc>
        <w:tc>
          <w:tcPr>
            <w:tcW w:w="118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w:t>
            </w:r>
          </w:p>
        </w:tc>
      </w:tr>
      <w:tr>
        <w:trPr>
          <w:trHeight w:val="215"/>
        </w:trPr>
        <w:tc>
          <w:tcPr>
            <w:tcW w:w="58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r>
      <w:tr>
        <w:trPr>
          <w:trHeight w:val="155"/>
        </w:trPr>
        <w:tc>
          <w:tcPr>
            <w:tcW w:w="6280" w:type="dxa"/>
            <w:vAlign w:val="bottom"/>
            <w:tcBorders>
              <w:left w:val="single" w:sz="8" w:color="CCEEFF"/>
            </w:tcBorders>
            <w:gridSpan w:val="3"/>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7"/>
        </w:trPr>
        <w:tc>
          <w:tcPr>
            <w:tcW w:w="580" w:type="dxa"/>
            <w:vAlign w:val="bottom"/>
            <w:tcBorders>
              <w:left w:val="single" w:sz="8" w:color="CCEEFF"/>
            </w:tcBorders>
            <w:shd w:val="clear" w:color="auto" w:fill="000000"/>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r>
        <w:trPr>
          <w:trHeight w:val="189"/>
        </w:trPr>
        <w:tc>
          <w:tcPr>
            <w:tcW w:w="62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6280" w:type="dxa"/>
            <w:vAlign w:val="bottom"/>
            <w:tcBorders>
              <w:left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99,434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48,957</w:t>
            </w:r>
          </w:p>
        </w:tc>
      </w:tr>
      <w:tr>
        <w:trPr>
          <w:trHeight w:val="189"/>
        </w:trPr>
        <w:tc>
          <w:tcPr>
            <w:tcW w:w="628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Accounts receivable, net</w:t>
            </w: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7,749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7,166</w:t>
            </w:r>
          </w:p>
        </w:tc>
      </w:tr>
      <w:tr>
        <w:trPr>
          <w:trHeight w:val="189"/>
        </w:trPr>
        <w:tc>
          <w:tcPr>
            <w:tcW w:w="6280" w:type="dxa"/>
            <w:vAlign w:val="bottom"/>
            <w:tcBorders>
              <w:left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Inventory</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5,355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3,720</w:t>
            </w:r>
          </w:p>
        </w:tc>
      </w:tr>
      <w:tr>
        <w:trPr>
          <w:trHeight w:val="189"/>
        </w:trPr>
        <w:tc>
          <w:tcPr>
            <w:tcW w:w="628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Current portion of net investments in sales-type leases</w:t>
            </w: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2,142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1,887</w:t>
            </w:r>
          </w:p>
        </w:tc>
      </w:tr>
      <w:tr>
        <w:trPr>
          <w:trHeight w:val="189"/>
        </w:trPr>
        <w:tc>
          <w:tcPr>
            <w:tcW w:w="6280" w:type="dxa"/>
            <w:vAlign w:val="bottom"/>
            <w:tcBorders>
              <w:left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Current portion of prepaid commission expense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1,096</w:t>
            </w:r>
          </w:p>
        </w:tc>
      </w:tr>
      <w:tr>
        <w:trPr>
          <w:trHeight w:val="189"/>
        </w:trPr>
        <w:tc>
          <w:tcPr>
            <w:tcW w:w="6280" w:type="dxa"/>
            <w:vAlign w:val="bottom"/>
            <w:tcBorders>
              <w:bottom w:val="single" w:sz="8" w:color="CCEEFF"/>
            </w:tcBorders>
            <w:gridSpan w:val="3"/>
          </w:tcPr>
          <w:p>
            <w:pPr>
              <w:ind w:left="12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3,454</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2,186</w:t>
            </w:r>
          </w:p>
        </w:tc>
      </w:tr>
      <w:tr>
        <w:trPr>
          <w:trHeight w:val="183"/>
        </w:trPr>
        <w:tc>
          <w:tcPr>
            <w:tcW w:w="6280" w:type="dxa"/>
            <w:vAlign w:val="bottom"/>
            <w:tcBorders>
              <w:left w:val="single" w:sz="8" w:color="CCEEFF"/>
            </w:tcBorders>
            <w:gridSpan w:val="3"/>
            <w:shd w:val="clear" w:color="auto" w:fill="CCEEFF"/>
          </w:tcPr>
          <w:p>
            <w:pPr>
              <w:ind w:left="220"/>
              <w:spacing w:after="0" w:line="183" w:lineRule="exact"/>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119,447</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65,012</w:t>
            </w:r>
          </w:p>
        </w:tc>
      </w:tr>
      <w:tr>
        <w:trPr>
          <w:trHeight w:val="183"/>
        </w:trPr>
        <w:tc>
          <w:tcPr>
            <w:tcW w:w="6280" w:type="dxa"/>
            <w:vAlign w:val="bottom"/>
            <w:gridSpan w:val="3"/>
          </w:tcPr>
          <w:p>
            <w:pPr>
              <w:ind w:left="20"/>
              <w:spacing w:after="0" w:line="183" w:lineRule="exact"/>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920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730</w:t>
            </w:r>
          </w:p>
        </w:tc>
      </w:tr>
      <w:tr>
        <w:trPr>
          <w:trHeight w:val="189"/>
        </w:trPr>
        <w:tc>
          <w:tcPr>
            <w:tcW w:w="628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lease right-of-use assets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3,131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3,418</w:t>
            </w:r>
          </w:p>
        </w:tc>
      </w:tr>
      <w:tr>
        <w:trPr>
          <w:trHeight w:val="189"/>
        </w:trPr>
        <w:tc>
          <w:tcPr>
            <w:tcW w:w="62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Net investments in sales-type leases</w:t>
            </w: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1,735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2,331</w:t>
            </w:r>
          </w:p>
        </w:tc>
      </w:tr>
      <w:tr>
        <w:trPr>
          <w:trHeight w:val="189"/>
        </w:trPr>
        <w:tc>
          <w:tcPr>
            <w:tcW w:w="628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Prepaid commission expense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5,685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5,300</w:t>
            </w:r>
          </w:p>
        </w:tc>
      </w:tr>
      <w:tr>
        <w:trPr>
          <w:trHeight w:val="189"/>
        </w:trPr>
        <w:tc>
          <w:tcPr>
            <w:tcW w:w="62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Long-term note receivable</w:t>
            </w: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10,000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628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2,150</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1,866</w:t>
            </w:r>
          </w:p>
        </w:tc>
      </w:tr>
      <w:tr>
        <w:trPr>
          <w:trHeight w:val="223"/>
        </w:trPr>
        <w:tc>
          <w:tcPr>
            <w:tcW w:w="6280" w:type="dxa"/>
            <w:vAlign w:val="bottom"/>
            <w:tcBorders>
              <w:bottom w:val="single" w:sz="8" w:color="CCEEFF"/>
            </w:tcBorders>
            <w:gridSpan w:val="3"/>
          </w:tcPr>
          <w:p>
            <w:pPr>
              <w:ind w:left="220"/>
              <w:spacing w:after="0" w:line="183" w:lineRule="exact"/>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143,068</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78,657</w:t>
            </w:r>
          </w:p>
        </w:tc>
      </w:tr>
      <w:tr>
        <w:trPr>
          <w:trHeight w:val="143"/>
        </w:trPr>
        <w:tc>
          <w:tcPr>
            <w:tcW w:w="6280" w:type="dxa"/>
            <w:vAlign w:val="bottom"/>
            <w:tcBorders>
              <w:left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7"/>
        </w:trPr>
        <w:tc>
          <w:tcPr>
            <w:tcW w:w="580" w:type="dxa"/>
            <w:vAlign w:val="bottom"/>
            <w:tcBorders>
              <w:left w:val="single" w:sz="8" w:color="CCEEFF"/>
            </w:tcBorders>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r>
        <w:trPr>
          <w:trHeight w:val="189"/>
        </w:trPr>
        <w:tc>
          <w:tcPr>
            <w:tcW w:w="62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6280" w:type="dxa"/>
            <w:vAlign w:val="bottom"/>
            <w:tcBorders>
              <w:left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3,749</w:t>
            </w:r>
          </w:p>
        </w:tc>
      </w:tr>
      <w:tr>
        <w:trPr>
          <w:trHeight w:val="189"/>
        </w:trPr>
        <w:tc>
          <w:tcPr>
            <w:tcW w:w="628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Accrued expenses</w:t>
            </w: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6,913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7,319</w:t>
            </w:r>
          </w:p>
        </w:tc>
      </w:tr>
      <w:tr>
        <w:trPr>
          <w:trHeight w:val="189"/>
        </w:trPr>
        <w:tc>
          <w:tcPr>
            <w:tcW w:w="6280" w:type="dxa"/>
            <w:vAlign w:val="bottom"/>
            <w:tcBorders>
              <w:left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1,870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2,020</w:t>
            </w:r>
          </w:p>
        </w:tc>
      </w:tr>
      <w:tr>
        <w:trPr>
          <w:trHeight w:val="189"/>
        </w:trPr>
        <w:tc>
          <w:tcPr>
            <w:tcW w:w="628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Current portion of operating lease liabilities</w:t>
            </w: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594</w:t>
            </w:r>
          </w:p>
        </w:tc>
      </w:tr>
      <w:tr>
        <w:trPr>
          <w:trHeight w:val="189"/>
        </w:trPr>
        <w:tc>
          <w:tcPr>
            <w:tcW w:w="6280" w:type="dxa"/>
            <w:vAlign w:val="bottom"/>
            <w:tcBorders>
              <w:left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Current portion of long-term debt, net</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35,104</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6280" w:type="dxa"/>
            <w:vAlign w:val="bottom"/>
            <w:tcBorders>
              <w:bottom w:val="single" w:sz="8" w:color="CCEEFF"/>
            </w:tcBorders>
            <w:gridSpan w:val="3"/>
          </w:tcPr>
          <w:p>
            <w:pPr>
              <w:ind w:left="220"/>
              <w:spacing w:after="0" w:line="183" w:lineRule="exact"/>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47,809</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13,682</w:t>
            </w:r>
          </w:p>
        </w:tc>
      </w:tr>
      <w:tr>
        <w:trPr>
          <w:trHeight w:val="182"/>
        </w:trPr>
        <w:tc>
          <w:tcPr>
            <w:tcW w:w="6280" w:type="dxa"/>
            <w:vAlign w:val="bottom"/>
            <w:tcBorders>
              <w:left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Long-term debt, net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34,620</w:t>
            </w:r>
          </w:p>
        </w:tc>
      </w:tr>
      <w:tr>
        <w:trPr>
          <w:trHeight w:val="189"/>
        </w:trPr>
        <w:tc>
          <w:tcPr>
            <w:tcW w:w="62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Deferred revenue</w:t>
            </w: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1,361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1,741</w:t>
            </w:r>
          </w:p>
        </w:tc>
      </w:tr>
      <w:tr>
        <w:trPr>
          <w:trHeight w:val="189"/>
        </w:trPr>
        <w:tc>
          <w:tcPr>
            <w:tcW w:w="628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lease liabilities</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2,822</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3,121</w:t>
            </w:r>
          </w:p>
        </w:tc>
      </w:tr>
      <w:tr>
        <w:trPr>
          <w:trHeight w:val="183"/>
        </w:trPr>
        <w:tc>
          <w:tcPr>
            <w:tcW w:w="6280" w:type="dxa"/>
            <w:vAlign w:val="bottom"/>
            <w:tcBorders>
              <w:bottom w:val="single" w:sz="8" w:color="CCEEFF"/>
            </w:tcBorders>
            <w:gridSpan w:val="3"/>
          </w:tcPr>
          <w:p>
            <w:pPr>
              <w:ind w:left="220"/>
              <w:spacing w:after="0" w:line="183" w:lineRule="exact"/>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51,992</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53,164</w:t>
            </w:r>
          </w:p>
        </w:tc>
      </w:tr>
      <w:tr>
        <w:trPr>
          <w:trHeight w:val="183"/>
        </w:trPr>
        <w:tc>
          <w:tcPr>
            <w:tcW w:w="6280" w:type="dxa"/>
            <w:vAlign w:val="bottom"/>
            <w:tcBorders>
              <w:left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Commitments and contingencies (Note 17)</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62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Stockholders’ Equity:</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3"/>
        </w:trPr>
        <w:tc>
          <w:tcPr>
            <w:tcW w:w="6280" w:type="dxa"/>
            <w:vAlign w:val="bottom"/>
            <w:tcBorders>
              <w:left w:val="single" w:sz="8" w:color="CCEEFF"/>
            </w:tcBorders>
            <w:gridSpan w:val="3"/>
            <w:shd w:val="clear" w:color="auto" w:fill="CCEEFF"/>
          </w:tcPr>
          <w:p>
            <w:pPr>
              <w:ind w:left="120"/>
              <w:spacing w:after="0" w:line="183" w:lineRule="exact"/>
              <w:rPr>
                <w:sz w:val="20"/>
                <w:szCs w:val="20"/>
                <w:color w:val="auto"/>
              </w:rPr>
            </w:pPr>
            <w:r>
              <w:rPr>
                <w:rFonts w:ascii="Arial" w:cs="Arial" w:eastAsia="Arial" w:hAnsi="Arial"/>
                <w:sz w:val="17"/>
                <w:szCs w:val="17"/>
                <w:color w:val="auto"/>
              </w:rPr>
              <w:t>Preferred stock, $0.01 par value: 10,000 shares authorized; no shares issued</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5"/>
        </w:trPr>
        <w:tc>
          <w:tcPr>
            <w:tcW w:w="628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or</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628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outstanding at September 30, 2021 and December 31, 2020</w:t>
            </w:r>
          </w:p>
        </w:tc>
        <w:tc>
          <w:tcPr>
            <w:tcW w:w="260" w:type="dxa"/>
            <w:vAlign w:val="bottom"/>
          </w:tcPr>
          <w:p>
            <w:pPr>
              <w:spacing w:after="0"/>
              <w:rPr>
                <w:sz w:val="16"/>
                <w:szCs w:val="16"/>
                <w:color w:val="auto"/>
              </w:rPr>
            </w:pP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6280" w:type="dxa"/>
            <w:vAlign w:val="bottom"/>
            <w:tcBorders>
              <w:left w:val="single" w:sz="8" w:color="CCEEFF"/>
            </w:tcBorders>
            <w:gridSpan w:val="3"/>
            <w:shd w:val="clear" w:color="auto" w:fill="CCEEFF"/>
          </w:tcPr>
          <w:p>
            <w:pPr>
              <w:ind w:left="120"/>
              <w:spacing w:after="0" w:line="183" w:lineRule="exact"/>
              <w:rPr>
                <w:sz w:val="20"/>
                <w:szCs w:val="20"/>
                <w:color w:val="auto"/>
              </w:rPr>
            </w:pPr>
            <w:r>
              <w:rPr>
                <w:rFonts w:ascii="Arial" w:cs="Arial" w:eastAsia="Arial" w:hAnsi="Arial"/>
                <w:sz w:val="17"/>
                <w:szCs w:val="17"/>
                <w:color w:val="auto"/>
              </w:rPr>
              <w:t>Common stock, $0.01 par value: 200,000 shares authorized; 26,335 and</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5"/>
        </w:trPr>
        <w:tc>
          <w:tcPr>
            <w:tcW w:w="29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19,114</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3"/>
        </w:trPr>
        <w:tc>
          <w:tcPr>
            <w:tcW w:w="6280" w:type="dxa"/>
            <w:vAlign w:val="bottom"/>
            <w:gridSpan w:val="3"/>
          </w:tcPr>
          <w:p>
            <w:pPr>
              <w:ind w:left="120"/>
              <w:spacing w:after="0" w:line="183" w:lineRule="exact"/>
              <w:rPr>
                <w:sz w:val="20"/>
                <w:szCs w:val="20"/>
                <w:color w:val="auto"/>
              </w:rPr>
            </w:pPr>
            <w:r>
              <w:rPr>
                <w:rFonts w:ascii="Arial" w:cs="Arial" w:eastAsia="Arial" w:hAnsi="Arial"/>
                <w:sz w:val="17"/>
                <w:szCs w:val="17"/>
                <w:color w:val="auto"/>
              </w:rPr>
              <w:t>shares issued and outstanding at September 30, 2021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5"/>
        </w:trPr>
        <w:tc>
          <w:tcPr>
            <w:tcW w:w="6280" w:type="dxa"/>
            <w:vAlign w:val="bottom"/>
            <w:gridSpan w:val="3"/>
          </w:tcPr>
          <w:p>
            <w:pPr>
              <w:ind w:left="120"/>
              <w:spacing w:after="0"/>
              <w:rPr>
                <w:sz w:val="20"/>
                <w:szCs w:val="20"/>
                <w:color w:val="auto"/>
              </w:rPr>
            </w:pPr>
            <w:r>
              <w:rPr>
                <w:rFonts w:ascii="Arial" w:cs="Arial" w:eastAsia="Arial" w:hAnsi="Arial"/>
                <w:sz w:val="17"/>
                <w:szCs w:val="17"/>
                <w:color w:val="auto"/>
              </w:rPr>
              <w:t>December 31, 2020, respectively</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189"/>
        </w:trPr>
        <w:tc>
          <w:tcPr>
            <w:tcW w:w="6280" w:type="dxa"/>
            <w:vAlign w:val="bottom"/>
            <w:tcBorders>
              <w:left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391,910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302,842</w:t>
            </w:r>
          </w:p>
        </w:tc>
      </w:tr>
      <w:tr>
        <w:trPr>
          <w:trHeight w:val="189"/>
        </w:trPr>
        <w:tc>
          <w:tcPr>
            <w:tcW w:w="628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Accumulated deficit</w:t>
            </w:r>
          </w:p>
        </w:tc>
        <w:tc>
          <w:tcPr>
            <w:tcW w:w="26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(301,097)</w:t>
            </w: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(277,540)</w:t>
            </w:r>
          </w:p>
        </w:tc>
      </w:tr>
      <w:tr>
        <w:trPr>
          <w:trHeight w:val="183"/>
        </w:trPr>
        <w:tc>
          <w:tcPr>
            <w:tcW w:w="6280" w:type="dxa"/>
            <w:vAlign w:val="bottom"/>
            <w:tcBorders>
              <w:top w:val="single" w:sz="8" w:color="CCEEFF"/>
              <w:left w:val="single" w:sz="8" w:color="CCEEFF"/>
            </w:tcBorders>
            <w:gridSpan w:val="3"/>
            <w:shd w:val="clear" w:color="auto" w:fill="CCEEFF"/>
          </w:tcPr>
          <w:p>
            <w:pPr>
              <w:ind w:left="220"/>
              <w:spacing w:after="0" w:line="183" w:lineRule="exact"/>
              <w:rPr>
                <w:sz w:val="20"/>
                <w:szCs w:val="20"/>
                <w:color w:val="auto"/>
              </w:rPr>
            </w:pPr>
            <w:r>
              <w:rPr>
                <w:rFonts w:ascii="Arial" w:cs="Arial" w:eastAsia="Arial" w:hAnsi="Arial"/>
                <w:sz w:val="17"/>
                <w:szCs w:val="17"/>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91,076</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25,493</w:t>
            </w:r>
          </w:p>
        </w:tc>
      </w:tr>
      <w:tr>
        <w:trPr>
          <w:trHeight w:val="183"/>
        </w:trPr>
        <w:tc>
          <w:tcPr>
            <w:tcW w:w="6280" w:type="dxa"/>
            <w:vAlign w:val="bottom"/>
            <w:gridSpan w:val="3"/>
          </w:tcPr>
          <w:p>
            <w:pPr>
              <w:ind w:left="220"/>
              <w:spacing w:after="0" w:line="183" w:lineRule="exact"/>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143,068</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78,657</w:t>
            </w:r>
          </w:p>
        </w:tc>
      </w:tr>
      <w:tr>
        <w:trPr>
          <w:trHeight w:val="20"/>
        </w:trPr>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0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13,799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40,290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33,665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9,791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32,175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27,431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6,435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19,220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13,508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6,179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17,837</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12,215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52,830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(7,182)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(20,655)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(8,151)</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(3,418)</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(23,557)</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loss per share of common stock outstanding, basic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diluted</w:t>
            </w:r>
          </w:p>
        </w:tc>
        <w:tc>
          <w:tcPr>
            <w:tcW w:w="14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line="195" w:lineRule="exact"/>
              <w:rPr>
                <w:sz w:val="20"/>
                <w:szCs w:val="20"/>
                <w:color w:val="auto"/>
              </w:rPr>
            </w:pPr>
            <w:r>
              <w:rPr>
                <w:rFonts w:ascii="Arial" w:cs="Arial" w:eastAsia="Arial" w:hAnsi="Arial"/>
                <w:sz w:val="18"/>
                <w:szCs w:val="18"/>
                <w:color w:val="auto"/>
              </w:rPr>
              <w:t>Weighted-average common shares outstanding,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26,301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18,890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25,179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18,773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40" w:type="dxa"/>
            <w:vAlign w:val="bottom"/>
          </w:tcPr>
          <w:p>
            <w:pPr>
              <w:ind w:left="20"/>
              <w:spacing w:after="0" w:line="190"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8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60" w:type="dxa"/>
            <w:vAlign w:val="bottom"/>
          </w:tcPr>
          <w:p>
            <w:pPr>
              <w:jc w:val="center"/>
              <w:ind w:right="13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18,645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$ 297,753</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(250,087)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47,852</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(12,613)</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$ 299,024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(262,700)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36,511</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20"/>
              <w:spacing w:after="0"/>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vMerge w:val="continue"/>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(7,765)</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June 30, 2020</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$ 299,717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(270,465)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29,440</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20"/>
              <w:spacing w:after="0"/>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vMerge w:val="continue"/>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409</w:t>
            </w:r>
          </w:p>
        </w:tc>
        <w:tc>
          <w:tcPr>
            <w:tcW w:w="160" w:type="dxa"/>
            <w:vAlign w:val="bottom"/>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(3,418)</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September 30, 2020</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$ 301,172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(273,883)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at December 31, 2020</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$ 302,842</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(277,540)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25,493</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net of issuance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costs of $401</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80,515</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80,571</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(7,881)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March 31,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25,756</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$ 387,134</w:t>
            </w:r>
          </w:p>
        </w:tc>
        <w:tc>
          <w:tcPr>
            <w:tcW w:w="16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(285,421)</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101,971</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(7,525)</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June 30,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26,167</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$ 389,850</w:t>
            </w:r>
          </w:p>
        </w:tc>
        <w:tc>
          <w:tcPr>
            <w:tcW w:w="16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(292,946)</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97,166</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1,961</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(8,151)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(8,151)</w:t>
            </w:r>
          </w:p>
        </w:tc>
        <w:tc>
          <w:tcPr>
            <w:tcW w:w="0" w:type="dxa"/>
            <w:vAlign w:val="bottom"/>
          </w:tcPr>
          <w:p>
            <w:pPr>
              <w:spacing w:after="0"/>
              <w:rPr>
                <w:sz w:val="1"/>
                <w:szCs w:val="1"/>
                <w:color w:val="auto"/>
              </w:rPr>
            </w:pPr>
          </w:p>
        </w:tc>
      </w:tr>
      <w:tr>
        <w:trPr>
          <w:trHeight w:val="196"/>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Balance at September 30,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26,335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$ 391,910</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(301,097)</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91,076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Statements of Cash Flows</w:t>
      </w:r>
    </w:p>
    <w:p>
      <w:pPr>
        <w:ind w:left="3380"/>
        <w:spacing w:after="0"/>
        <w:rPr>
          <w:sz w:val="20"/>
          <w:szCs w:val="20"/>
          <w:color w:val="auto"/>
        </w:rPr>
      </w:pPr>
      <w:r>
        <w:rPr>
          <w:rFonts w:ascii="Arial" w:cs="Arial" w:eastAsia="Arial" w:hAnsi="Arial"/>
          <w:sz w:val="18"/>
          <w:szCs w:val="18"/>
          <w:b w:val="1"/>
          <w:bCs w:val="1"/>
          <w:color w:val="auto"/>
        </w:rPr>
        <w:t>(Unaudited;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3"/>
        </w:trPr>
        <w:tc>
          <w:tcPr>
            <w:tcW w:w="618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(23,557)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(23,796)</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2,888</w:t>
            </w:r>
          </w:p>
        </w:tc>
        <w:tc>
          <w:tcPr>
            <w:tcW w:w="0" w:type="dxa"/>
            <w:vAlign w:val="bottom"/>
          </w:tcPr>
          <w:p>
            <w:pPr>
              <w:spacing w:after="0"/>
              <w:rPr>
                <w:sz w:val="1"/>
                <w:szCs w:val="1"/>
                <w:color w:val="auto"/>
              </w:rPr>
            </w:pPr>
          </w:p>
        </w:tc>
      </w:tr>
      <w:tr>
        <w:trPr>
          <w:trHeight w:val="189"/>
        </w:trPr>
        <w:tc>
          <w:tcPr>
            <w:tcW w:w="618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rental units purchased by customers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9"/>
        </w:trPr>
        <w:tc>
          <w:tcPr>
            <w:tcW w:w="61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certain assets and liabilities: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(3,097)</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(1,870)</w:t>
            </w: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189"/>
        </w:trPr>
        <w:tc>
          <w:tcPr>
            <w:tcW w:w="6180" w:type="dxa"/>
            <w:vAlign w:val="bottom"/>
          </w:tcPr>
          <w:p>
            <w:pPr>
              <w:ind w:left="340"/>
              <w:spacing w:after="0"/>
              <w:rPr>
                <w:sz w:val="20"/>
                <w:szCs w:val="20"/>
                <w:color w:val="auto"/>
              </w:rPr>
            </w:pPr>
            <w:r>
              <w:rPr>
                <w:rFonts w:ascii="Arial" w:cs="Arial" w:eastAsia="Arial" w:hAnsi="Arial"/>
                <w:sz w:val="16"/>
                <w:szCs w:val="16"/>
                <w:color w:val="auto"/>
              </w:rPr>
              <w:t>Net investments in sales-type leases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Leasehold reimbursement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189"/>
        </w:trPr>
        <w:tc>
          <w:tcPr>
            <w:tcW w:w="6180" w:type="dxa"/>
            <w:vAlign w:val="bottom"/>
          </w:tcPr>
          <w:p>
            <w:pPr>
              <w:ind w:left="340"/>
              <w:spacing w:after="0"/>
              <w:rPr>
                <w:sz w:val="20"/>
                <w:szCs w:val="20"/>
                <w:color w:val="auto"/>
              </w:rPr>
            </w:pPr>
            <w:r>
              <w:rPr>
                <w:rFonts w:ascii="Arial" w:cs="Arial" w:eastAsia="Arial" w:hAnsi="Arial"/>
                <w:sz w:val="16"/>
                <w:szCs w:val="16"/>
                <w:color w:val="auto"/>
              </w:rPr>
              <w:t>Prepaid commission expense</w:t>
            </w:r>
          </w:p>
        </w:tc>
        <w:tc>
          <w:tcPr>
            <w:tcW w:w="26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(602)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(453)</w:t>
            </w: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189"/>
        </w:trPr>
        <w:tc>
          <w:tcPr>
            <w:tcW w:w="61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(840)</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(405)</w:t>
            </w: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189"/>
        </w:trPr>
        <w:tc>
          <w:tcPr>
            <w:tcW w:w="618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(23,459)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(26,687)</w:t>
            </w:r>
          </w:p>
        </w:tc>
        <w:tc>
          <w:tcPr>
            <w:tcW w:w="0" w:type="dxa"/>
            <w:vAlign w:val="bottom"/>
          </w:tcPr>
          <w:p>
            <w:pPr>
              <w:spacing w:after="0"/>
              <w:rPr>
                <w:sz w:val="1"/>
                <w:szCs w:val="1"/>
                <w:color w:val="auto"/>
              </w:rPr>
            </w:pPr>
          </w:p>
        </w:tc>
      </w:tr>
      <w:tr>
        <w:trPr>
          <w:trHeight w:val="183"/>
        </w:trPr>
        <w:tc>
          <w:tcPr>
            <w:tcW w:w="6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120"/>
              <w:spacing w:after="0"/>
              <w:rPr>
                <w:sz w:val="20"/>
                <w:szCs w:val="20"/>
                <w:color w:val="auto"/>
              </w:rPr>
            </w:pPr>
            <w:r>
              <w:rPr>
                <w:rFonts w:ascii="Arial" w:cs="Arial" w:eastAsia="Arial" w:hAnsi="Arial"/>
                <w:sz w:val="16"/>
                <w:szCs w:val="16"/>
                <w:color w:val="auto"/>
              </w:rPr>
              <w:t>Purchases of property and equipment and capitalized software</w:t>
            </w:r>
          </w:p>
        </w:tc>
        <w:tc>
          <w:tcPr>
            <w:tcW w:w="26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(1,552)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promissory note</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(7,486)</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180" w:type="dxa"/>
            <w:vAlign w:val="bottom"/>
          </w:tcPr>
          <w:p>
            <w:pPr>
              <w:ind w:left="440"/>
              <w:spacing w:after="0" w:line="183" w:lineRule="exact"/>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15"/>
                <w:szCs w:val="15"/>
                <w:color w:val="auto"/>
              </w:rPr>
            </w:pPr>
          </w:p>
        </w:tc>
        <w:tc>
          <w:tcPr>
            <w:tcW w:w="12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(9,038)</w:t>
            </w:r>
          </w:p>
        </w:tc>
        <w:tc>
          <w:tcPr>
            <w:tcW w:w="2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41,360</w:t>
            </w:r>
          </w:p>
        </w:tc>
        <w:tc>
          <w:tcPr>
            <w:tcW w:w="0" w:type="dxa"/>
            <w:vAlign w:val="bottom"/>
          </w:tcPr>
          <w:p>
            <w:pPr>
              <w:spacing w:after="0"/>
              <w:rPr>
                <w:sz w:val="1"/>
                <w:szCs w:val="1"/>
                <w:color w:val="auto"/>
              </w:rPr>
            </w:pPr>
          </w:p>
        </w:tc>
      </w:tr>
      <w:tr>
        <w:trPr>
          <w:trHeight w:val="189"/>
        </w:trPr>
        <w:tc>
          <w:tcPr>
            <w:tcW w:w="6180" w:type="dxa"/>
            <w:vAlign w:val="bottom"/>
          </w:tcPr>
          <w:p>
            <w:pPr>
              <w:ind w:left="120"/>
              <w:spacing w:after="0"/>
              <w:rPr>
                <w:sz w:val="20"/>
                <w:szCs w:val="20"/>
                <w:color w:val="auto"/>
              </w:rPr>
            </w:pPr>
            <w:r>
              <w:rPr>
                <w:rFonts w:ascii="Arial" w:cs="Arial" w:eastAsia="Arial" w:hAnsi="Arial"/>
                <w:sz w:val="16"/>
                <w:szCs w:val="16"/>
                <w:color w:val="auto"/>
              </w:rPr>
              <w:t>Repayment of long-term debt</w:t>
            </w:r>
          </w:p>
        </w:tc>
        <w:tc>
          <w:tcPr>
            <w:tcW w:w="26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(38,860)</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189"/>
        </w:trPr>
        <w:tc>
          <w:tcPr>
            <w:tcW w:w="6180" w:type="dxa"/>
            <w:vAlign w:val="bottom"/>
          </w:tcPr>
          <w:p>
            <w:pPr>
              <w:ind w:left="120"/>
              <w:spacing w:after="0"/>
              <w:rPr>
                <w:sz w:val="20"/>
                <w:szCs w:val="20"/>
                <w:color w:val="auto"/>
              </w:rPr>
            </w:pPr>
            <w:r>
              <w:rPr>
                <w:rFonts w:ascii="Arial" w:cs="Arial" w:eastAsia="Arial" w:hAnsi="Arial"/>
                <w:sz w:val="16"/>
                <w:szCs w:val="16"/>
                <w:color w:val="auto"/>
              </w:rPr>
              <w:t>Proceeds from exercises of stock options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80,972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120"/>
              <w:spacing w:after="0"/>
              <w:rPr>
                <w:sz w:val="20"/>
                <w:szCs w:val="20"/>
                <w:color w:val="auto"/>
              </w:rPr>
            </w:pPr>
            <w:r>
              <w:rPr>
                <w:rFonts w:ascii="Arial" w:cs="Arial" w:eastAsia="Arial" w:hAnsi="Arial"/>
                <w:sz w:val="16"/>
                <w:szCs w:val="16"/>
                <w:color w:val="auto"/>
              </w:rPr>
              <w:t>Payments of common stock offering issuance costs</w:t>
            </w:r>
          </w:p>
        </w:tc>
        <w:tc>
          <w:tcPr>
            <w:tcW w:w="26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(401)</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ind w:left="44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82,974</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183"/>
        </w:trPr>
        <w:tc>
          <w:tcPr>
            <w:tcW w:w="6180" w:type="dxa"/>
            <w:vAlign w:val="bottom"/>
          </w:tcPr>
          <w:p>
            <w:pPr>
              <w:ind w:left="440"/>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50,477</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(24,989)</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48,957</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75,708</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ind w:left="440"/>
              <w:spacing w:after="0" w:line="183" w:lineRule="exact"/>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99,434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50,719</w:t>
            </w:r>
          </w:p>
        </w:tc>
        <w:tc>
          <w:tcPr>
            <w:tcW w:w="0" w:type="dxa"/>
            <w:vAlign w:val="bottom"/>
          </w:tcPr>
          <w:p>
            <w:pPr>
              <w:spacing w:after="0"/>
              <w:rPr>
                <w:sz w:val="1"/>
                <w:szCs w:val="1"/>
                <w:color w:val="auto"/>
              </w:rPr>
            </w:pPr>
          </w:p>
        </w:tc>
      </w:tr>
      <w:tr>
        <w:trPr>
          <w:trHeight w:val="170"/>
        </w:trPr>
        <w:tc>
          <w:tcPr>
            <w:tcW w:w="618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Supplemental disclosure of cash flow information:</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80" w:type="dxa"/>
            <w:vAlign w:val="bottom"/>
          </w:tcPr>
          <w:p>
            <w:pPr>
              <w:ind w:left="12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2,471</w:t>
            </w:r>
          </w:p>
        </w:tc>
        <w:tc>
          <w:tcPr>
            <w:tcW w:w="200" w:type="dxa"/>
            <w:vAlign w:val="bottom"/>
          </w:tcPr>
          <w:p>
            <w:pPr>
              <w:spacing w:after="0"/>
              <w:rPr>
                <w:sz w:val="16"/>
                <w:szCs w:val="16"/>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3,060</w:t>
            </w:r>
          </w:p>
        </w:tc>
        <w:tc>
          <w:tcPr>
            <w:tcW w:w="0" w:type="dxa"/>
            <w:vAlign w:val="bottom"/>
          </w:tcPr>
          <w:p>
            <w:pPr>
              <w:spacing w:after="0"/>
              <w:rPr>
                <w:sz w:val="1"/>
                <w:szCs w:val="1"/>
                <w:color w:val="auto"/>
              </w:rPr>
            </w:pPr>
          </w:p>
        </w:tc>
      </w:tr>
      <w:tr>
        <w:trPr>
          <w:trHeight w:val="189"/>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 of Inventory to PP&amp;E</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 and capitalized software in accounts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payable and accrued expenses</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6"/>
        </w:trPr>
        <w:tc>
          <w:tcPr>
            <w:tcW w:w="6180" w:type="dxa"/>
            <w:vAlign w:val="bottom"/>
          </w:tcPr>
          <w:p>
            <w:pPr>
              <w:ind w:left="120"/>
              <w:spacing w:after="0"/>
              <w:rPr>
                <w:sz w:val="20"/>
                <w:szCs w:val="20"/>
                <w:color w:val="auto"/>
              </w:rPr>
            </w:pPr>
            <w:r>
              <w:rPr>
                <w:rFonts w:ascii="Arial" w:cs="Arial" w:eastAsia="Arial" w:hAnsi="Arial"/>
                <w:sz w:val="16"/>
                <w:szCs w:val="16"/>
                <w:color w:val="auto"/>
              </w:rPr>
              <w:t>Reduction of accounts receivable in long-term note receivable</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is continuing to monitor the impact of the COVID-19 pandemic on all aspects of its business and geographies, including how it will continue to impact the Company’s customers, supply chain, employees and other business partners. While the Company has experienced significant disruptions in March 2020 through the end of September 30, 2021 from the COVID-19 pandemic, it is unable to predict the full impact that the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pandemic has significantly adversely impacted global economic activity and has contributed to significant volatility and negative pressure in financial markets, and may contribute to periods of economic uncertainty in the future.</w:t>
      </w:r>
    </w:p>
    <w:p>
      <w:pPr>
        <w:spacing w:after="0" w:line="17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to the Company, on May 7, 2020, the Company repaid the loan in full, including interest accrued to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193"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As of September 30, 2021, the Company had cash and cash equivalents of $99.4 million and an accumulated deficit of $301.1 million. The Company incurred negative cash flows from operating activities of $23.5 million for the nine months ended September 30, 2021 and $28.4 million for the year ended December 31, 2020.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IPO, private placements of its convertible preferred securities, borrowings under its credit facilities, proceeds from its secondary public offering of common stock, revenues from sales of its products and other public offerings of the Company’s common stock. As of September 30, 2021, the Company had $35.0 million of borrowings outstanding under its credit facility, which has a final maturity in February 2025. As discussed in Note 13, the outstanding balance under the credit facility is classified as a current liability as of September 30, 2021. Management believes that the Company’s cash and cash equivalents as of September 30, 2021, and anticipated revenues from sales of its products are sufficient to fund the Company’s operations for at least the next 12 months from the issuance of these financial statements.</w:t>
      </w:r>
    </w:p>
    <w:p>
      <w:pPr>
        <w:spacing w:after="0" w:line="165" w:lineRule="exact"/>
        <w:rPr>
          <w:sz w:val="20"/>
          <w:szCs w:val="20"/>
          <w:color w:val="auto"/>
        </w:rPr>
      </w:pPr>
    </w:p>
    <w:p>
      <w:pPr>
        <w:ind w:left="460" w:hanging="410"/>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07" w:lineRule="exact"/>
        <w:rPr>
          <w:sz w:val="20"/>
          <w:szCs w:val="20"/>
          <w:color w:val="auto"/>
        </w:rPr>
      </w:pPr>
    </w:p>
    <w:p>
      <w:pPr>
        <w:ind w:left="60" w:right="559"/>
        <w:spacing w:after="0" w:line="274"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refer to GAAP as found in the Accounting Standards Codification, or ASC, and Accounting Standards Updates, or ASUs, promulgated by the Financial Accounting Standards Board, or FASB.</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Interim Financial Statements</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nine months ended September 30, 2021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2, 2021, wherein a more complete discussion of significant accounting policies and certain other information can be found.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including those related to the COVID-19 pandemic, and given the subjective element of the estimates and assumptions made, actual results may differ materially from estimated results.</w:t>
      </w:r>
    </w:p>
    <w:p>
      <w:pPr>
        <w:spacing w:after="0" w:line="154" w:lineRule="exact"/>
        <w:rPr>
          <w:sz w:val="20"/>
          <w:szCs w:val="20"/>
          <w:color w:val="auto"/>
        </w:rPr>
      </w:pPr>
    </w:p>
    <w:p>
      <w:pPr>
        <w:ind w:left="460" w:hanging="410"/>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 Company accounts for its note receivable in accordance with ASC Topic 310, Receivables, ("Topic 310") and is reported on the Company’s balance sheet at amortized cost basis. The Company will recognize interest income within other income, net within the statements of operations. See "Note 8. Note Receivable" in our unaudited financial statements and related notes thereto included elsewhere in this Quarterly Report on Form 10-Q.</w:t>
      </w:r>
    </w:p>
    <w:p>
      <w:pPr>
        <w:spacing w:after="0" w:line="18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Form 10-K filed with the SEC on March 2, 2021.</w:t>
      </w:r>
    </w:p>
    <w:p>
      <w:pPr>
        <w:spacing w:after="0" w:line="154" w:lineRule="exact"/>
        <w:rPr>
          <w:sz w:val="20"/>
          <w:szCs w:val="20"/>
          <w:color w:val="auto"/>
        </w:rPr>
      </w:pPr>
    </w:p>
    <w:p>
      <w:pPr>
        <w:ind w:left="460" w:hanging="410"/>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189" w:lineRule="exact"/>
        <w:rPr>
          <w:sz w:val="20"/>
          <w:szCs w:val="20"/>
          <w:color w:val="auto"/>
        </w:rPr>
      </w:pPr>
    </w:p>
    <w:p>
      <w:pPr>
        <w:ind w:left="60" w:right="159"/>
        <w:spacing w:after="0" w:line="267"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 (Topic 326):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Credit Losses on Financial Instruments </w:t>
      </w:r>
      <w:r>
        <w:rPr>
          <w:rFonts w:ascii="Arial" w:cs="Arial" w:eastAsia="Arial" w:hAnsi="Arial"/>
          <w:sz w:val="18"/>
          <w:szCs w:val="18"/>
          <w:color w:val="auto"/>
        </w:rPr>
        <w:t>(</w:t>
      </w:r>
      <w:r>
        <w:rPr>
          <w:rFonts w:ascii="Arial" w:cs="Arial" w:eastAsia="Arial" w:hAnsi="Arial"/>
          <w:sz w:val="18"/>
          <w:szCs w:val="18"/>
          <w:i w:val="1"/>
          <w:iCs w:val="1"/>
          <w:color w:val="auto"/>
        </w:rPr>
        <w:t>“Topic 326”</w:t>
      </w:r>
      <w:r>
        <w:rPr>
          <w:rFonts w:ascii="Arial" w:cs="Arial" w:eastAsia="Arial" w:hAnsi="Arial"/>
          <w:sz w:val="18"/>
          <w:szCs w:val="18"/>
          <w:color w:val="auto"/>
        </w:rPr>
        <w:t>). This ASU provides guidance for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639"/>
        <w:spacing w:after="0"/>
        <w:rPr>
          <w:sz w:val="20"/>
          <w:szCs w:val="20"/>
          <w:color w:val="auto"/>
        </w:rPr>
      </w:pPr>
      <w:r>
        <w:rPr>
          <w:rFonts w:ascii="Arial" w:cs="Arial" w:eastAsia="Arial" w:hAnsi="Arial"/>
          <w:sz w:val="18"/>
          <w:szCs w:val="18"/>
          <w:color w:val="auto"/>
        </w:rPr>
        <w:t xml:space="preserve">recognizing credit losses on financial instruments based on an estimate of current expected credit losses model. The FASB subsequently issued </w:t>
      </w:r>
      <w:r>
        <w:rPr>
          <w:rFonts w:ascii="Arial" w:cs="Arial" w:eastAsia="Arial" w:hAnsi="Arial"/>
          <w:sz w:val="18"/>
          <w:szCs w:val="18"/>
          <w:i w:val="1"/>
          <w:iCs w:val="1"/>
          <w:color w:val="auto"/>
        </w:rPr>
        <w:t>ASU 2019-04,</w:t>
      </w:r>
      <w:r>
        <w:rPr>
          <w:rFonts w:ascii="Arial" w:cs="Arial" w:eastAsia="Arial" w:hAnsi="Arial"/>
          <w:sz w:val="18"/>
          <w:szCs w:val="18"/>
          <w:color w:val="auto"/>
        </w:rPr>
        <w:t xml:space="preserve"> to clarify and address certain items related to the amendments in Topic 326.</w:t>
      </w:r>
    </w:p>
    <w:p>
      <w:pPr>
        <w:spacing w:after="0" w:line="158"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ASU 2019-05, Financial Instruments - 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Transition Relief</w:t>
      </w:r>
      <w:r>
        <w:rPr>
          <w:rFonts w:ascii="Arial" w:cs="Arial" w:eastAsia="Arial" w:hAnsi="Arial"/>
          <w:sz w:val="18"/>
          <w:szCs w:val="18"/>
          <w:color w:val="auto"/>
        </w:rPr>
        <w:t>, was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entities that have certain instruments within the scope of ASC 326 with an option to irrevocably elect 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w:t>
      </w:r>
      <w:r>
        <w:rPr>
          <w:rFonts w:ascii="Arial" w:cs="Arial" w:eastAsia="Arial" w:hAnsi="Arial"/>
          <w:sz w:val="16"/>
          <w:szCs w:val="16"/>
          <w:color w:val="auto"/>
        </w:rPr>
        <w:t>.</w:t>
      </w:r>
      <w:r>
        <w:rPr>
          <w:rFonts w:ascii="Arial" w:cs="Arial" w:eastAsia="Arial" w:hAnsi="Arial"/>
          <w:sz w:val="18"/>
          <w:szCs w:val="18"/>
          <w:color w:val="auto"/>
        </w:rPr>
        <w:t xml:space="preserve"> ASU 2019-10, Topic 326, Topic 815, and Topic 842 amends the mandatory effective date for Topic 326.</w:t>
      </w:r>
    </w:p>
    <w:p>
      <w:pPr>
        <w:spacing w:after="0" w:line="16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These ASUs are effective for fiscal years beginning after December 15, 2022 for entities that are eligible to be defined by the SEC as a smaller reporting company. The Company is a smaller reporting company. Although the impact upon adoption will depend on the financial instruments held by the Company at that time, the Company does not anticipate a significant impact on its financial statements based on the instruments currently held and its historical trend of bad debt expense relating to trade accounts receivable.</w:t>
      </w:r>
    </w:p>
    <w:p>
      <w:pPr>
        <w:spacing w:after="0" w:line="189"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Other than the items noted above, there have been no new accounting pronouncements not yet effective or adopted in the current year that we believe have a significant impact, or potential significant impact, to our unaudited interim financial statements.</w:t>
      </w:r>
    </w:p>
    <w:p>
      <w:pPr>
        <w:spacing w:after="0" w:line="154"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19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carrying values of cash equivalents, accounts receivable, prepaids and other current assets, and accounts payable on the Company’s balance sheets approximated their fair values as of September 30, 2021 and December 31, 2020 due to their short-term nature. The carrying values of the Company’s credit facility approximated its fair value as of September 30, 2021 and December 31, 2020 due to its variable interest rate. The carrying value of the Company’s note receivable approximated its fair value as of September 30, 2021 due to its variable interest rate.</w:t>
      </w:r>
    </w:p>
    <w:p>
      <w:pPr>
        <w:spacing w:after="0" w:line="178"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:Inputs are quoted prices for identical instruments in active markets.</w:t>
      </w:r>
    </w:p>
    <w:p>
      <w:pPr>
        <w:spacing w:after="0" w:line="171" w:lineRule="exact"/>
        <w:rPr>
          <w:sz w:val="20"/>
          <w:szCs w:val="20"/>
          <w:color w:val="auto"/>
        </w:rPr>
      </w:pPr>
    </w:p>
    <w:p>
      <w:pPr>
        <w:jc w:val="both"/>
        <w:ind w:left="700" w:right="179" w:hanging="647"/>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162" w:lineRule="exact"/>
        <w:rPr>
          <w:sz w:val="20"/>
          <w:szCs w:val="20"/>
          <w:color w:val="auto"/>
        </w:rPr>
      </w:pPr>
    </w:p>
    <w:p>
      <w:pPr>
        <w:ind w:left="700" w:right="339" w:hanging="647"/>
        <w:spacing w:after="0" w:line="246"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:Inputs are unobservable and reflect the Company’s own assumptions, based on the best information available, including the Company’s own data</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carrying amounts and fair values of the Company’s financial instruments as of</w:t>
      </w:r>
    </w:p>
    <w:p>
      <w:pPr>
        <w:ind w:left="60"/>
        <w:spacing w:after="0"/>
        <w:rPr>
          <w:sz w:val="20"/>
          <w:szCs w:val="20"/>
          <w:color w:val="auto"/>
        </w:rPr>
      </w:pPr>
      <w:r>
        <w:rPr>
          <w:rFonts w:ascii="Arial" w:cs="Arial" w:eastAsia="Arial" w:hAnsi="Arial"/>
          <w:sz w:val="18"/>
          <w:szCs w:val="18"/>
          <w:color w:val="auto"/>
        </w:rPr>
        <w:t>September 30, 2021 and December 31, 2020 (in thousands):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September 30, 2021</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9"/>
          </w:tcPr>
          <w:p>
            <w:pPr>
              <w:ind w:left="26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Quoted</w:t>
            </w:r>
          </w:p>
        </w:tc>
        <w:tc>
          <w:tcPr>
            <w:tcW w:w="180" w:type="dxa"/>
            <w:vAlign w:val="bottom"/>
          </w:tcPr>
          <w:p>
            <w:pPr>
              <w:spacing w:after="0"/>
              <w:rPr>
                <w:sz w:val="12"/>
                <w:szCs w:val="12"/>
                <w:color w:val="auto"/>
              </w:rPr>
            </w:pPr>
          </w:p>
        </w:tc>
        <w:tc>
          <w:tcPr>
            <w:tcW w:w="860" w:type="dxa"/>
            <w:vAlign w:val="bottom"/>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Prices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Active</w:t>
            </w:r>
          </w:p>
        </w:tc>
        <w:tc>
          <w:tcPr>
            <w:tcW w:w="18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2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42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96,231</w:t>
            </w:r>
          </w:p>
        </w:tc>
        <w:tc>
          <w:tcPr>
            <w:tcW w:w="20" w:type="dxa"/>
            <w:vAlign w:val="bottom"/>
          </w:tcPr>
          <w:p>
            <w:pPr>
              <w:spacing w:after="0"/>
              <w:rPr>
                <w:sz w:val="17"/>
                <w:szCs w:val="17"/>
                <w:color w:val="auto"/>
              </w:rPr>
            </w:pPr>
          </w:p>
        </w:tc>
        <w:tc>
          <w:tcPr>
            <w:tcW w:w="340" w:type="dxa"/>
            <w:vAlign w:val="bottom"/>
            <w:gridSpan w:val="2"/>
          </w:tcPr>
          <w:p>
            <w:pPr>
              <w:jc w:val="right"/>
              <w:ind w:right="8"/>
              <w:spacing w:after="0" w:line="204"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96,231</w:t>
            </w:r>
          </w:p>
        </w:tc>
        <w:tc>
          <w:tcPr>
            <w:tcW w:w="30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96,231</w:t>
            </w:r>
          </w:p>
        </w:tc>
        <w:tc>
          <w:tcPr>
            <w:tcW w:w="20" w:type="dxa"/>
            <w:vAlign w:val="bottom"/>
          </w:tcPr>
          <w:p>
            <w:pPr>
              <w:spacing w:after="0"/>
              <w:rPr>
                <w:sz w:val="17"/>
                <w:szCs w:val="17"/>
                <w:color w:val="auto"/>
              </w:rPr>
            </w:pPr>
          </w:p>
        </w:tc>
        <w:tc>
          <w:tcPr>
            <w:tcW w:w="3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480"/>
              <w:spacing w:after="0" w:line="204"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88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2020</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9"/>
          </w:tcPr>
          <w:p>
            <w:pPr>
              <w:ind w:left="26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Quoted</w:t>
            </w:r>
          </w:p>
        </w:tc>
        <w:tc>
          <w:tcPr>
            <w:tcW w:w="180" w:type="dxa"/>
            <w:vAlign w:val="bottom"/>
          </w:tcPr>
          <w:p>
            <w:pPr>
              <w:spacing w:after="0"/>
              <w:rPr>
                <w:sz w:val="12"/>
                <w:szCs w:val="12"/>
                <w:color w:val="auto"/>
              </w:rPr>
            </w:pPr>
          </w:p>
        </w:tc>
        <w:tc>
          <w:tcPr>
            <w:tcW w:w="860" w:type="dxa"/>
            <w:vAlign w:val="bottom"/>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Prices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Active</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2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42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2"/>
              <w:spacing w:after="0" w:line="204" w:lineRule="exact"/>
              <w:rPr>
                <w:sz w:val="20"/>
                <w:szCs w:val="20"/>
                <w:color w:val="auto"/>
              </w:rPr>
            </w:pPr>
            <w:r>
              <w:rPr>
                <w:rFonts w:ascii="Arial" w:cs="Arial" w:eastAsia="Arial" w:hAnsi="Arial"/>
                <w:sz w:val="18"/>
                <w:szCs w:val="18"/>
                <w:color w:val="auto"/>
              </w:rPr>
              <w:t>47,117</w:t>
            </w:r>
          </w:p>
        </w:tc>
        <w:tc>
          <w:tcPr>
            <w:tcW w:w="20" w:type="dxa"/>
            <w:vAlign w:val="bottom"/>
          </w:tcPr>
          <w:p>
            <w:pPr>
              <w:spacing w:after="0"/>
              <w:rPr>
                <w:sz w:val="17"/>
                <w:szCs w:val="17"/>
                <w:color w:val="auto"/>
              </w:rPr>
            </w:pPr>
          </w:p>
        </w:tc>
        <w:tc>
          <w:tcPr>
            <w:tcW w:w="340" w:type="dxa"/>
            <w:vAlign w:val="bottom"/>
            <w:gridSpan w:val="2"/>
          </w:tcPr>
          <w:p>
            <w:pPr>
              <w:jc w:val="right"/>
              <w:ind w:right="8"/>
              <w:spacing w:after="0" w:line="204"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47,117</w:t>
            </w:r>
          </w:p>
        </w:tc>
        <w:tc>
          <w:tcPr>
            <w:tcW w:w="30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
              <w:spacing w:after="0" w:line="204" w:lineRule="exact"/>
              <w:rPr>
                <w:sz w:val="20"/>
                <w:szCs w:val="20"/>
                <w:color w:val="auto"/>
              </w:rPr>
            </w:pPr>
            <w:r>
              <w:rPr>
                <w:rFonts w:ascii="Arial" w:cs="Arial" w:eastAsia="Arial" w:hAnsi="Arial"/>
                <w:sz w:val="18"/>
                <w:szCs w:val="18"/>
                <w:color w:val="auto"/>
              </w:rPr>
              <w:t>47,117</w:t>
            </w:r>
          </w:p>
        </w:tc>
        <w:tc>
          <w:tcPr>
            <w:tcW w:w="20" w:type="dxa"/>
            <w:vAlign w:val="bottom"/>
          </w:tcPr>
          <w:p>
            <w:pPr>
              <w:spacing w:after="0"/>
              <w:rPr>
                <w:sz w:val="17"/>
                <w:szCs w:val="17"/>
                <w:color w:val="auto"/>
              </w:rPr>
            </w:pPr>
          </w:p>
        </w:tc>
        <w:tc>
          <w:tcPr>
            <w:tcW w:w="3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480"/>
              <w:spacing w:after="0" w:line="204"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88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40" w:hanging="390"/>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accounts receivable, net as of September 30, 2021 and</w:t>
      </w:r>
    </w:p>
    <w:p>
      <w:pPr>
        <w:ind w:left="60"/>
        <w:spacing w:after="0"/>
        <w:rPr>
          <w:sz w:val="20"/>
          <w:szCs w:val="20"/>
          <w:color w:val="auto"/>
        </w:rPr>
      </w:pPr>
      <w:r>
        <w:rPr>
          <w:rFonts w:ascii="Arial" w:cs="Arial" w:eastAsia="Arial" w:hAnsi="Arial"/>
          <w:sz w:val="18"/>
          <w:szCs w:val="18"/>
          <w:color w:val="auto"/>
        </w:rPr>
        <w:t>December 31, 2020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960" w:type="dxa"/>
            <w:vAlign w:val="bottom"/>
            <w:gridSpan w:val="3"/>
          </w:tcPr>
          <w:p>
            <w:pPr>
              <w:ind w:left="92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accounts receivable - trade</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8,907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8,178</w:t>
            </w:r>
          </w:p>
        </w:tc>
        <w:tc>
          <w:tcPr>
            <w:tcW w:w="20" w:type="dxa"/>
            <w:vAlign w:val="bottom"/>
            <w:shd w:val="clear" w:color="auto" w:fill="CCEEFF"/>
          </w:tcPr>
          <w:p>
            <w:pPr>
              <w:spacing w:after="0"/>
              <w:rPr>
                <w:sz w:val="17"/>
                <w:szCs w:val="17"/>
                <w:color w:val="auto"/>
              </w:rPr>
            </w:pPr>
          </w:p>
        </w:tc>
      </w:tr>
      <w:tr>
        <w:trPr>
          <w:trHeight w:val="203"/>
        </w:trPr>
        <w:tc>
          <w:tcPr>
            <w:tcW w:w="4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Allowances for doubtful accounts</w:t>
            </w:r>
          </w:p>
        </w:tc>
        <w:tc>
          <w:tcPr>
            <w:tcW w:w="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(1,012)</w:t>
            </w:r>
          </w:p>
        </w:tc>
        <w:tc>
          <w:tcPr>
            <w:tcW w:w="20" w:type="dxa"/>
            <w:vAlign w:val="bottom"/>
            <w:tcBorders>
              <w:bottom w:val="single" w:sz="8" w:color="CCEEFF"/>
            </w:tcBorders>
          </w:tcPr>
          <w:p>
            <w:pPr>
              <w:spacing w:after="0"/>
              <w:rPr>
                <w:sz w:val="17"/>
                <w:szCs w:val="17"/>
                <w:color w:val="auto"/>
              </w:rPr>
            </w:pPr>
          </w:p>
        </w:tc>
      </w:tr>
      <w:tr>
        <w:trPr>
          <w:trHeight w:val="196"/>
        </w:trPr>
        <w:tc>
          <w:tcPr>
            <w:tcW w:w="40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Accounts receivable, net</w:t>
            </w: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7,749</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7,166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property and equipment, net as of September 30, 2021 and</w:t>
      </w:r>
    </w:p>
    <w:p>
      <w:pPr>
        <w:ind w:left="60"/>
        <w:spacing w:after="0"/>
        <w:rPr>
          <w:sz w:val="20"/>
          <w:szCs w:val="20"/>
          <w:color w:val="auto"/>
        </w:rPr>
      </w:pPr>
      <w:r>
        <w:rPr>
          <w:rFonts w:ascii="Arial" w:cs="Arial" w:eastAsia="Arial" w:hAnsi="Arial"/>
          <w:sz w:val="18"/>
          <w:szCs w:val="18"/>
          <w:color w:val="auto"/>
        </w:rPr>
        <w:t>December 31, 2020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2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Manufacturing equipment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7"/>
                <w:szCs w:val="17"/>
                <w:color w:val="auto"/>
              </w:rPr>
            </w:pPr>
          </w:p>
        </w:tc>
      </w:tr>
      <w:tr>
        <w:trPr>
          <w:trHeight w:val="203"/>
        </w:trPr>
        <w:tc>
          <w:tcPr>
            <w:tcW w:w="63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Rental equipment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405</w:t>
            </w:r>
          </w:p>
        </w:tc>
        <w:tc>
          <w:tcPr>
            <w:tcW w:w="20" w:type="dxa"/>
            <w:vAlign w:val="bottom"/>
            <w:tcBorders>
              <w:bottom w:val="single" w:sz="8" w:color="CCEEFF"/>
            </w:tcBorders>
          </w:tcPr>
          <w:p>
            <w:pPr>
              <w:spacing w:after="0"/>
              <w:rPr>
                <w:sz w:val="17"/>
                <w:szCs w:val="17"/>
                <w:color w:val="auto"/>
              </w:rPr>
            </w:pPr>
          </w:p>
        </w:tc>
      </w:tr>
      <w:tr>
        <w:trPr>
          <w:trHeight w:val="196"/>
        </w:trPr>
        <w:tc>
          <w:tcPr>
            <w:tcW w:w="63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gross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3,134</w:t>
            </w:r>
          </w:p>
        </w:tc>
        <w:tc>
          <w:tcPr>
            <w:tcW w:w="20" w:type="dxa"/>
            <w:vAlign w:val="bottom"/>
            <w:shd w:val="clear" w:color="auto" w:fill="CCEEFF"/>
          </w:tcPr>
          <w:p>
            <w:pPr>
              <w:spacing w:after="0"/>
              <w:rPr>
                <w:sz w:val="17"/>
                <w:szCs w:val="17"/>
                <w:color w:val="auto"/>
              </w:rPr>
            </w:pPr>
          </w:p>
        </w:tc>
      </w:tr>
      <w:tr>
        <w:trPr>
          <w:trHeight w:val="203"/>
        </w:trPr>
        <w:tc>
          <w:tcPr>
            <w:tcW w:w="636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(2,512)</w:t>
            </w:r>
          </w:p>
        </w:tc>
        <w:tc>
          <w:tcPr>
            <w:tcW w:w="14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(2,404)</w:t>
            </w:r>
          </w:p>
        </w:tc>
      </w:tr>
      <w:tr>
        <w:trPr>
          <w:trHeight w:val="196"/>
        </w:trPr>
        <w:tc>
          <w:tcPr>
            <w:tcW w:w="63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As of September 30, 2021 and December 31, 2020, the Company had capitalized software costs, net of $2.0 million and $1.2 million, respectively, which are included in “Prepaid expenses and other current assets” and “Other assets” on the balance sheet.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was $0.2 million and $0.2 million for the three months ended</w:t>
      </w:r>
    </w:p>
    <w:p>
      <w:pPr>
        <w:ind w:left="60"/>
        <w:spacing w:after="0" w:line="234" w:lineRule="auto"/>
        <w:rPr>
          <w:sz w:val="20"/>
          <w:szCs w:val="20"/>
          <w:color w:val="auto"/>
        </w:rPr>
      </w:pPr>
      <w:r>
        <w:rPr>
          <w:rFonts w:ascii="Arial" w:cs="Arial" w:eastAsia="Arial" w:hAnsi="Arial"/>
          <w:sz w:val="18"/>
          <w:szCs w:val="18"/>
          <w:color w:val="auto"/>
        </w:rPr>
        <w:t>September 30, 2021 and 2020, respectively, and $0.8 million and $0.7 million for the nine months ended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respecitvely.</w:t>
      </w:r>
    </w:p>
    <w:p>
      <w:pPr>
        <w:spacing w:after="0" w:line="176" w:lineRule="exact"/>
        <w:rPr>
          <w:sz w:val="20"/>
          <w:szCs w:val="20"/>
          <w:color w:val="auto"/>
        </w:rPr>
      </w:pPr>
    </w:p>
    <w:p>
      <w:pPr>
        <w:ind w:left="460" w:hanging="41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 RECEIVABLE</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29, 2021, Neuronetics, Inc. the Company entered into an exclusive, five-year master sales agreement (the “Commercial Agreement”) with Check Five, LLC d/b/a Success TMS (“Success TMS”). In connection with the Commercial Agreement, the Company agreed to loan Success TMS the principal amount of $10.0 million for a period of five years pursuant to a secured promissory note (the “Note”). The Note will bear interest at a floating rate equal to the prime rate plus 6.00% per annum. The Note includes an interest-only period through October 1, 2022, after which time Success TMS will be required to make monthly payments of principal and interest. The interest-only period can be extended by the Company to October 1, 2023 upon satisfaction of certain conditions by Success TMS after which time Success TMS will be required to make payments of principal and interest. Under the terms of the Note, the Company has received a first priority security interest in substantially all of the assets of Success TMS. Success TMS has also granted the Company an observer seat on the Board of Managers of Success TMS.</w:t>
      </w:r>
    </w:p>
    <w:p>
      <w:pPr>
        <w:spacing w:after="0" w:line="16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the Note, Success TMS has made certain representations and warranties and is required to comply with certain customary affirmative and negative covenants during the term of the Note. The Note contains events of default, including, without limitation: (i) failure to make payment pursuant to the terms of the Note; (ii) violation of covenants; (iii) breach of any representation or warranty; (iv) breach or default under the Commercial Agreement; (v) material adverse changes to Success TMS’s business; (vi) any impairment of the Company’s security interest in collateral; (vii) attachment or levy on Success TMS’s assets or judicial restraint on its business; (viii) commencement of insolvency proceedings; (ix) material cross-defaults; (x) significant judgments, orders or awards for payment against Success TMS; (xi) a change of control of Success TMS; and (xii) the invalidity or unenforceability of the Note or the Commercial Agreement. The owner of Success TMS, 6214 Riverwalk LLC, has provided a limited guarantee and pledge of its equity in Success TMS in connection with the Note.</w:t>
      </w:r>
    </w:p>
    <w:p>
      <w:pPr>
        <w:spacing w:after="0" w:line="164"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As of September 30, 2021, Success TMS has represented to the Company that Success TMS is in compliance with all covenants of the Note.</w:t>
      </w:r>
    </w:p>
    <w:p>
      <w:pPr>
        <w:spacing w:after="0" w:line="148"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has operating leases for its corporate headquarters and office equipment, including copiers. The Company leases an approximately 32,000 square foot facility in Malvern, Pennsylvania for its corporate headquarters, which includes office and warehouse space. The Company does not currently have any finance leases or executed leases that have not yet commenced.</w:t>
      </w:r>
    </w:p>
    <w:p>
      <w:pPr>
        <w:spacing w:after="0" w:line="17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Operating lease rent expense was $0.2 million and $0.2 million for the three months ended September 30, 2021 and 2020, respectively, and $0.4 million and $0.5 million for the nine months ended September 30, 2021 and 2020, respectively. As of September 30, 2021, the weighted-average remaining lease term of operating leases was 6.4 years and the weighted-average discount rate was 6.5%.</w:t>
      </w:r>
    </w:p>
    <w:p>
      <w:pPr>
        <w:spacing w:after="0" w:line="164" w:lineRule="exact"/>
        <w:rPr>
          <w:sz w:val="20"/>
          <w:szCs w:val="20"/>
          <w:color w:val="auto"/>
        </w:rPr>
      </w:pPr>
    </w:p>
    <w:p>
      <w:pPr>
        <w:jc w:val="both"/>
        <w:ind w:left="60" w:right="519"/>
        <w:spacing w:after="0" w:line="238" w:lineRule="auto"/>
        <w:rPr>
          <w:sz w:val="20"/>
          <w:szCs w:val="20"/>
          <w:color w:val="auto"/>
        </w:rPr>
      </w:pPr>
      <w:r>
        <w:rPr>
          <w:rFonts w:ascii="Arial" w:cs="Arial" w:eastAsia="Arial" w:hAnsi="Arial"/>
          <w:sz w:val="18"/>
          <w:szCs w:val="18"/>
          <w:color w:val="auto"/>
        </w:rPr>
        <w:t>In the first quarter of 2020, the Company received a reimbursement of $0.8 million for leasehold expenses previously incurred in connection with the lease agreement for its Malvern facility. The reimbursement was recorded as an offset to the non-current lease liability that was established when the lease agreement was executed.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979"/>
        <w:spacing w:after="0" w:line="246" w:lineRule="auto"/>
        <w:rPr>
          <w:sz w:val="20"/>
          <w:szCs w:val="20"/>
          <w:color w:val="auto"/>
        </w:rPr>
      </w:pPr>
      <w:r>
        <w:rPr>
          <w:rFonts w:ascii="Arial" w:cs="Arial" w:eastAsia="Arial" w:hAnsi="Arial"/>
          <w:sz w:val="18"/>
          <w:szCs w:val="18"/>
          <w:color w:val="auto"/>
        </w:rPr>
        <w:t>The following table presents the supplemental cash flow information as a lessee related to leases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2020</w:t>
            </w:r>
          </w:p>
        </w:tc>
        <w:tc>
          <w:tcPr>
            <w:tcW w:w="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78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r>
    </w:tbl>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0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1,487</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4,225</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Less imputed interest</w:t>
            </w:r>
          </w:p>
        </w:tc>
        <w:tc>
          <w:tcPr>
            <w:tcW w:w="10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(787)</w:t>
            </w: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3,438</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sales-type leases:</w:t>
      </w:r>
    </w:p>
    <w:p>
      <w:pPr>
        <w:spacing w:after="0" w:line="20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Certain customers have purchased NeuroStar Advanced Therapy Systems on a rent-to-own basis. The lease term is three or four years with a customer option to purchase the NeuroStar Advanced Therapy System at the end of the lease or automatic transfer of ownership of the NeuroStar Advanced Therapy System at the end of the lease.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26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8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8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Profit recognized at commencement, net</w:t>
            </w:r>
          </w:p>
        </w:tc>
        <w:tc>
          <w:tcPr>
            <w:tcW w:w="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262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807</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7"/>
                <w:szCs w:val="17"/>
                <w:color w:val="auto"/>
              </w:rPr>
            </w:pPr>
          </w:p>
        </w:tc>
        <w:tc>
          <w:tcPr>
            <w:tcW w:w="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8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sales-type lease income</w:t>
            </w:r>
          </w:p>
        </w:tc>
        <w:tc>
          <w:tcPr>
            <w:tcW w:w="7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262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807</w:t>
            </w:r>
          </w:p>
        </w:tc>
      </w:tr>
      <w:tr>
        <w:trPr>
          <w:trHeight w:val="20"/>
        </w:trPr>
        <w:tc>
          <w:tcPr>
            <w:tcW w:w="3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20" w:type="dxa"/>
            <w:vAlign w:val="bottom"/>
          </w:tcPr>
          <w:p>
            <w:pPr>
              <w:spacing w:after="0"/>
              <w:rPr>
                <w:sz w:val="15"/>
                <w:szCs w:val="15"/>
                <w:color w:val="auto"/>
              </w:rPr>
            </w:pPr>
          </w:p>
        </w:tc>
        <w:tc>
          <w:tcPr>
            <w:tcW w:w="5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w:t>
            </w: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2,001</w:t>
            </w: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998</w:t>
            </w:r>
          </w:p>
        </w:tc>
      </w:tr>
      <w:tr>
        <w:trPr>
          <w:trHeight w:val="203"/>
        </w:trPr>
        <w:tc>
          <w:tcPr>
            <w:tcW w:w="2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196"/>
        </w:trPr>
        <w:tc>
          <w:tcPr>
            <w:tcW w:w="20" w:type="dxa"/>
            <w:vAlign w:val="bottom"/>
          </w:tcPr>
          <w:p>
            <w:pPr>
              <w:spacing w:after="0"/>
              <w:rPr>
                <w:sz w:val="17"/>
                <w:szCs w:val="17"/>
                <w:color w:val="auto"/>
              </w:rPr>
            </w:pPr>
          </w:p>
        </w:tc>
        <w:tc>
          <w:tcPr>
            <w:tcW w:w="5660" w:type="dxa"/>
            <w:vAlign w:val="bottom"/>
          </w:tcPr>
          <w:p>
            <w:pPr>
              <w:ind w:left="100"/>
              <w:spacing w:after="0" w:line="196" w:lineRule="exact"/>
              <w:rPr>
                <w:sz w:val="20"/>
                <w:szCs w:val="20"/>
                <w:color w:val="auto"/>
              </w:rPr>
            </w:pPr>
            <w:r>
              <w:rPr>
                <w:rFonts w:ascii="Arial" w:cs="Arial" w:eastAsia="Arial" w:hAnsi="Arial"/>
                <w:sz w:val="18"/>
                <w:szCs w:val="18"/>
                <w:color w:val="auto"/>
              </w:rPr>
              <w:t>Total sales-type lease receivables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3,877</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As of September 30, 2021, the carrying amount of the lease receivables is $3.9 million. The Company does not have any unguaranteed residual assets.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operating leases:</w:t>
      </w:r>
    </w:p>
    <w:p>
      <w:pPr>
        <w:spacing w:after="0" w:line="203"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NeuroStar Advanced Therapy Systems sold on a rent-to-own basis prior to January 1, 2019 are accounted for as operating leases. NeuroStar Advanced Therapy Systems sold subsequent to January 1, 2019 for which collection is not probable are also accounted for as operating leases. For the three months ended September 30, 2021 and 2020, the Company recognized operating lease income of $0.03 million and $0.1 million, respectively. For the nine months ended September 30, 2021 and 2020, the Company recognized operating lease income of $0.2 million and $0.2 million, respectively.</w:t>
      </w:r>
    </w:p>
    <w:p>
      <w:pPr>
        <w:spacing w:after="0" w:line="164"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The following table sets forth a maturity analysis of its undiscounted lease receivables related to operating leases as of September 30, 2021 (in thousands):</w:t>
      </w:r>
    </w:p>
    <w:p>
      <w:pPr>
        <w:spacing w:after="0" w:line="171"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39"/>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20" w:type="dxa"/>
            <w:vAlign w:val="bottom"/>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020" w:type="dxa"/>
            <w:vAlign w:val="bottom"/>
            <w:gridSpan w:val="2"/>
          </w:tcPr>
          <w:p>
            <w:pPr>
              <w:spacing w:after="0" w:line="196" w:lineRule="exact"/>
              <w:rPr>
                <w:sz w:val="20"/>
                <w:szCs w:val="20"/>
                <w:color w:val="auto"/>
              </w:rPr>
            </w:pPr>
            <w:r>
              <w:rPr>
                <w:rFonts w:ascii="Arial" w:cs="Arial" w:eastAsia="Arial" w:hAnsi="Arial"/>
                <w:sz w:val="18"/>
                <w:szCs w:val="18"/>
                <w:color w:val="auto"/>
              </w:rPr>
              <w:t>Total lease receivables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maintained Rental Equipment, net of $ 0.3 million and $ 0.2 million as of September 30, 2021 and December 31, 2020, respectively, which are included in “Property and equipment, net” on the balance sheet. Rental equipment depreciation expense was $0.01 million and $0.02 million for the three months ended September 30, 2021 and 2020, respectively, and $0.03 million and $0.1 million for the nine months ended September 30, 2021 and 2020.</w:t>
      </w:r>
    </w:p>
    <w:p>
      <w:pPr>
        <w:spacing w:after="0" w:line="153" w:lineRule="exact"/>
        <w:rPr>
          <w:sz w:val="20"/>
          <w:szCs w:val="20"/>
          <w:color w:val="auto"/>
        </w:rPr>
      </w:pPr>
    </w:p>
    <w:p>
      <w:pPr>
        <w:ind w:left="560" w:hanging="510"/>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19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pays a commission on both NeuroStar Advanced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w:t>
      </w:r>
    </w:p>
    <w:p>
      <w:pPr>
        <w:spacing w:after="0" w:line="162" w:lineRule="exact"/>
        <w:rPr>
          <w:sz w:val="20"/>
          <w:szCs w:val="20"/>
          <w:color w:val="auto"/>
        </w:rPr>
      </w:pPr>
    </w:p>
    <w:p>
      <w:pPr>
        <w:ind w:left="60" w:right="259"/>
        <w:spacing w:after="0" w:line="234" w:lineRule="auto"/>
        <w:rPr>
          <w:sz w:val="20"/>
          <w:szCs w:val="20"/>
          <w:color w:val="auto"/>
        </w:rPr>
      </w:pPr>
      <w:r>
        <w:rPr>
          <w:rFonts w:ascii="Arial" w:cs="Arial" w:eastAsia="Arial" w:hAnsi="Arial"/>
          <w:sz w:val="18"/>
          <w:szCs w:val="18"/>
          <w:color w:val="auto"/>
        </w:rPr>
        <w:t>On the Company’s balance sheets, the current portion of capitalized contract costs is represented by the current portion of prepaid commission expense, while the long-term portion is included in prepaid commission expense. Amortization expense was $0.3 million and $0.2 million for the three months ended</w:t>
      </w:r>
    </w:p>
    <w:p>
      <w:pPr>
        <w:spacing w:after="0" w:line="2"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September 30, 2021 and 2020, respectively, and $0.9 million and $0.6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540" w:hanging="490"/>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accrued expenses as of September 30, 2021 and</w:t>
      </w:r>
    </w:p>
    <w:p>
      <w:pPr>
        <w:ind w:left="60"/>
        <w:spacing w:after="0"/>
        <w:rPr>
          <w:sz w:val="20"/>
          <w:szCs w:val="20"/>
          <w:color w:val="auto"/>
        </w:rPr>
      </w:pPr>
      <w:r>
        <w:rPr>
          <w:rFonts w:ascii="Arial" w:cs="Arial" w:eastAsia="Arial" w:hAnsi="Arial"/>
          <w:sz w:val="18"/>
          <w:szCs w:val="18"/>
          <w:color w:val="auto"/>
        </w:rPr>
        <w:t>December 31, 2020 (in thousands):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related benefits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4,035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5,023</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Consulting and professional fees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Warranty</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Sales and other taxes payable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726</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r>
      <w:tr>
        <w:trPr>
          <w:trHeight w:val="196"/>
        </w:trPr>
        <w:tc>
          <w:tcPr>
            <w:tcW w:w="4000" w:type="dxa"/>
            <w:vAlign w:val="bottom"/>
          </w:tcPr>
          <w:p>
            <w:pPr>
              <w:ind w:left="100"/>
              <w:spacing w:after="0" w:line="196" w:lineRule="exact"/>
              <w:rPr>
                <w:sz w:val="20"/>
                <w:szCs w:val="20"/>
                <w:color w:val="auto"/>
              </w:rPr>
            </w:pPr>
            <w:r>
              <w:rPr>
                <w:rFonts w:ascii="Arial" w:cs="Arial" w:eastAsia="Arial" w:hAnsi="Arial"/>
                <w:sz w:val="18"/>
                <w:szCs w:val="18"/>
                <w:color w:val="auto"/>
              </w:rPr>
              <w:t>Accrued expenses</w:t>
            </w:r>
          </w:p>
        </w:tc>
        <w:tc>
          <w:tcPr>
            <w:tcW w:w="9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6,913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7,319</w:t>
            </w:r>
          </w:p>
        </w:tc>
      </w:tr>
      <w:tr>
        <w:trPr>
          <w:trHeight w:val="20"/>
        </w:trPr>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deferred revenue. For multi-year agreements, the Company generally invoices customers annually at the beginning of each annual coverage period and recognizes revenue over the term of the coverage period.</w:t>
      </w:r>
    </w:p>
    <w:p>
      <w:pPr>
        <w:spacing w:after="0" w:line="162"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As of September 30, 2021, the Company expects to recognize approximately the following percentages of deferred revenue by year:</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Revenue</w:t>
            </w:r>
          </w:p>
        </w:tc>
      </w:tr>
      <w:tr>
        <w:trPr>
          <w:trHeight w:val="175"/>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Recognition</w:t>
            </w:r>
          </w:p>
        </w:tc>
      </w:tr>
      <w:tr>
        <w:trPr>
          <w:trHeight w:val="196"/>
        </w:trPr>
        <w:tc>
          <w:tcPr>
            <w:tcW w:w="20" w:type="dxa"/>
            <w:vAlign w:val="bottom"/>
          </w:tcPr>
          <w:p>
            <w:pPr>
              <w:spacing w:after="0"/>
              <w:rPr>
                <w:sz w:val="17"/>
                <w:szCs w:val="17"/>
                <w:color w:val="auto"/>
              </w:rPr>
            </w:pPr>
          </w:p>
        </w:tc>
        <w:tc>
          <w:tcPr>
            <w:tcW w:w="5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3"/>
        </w:trPr>
        <w:tc>
          <w:tcPr>
            <w:tcW w:w="2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32 %</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r>
      <w:tr>
        <w:trPr>
          <w:trHeight w:val="203"/>
        </w:trPr>
        <w:tc>
          <w:tcPr>
            <w:tcW w:w="2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20 %</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6 %</w:t>
            </w:r>
          </w:p>
        </w:tc>
      </w:tr>
      <w:tr>
        <w:trPr>
          <w:trHeight w:val="202"/>
        </w:trPr>
        <w:tc>
          <w:tcPr>
            <w:tcW w:w="20" w:type="dxa"/>
            <w:vAlign w:val="bottom"/>
          </w:tcPr>
          <w:p>
            <w:pPr>
              <w:spacing w:after="0"/>
              <w:rPr>
                <w:sz w:val="17"/>
                <w:szCs w:val="17"/>
                <w:color w:val="auto"/>
              </w:rPr>
            </w:pPr>
          </w:p>
        </w:tc>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699" w:firstLine="12"/>
        <w:spacing w:after="0" w:line="238" w:lineRule="auto"/>
        <w:rPr>
          <w:sz w:val="20"/>
          <w:szCs w:val="20"/>
          <w:color w:val="auto"/>
        </w:rPr>
      </w:pPr>
      <w:r>
        <w:rPr>
          <w:rFonts w:ascii="Arial" w:cs="Arial" w:eastAsia="Arial" w:hAnsi="Arial"/>
          <w:sz w:val="18"/>
          <w:szCs w:val="18"/>
          <w:color w:val="auto"/>
        </w:rPr>
        <w:t>Revenue recognized for the three and nine months ended September 30, 2021 that was included in the contract liability balance at the beginning of the year was $0.3 million and $1.8 million, respectively, and primarily represented revenue earned from separately priced extended warranties, rent-to-own revenue, milestone revenue, and clinical training.</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Customers</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For the three months ended September 30, 2021 and 2020, one customer accounted for more than 10% of the Company’s revenues, respectively. For the nine months ended September 30, 2021 and 2020, one customer accounted for more than 10% of the Company’s revenues,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560" w:hanging="510"/>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07"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The following table presents the composition of debt as of September 30, 2021 and December 31, 2020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5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principal</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Accrued final payment fees</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discounts</w:t>
            </w:r>
          </w:p>
        </w:tc>
        <w:tc>
          <w:tcPr>
            <w:tcW w:w="14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(2,305)</w:t>
            </w:r>
          </w:p>
        </w:tc>
      </w:tr>
      <w:tr>
        <w:trPr>
          <w:trHeight w:val="196"/>
        </w:trPr>
        <w:tc>
          <w:tcPr>
            <w:tcW w:w="3580" w:type="dxa"/>
            <w:vAlign w:val="bottom"/>
          </w:tcPr>
          <w:p>
            <w:pPr>
              <w:ind w:left="100"/>
              <w:spacing w:after="0" w:line="196" w:lineRule="exact"/>
              <w:rPr>
                <w:sz w:val="20"/>
                <w:szCs w:val="20"/>
                <w:color w:val="auto"/>
              </w:rPr>
            </w:pPr>
            <w:r>
              <w:rPr>
                <w:rFonts w:ascii="Arial" w:cs="Arial" w:eastAsia="Arial" w:hAnsi="Arial"/>
                <w:sz w:val="18"/>
                <w:szCs w:val="18"/>
                <w:color w:val="auto"/>
              </w:rPr>
              <w:t>Total debt, net</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35,104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34,620</w:t>
            </w:r>
          </w:p>
        </w:tc>
      </w:tr>
      <w:tr>
        <w:trPr>
          <w:trHeight w:val="203"/>
        </w:trPr>
        <w:tc>
          <w:tcPr>
            <w:tcW w:w="3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current portion</w:t>
            </w:r>
          </w:p>
        </w:tc>
        <w:tc>
          <w:tcPr>
            <w:tcW w:w="14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(35,104)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580" w:type="dxa"/>
            <w:vAlign w:val="bottom"/>
          </w:tcPr>
          <w:p>
            <w:pPr>
              <w:ind w:left="100"/>
              <w:spacing w:after="0" w:line="196" w:lineRule="exact"/>
              <w:rPr>
                <w:sz w:val="20"/>
                <w:szCs w:val="20"/>
                <w:color w:val="auto"/>
              </w:rPr>
            </w:pPr>
            <w:r>
              <w:rPr>
                <w:rFonts w:ascii="Arial" w:cs="Arial" w:eastAsia="Arial" w:hAnsi="Arial"/>
                <w:sz w:val="18"/>
                <w:szCs w:val="18"/>
                <w:color w:val="auto"/>
              </w:rPr>
              <w:t>Long-term debt, net</w:t>
            </w:r>
          </w:p>
        </w:tc>
        <w:tc>
          <w:tcPr>
            <w:tcW w:w="140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34,620</w:t>
            </w:r>
          </w:p>
        </w:tc>
      </w:tr>
      <w:tr>
        <w:trPr>
          <w:trHeight w:val="20"/>
        </w:trPr>
        <w:tc>
          <w:tcPr>
            <w:tcW w:w="3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34" w:lineRule="auto"/>
        <w:rPr>
          <w:sz w:val="20"/>
          <w:szCs w:val="20"/>
          <w:color w:val="auto"/>
        </w:rPr>
      </w:pPr>
      <w:r>
        <w:rPr>
          <w:rFonts w:ascii="Arial" w:cs="Arial" w:eastAsia="Arial" w:hAnsi="Arial"/>
          <w:sz w:val="18"/>
          <w:szCs w:val="18"/>
          <w:color w:val="auto"/>
        </w:rPr>
        <w:t>For the three months ended September 30, 2021, the Company recognized interest expense of $1.0 million, of which $0.8 million was cash and $0.2 million was non-cash interest expense related to the amortization of deferred debt issuance costs and accrual of final payment fees. For the three months ended</w:t>
      </w:r>
    </w:p>
    <w:p>
      <w:pPr>
        <w:spacing w:after="0" w:line="2" w:lineRule="exact"/>
        <w:rPr>
          <w:sz w:val="20"/>
          <w:szCs w:val="20"/>
          <w:color w:val="auto"/>
        </w:rPr>
      </w:pPr>
    </w:p>
    <w:p>
      <w:pPr>
        <w:jc w:val="both"/>
        <w:ind w:left="60" w:right="159"/>
        <w:spacing w:after="0"/>
        <w:rPr>
          <w:sz w:val="20"/>
          <w:szCs w:val="20"/>
          <w:color w:val="auto"/>
        </w:rPr>
      </w:pPr>
      <w:r>
        <w:rPr>
          <w:rFonts w:ascii="Arial" w:cs="Arial" w:eastAsia="Arial" w:hAnsi="Arial"/>
          <w:sz w:val="18"/>
          <w:szCs w:val="18"/>
          <w:color w:val="auto"/>
        </w:rPr>
        <w:t>September 30, 2020, the Company recognized interest expense of $1.0 million, of which $0.8 million was cash paid for interest during the period and $0.2 million was non-cash interest expense related to the amortization of deferred debt issuance costs and accrual of final payment fees.</w:t>
      </w:r>
    </w:p>
    <w:p>
      <w:pPr>
        <w:spacing w:after="0" w:line="162" w:lineRule="exact"/>
        <w:rPr>
          <w:sz w:val="20"/>
          <w:szCs w:val="20"/>
          <w:color w:val="auto"/>
        </w:rPr>
      </w:pPr>
    </w:p>
    <w:p>
      <w:pPr>
        <w:ind w:left="60" w:right="259"/>
        <w:spacing w:after="0" w:line="234" w:lineRule="auto"/>
        <w:rPr>
          <w:sz w:val="20"/>
          <w:szCs w:val="20"/>
          <w:color w:val="auto"/>
        </w:rPr>
      </w:pPr>
      <w:r>
        <w:rPr>
          <w:rFonts w:ascii="Arial" w:cs="Arial" w:eastAsia="Arial" w:hAnsi="Arial"/>
          <w:sz w:val="18"/>
          <w:szCs w:val="18"/>
          <w:color w:val="auto"/>
        </w:rPr>
        <w:t>For the nine months ended September 30, 2021, the Company recognized interest expense of $3.0 million, of which $2.5 million was cash and $0.5 million was non-cash interest expense related to the amortization of deferred debt issuance costs and accrual of final payment fees. For the nine months ended</w:t>
      </w:r>
    </w:p>
    <w:p>
      <w:pPr>
        <w:spacing w:after="0" w:line="2" w:lineRule="exact"/>
        <w:rPr>
          <w:sz w:val="20"/>
          <w:szCs w:val="20"/>
          <w:color w:val="auto"/>
        </w:rPr>
      </w:pPr>
    </w:p>
    <w:p>
      <w:pPr>
        <w:jc w:val="both"/>
        <w:ind w:left="60" w:right="159"/>
        <w:spacing w:after="0"/>
        <w:rPr>
          <w:sz w:val="20"/>
          <w:szCs w:val="20"/>
          <w:color w:val="auto"/>
        </w:rPr>
      </w:pPr>
      <w:r>
        <w:rPr>
          <w:rFonts w:ascii="Arial" w:cs="Arial" w:eastAsia="Arial" w:hAnsi="Arial"/>
          <w:sz w:val="18"/>
          <w:szCs w:val="18"/>
          <w:color w:val="auto"/>
        </w:rPr>
        <w:t>September 30, 2020, the Company recognized interest expense of $3.5 million, of which $3.1 million was cash paid for interest during the period and $0.4 million was non-cash interest expense related to the amortization of deferred debt issuance costs and accrual of final payment fees.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20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64"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The Solar Facility permits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w:t>
      </w:r>
    </w:p>
    <w:p>
      <w:pPr>
        <w:spacing w:after="0" w:line="3" w:lineRule="exact"/>
        <w:rPr>
          <w:sz w:val="20"/>
          <w:szCs w:val="20"/>
          <w:color w:val="auto"/>
        </w:rPr>
      </w:pPr>
    </w:p>
    <w:p>
      <w:pPr>
        <w:ind w:left="60" w:right="639" w:hanging="10"/>
        <w:spacing w:after="0" w:line="261" w:lineRule="auto"/>
        <w:tabs>
          <w:tab w:leader="none" w:pos="3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December 15, 2021, (b) 30 days following achievement of the net product revenue condition or (c) the occurrence of an event of default.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w:t>
      </w:r>
    </w:p>
    <w:p>
      <w:pPr>
        <w:spacing w:after="0" w:line="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59"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56"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w:t>
      </w:r>
    </w:p>
    <w:p>
      <w:pPr>
        <w:spacing w:after="0" w:line="2" w:lineRule="exact"/>
        <w:rPr>
          <w:sz w:val="20"/>
          <w:szCs w:val="20"/>
          <w:color w:val="auto"/>
        </w:rPr>
      </w:pPr>
    </w:p>
    <w:p>
      <w:pPr>
        <w:ind w:left="60" w:right="59" w:hanging="10"/>
        <w:spacing w:after="0" w:line="237" w:lineRule="auto"/>
        <w:tabs>
          <w:tab w:leader="none" w:pos="3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164"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76"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The Solar Amendment also reduces the trailing twelve-month net product revenue requirement for the Amended Term B Loan portion of the facility. Subject to certain conditions, the Company has the ability to extend the interest-only period on the initial Term A Loan to 36 months from 24 months upon achieving the revenue targets associated with the Amended Term B Loan. As of September 30, 2021, the Company is in compliance with the required minimum net product revenue covenant and anticipates electing to extend the interest-only period through March 1, 2023 for the Term A Loan, subject to continuing to meet the required conditions through and as of March 1, 2022. The Company is projected to be in compliance with the required covenant. The Company was required to pay an amendment fee of $0.1 million to Solar, which has been recognized as a deferred debt issuance cost as of December 31, 2020 that will be amortized to interest expense using the effective interest method.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59"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119" w:hanging="10"/>
        <w:spacing w:after="0" w:line="23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The Company and lenders executed the Solar Amendment in December 2020 that reduced the minimum trailing net revenue covenant requirement amounts beginning on December 31, 2020 to allow the Company to maintain compliance with the covenant as of December 31, 2020. As of September 30, 2021, the Company is in compliance with the financial covenant and is projected to be in compliance with the reduced minimum revenue covenant amounts going forward.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the Company is in compliance with all covenants in the Solar Facility.</w:t>
      </w:r>
    </w:p>
    <w:p>
      <w:pPr>
        <w:spacing w:after="0" w:line="185"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Based upon the Company’s projected revenues for the remainder of 2021, the Company believes that it is probable that this minimum revenue covenant will not be achieved. The Company is in discussions with the lenders for a potential covenant waiver or amendment, however, no formal agreement has been executed. The Solar Facility also includes subjective acceleration clauses which permit the lenders to accelerate the maturity date under certain circumstances, including, but not limited to, material adverse effects on a Company’s financial status or otherwise. In accordance with FASB ASC 470 as the Solar Facility contains subjective acceleration clauses and the assessment that it is probable that the revenue covenant will not be met as of December 31, 2021, the outstanding principal under the Solar Facility is classified as a current liability in the accompanying balance sheet as of September 30, 2021.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Oxford Credit Facility</w:t>
      </w:r>
    </w:p>
    <w:p>
      <w:pPr>
        <w:spacing w:after="0" w:line="193"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w:t>
      </w:r>
    </w:p>
    <w:p>
      <w:pPr>
        <w:spacing w:after="0" w:line="4" w:lineRule="exact"/>
        <w:rPr>
          <w:sz w:val="20"/>
          <w:szCs w:val="20"/>
          <w:color w:val="auto"/>
        </w:rPr>
      </w:pPr>
    </w:p>
    <w:p>
      <w:pPr>
        <w:ind w:left="60" w:right="159" w:hanging="10"/>
        <w:spacing w:after="0" w:line="246" w:lineRule="auto"/>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8.15% or (b) the 30 day U.S. LIBOR on the last business day of the month plus 7.38%. This facility featured an interest-only period on all tranches through March 2019.</w:t>
      </w:r>
    </w:p>
    <w:p>
      <w:pPr>
        <w:spacing w:after="0" w:line="170" w:lineRule="exact"/>
        <w:rPr>
          <w:sz w:val="20"/>
          <w:szCs w:val="20"/>
          <w:color w:val="auto"/>
        </w:rPr>
      </w:pPr>
    </w:p>
    <w:p>
      <w:pPr>
        <w:ind w:left="60" w:right="399"/>
        <w:spacing w:after="0" w:line="248" w:lineRule="auto"/>
        <w:rPr>
          <w:sz w:val="20"/>
          <w:szCs w:val="20"/>
          <w:color w:val="auto"/>
        </w:rPr>
      </w:pPr>
      <w:r>
        <w:rPr>
          <w:rFonts w:ascii="Arial" w:cs="Arial" w:eastAsia="Arial" w:hAnsi="Arial"/>
          <w:sz w:val="17"/>
          <w:szCs w:val="17"/>
          <w:color w:val="auto"/>
        </w:rPr>
        <w:t>In addition to principal and interest payments due under the $35.0 million Oxford credit facility, the Company was required to make final payment fees to Oxford upon the earlier of prepayment or maturity and equal to</w:t>
      </w:r>
    </w:p>
    <w:p>
      <w:pPr>
        <w:spacing w:after="0" w:line="1"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 in March 2020.</w:t>
      </w:r>
    </w:p>
    <w:p>
      <w:pPr>
        <w:spacing w:after="0" w:line="345" w:lineRule="exact"/>
        <w:rPr>
          <w:sz w:val="20"/>
          <w:szCs w:val="20"/>
          <w:color w:val="auto"/>
        </w:rPr>
      </w:pPr>
    </w:p>
    <w:p>
      <w:pPr>
        <w:jc w:val="both"/>
        <w:ind w:left="60" w:right="6899" w:hanging="10"/>
        <w:spacing w:after="0" w:line="477" w:lineRule="auto"/>
        <w:tabs>
          <w:tab w:leader="none" w:pos="5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Common Stock Offering</w:t>
      </w:r>
    </w:p>
    <w:p>
      <w:pPr>
        <w:spacing w:after="0" w:line="1"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On February 2, 2021, we closed on our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September 30, 2021 and December 31, 2020 (in thousands):</w:t>
      </w:r>
    </w:p>
    <w:p>
      <w:pPr>
        <w:spacing w:after="0" w:line="171"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of common stock issued</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26,335</w:t>
            </w: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Shares of common stock reserved for issuance for:</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Common stock warrants outstanding</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5640" w:type="dxa"/>
            <w:vAlign w:val="bottom"/>
          </w:tcPr>
          <w:p>
            <w:pPr>
              <w:ind w:left="100"/>
              <w:spacing w:after="0" w:line="202" w:lineRule="exact"/>
              <w:rPr>
                <w:sz w:val="20"/>
                <w:szCs w:val="20"/>
                <w:color w:val="auto"/>
              </w:rPr>
            </w:pPr>
            <w:r>
              <w:rPr>
                <w:rFonts w:ascii="Arial" w:cs="Arial" w:eastAsia="Arial" w:hAnsi="Arial"/>
                <w:sz w:val="18"/>
                <w:szCs w:val="18"/>
                <w:color w:val="auto"/>
              </w:rPr>
              <w:t>Stock options outstanding</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1,567</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r>
      <w:tr>
        <w:trPr>
          <w:trHeight w:val="203"/>
        </w:trPr>
        <w:tc>
          <w:tcPr>
            <w:tcW w:w="5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Restricted stock units outstanding</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w:t>
            </w:r>
          </w:p>
        </w:tc>
      </w:tr>
      <w:tr>
        <w:trPr>
          <w:trHeight w:val="203"/>
        </w:trPr>
        <w:tc>
          <w:tcPr>
            <w:tcW w:w="5640" w:type="dxa"/>
            <w:vAlign w:val="bottom"/>
          </w:tcPr>
          <w:p>
            <w:pPr>
              <w:ind w:left="100"/>
              <w:spacing w:after="0" w:line="202" w:lineRule="exact"/>
              <w:rPr>
                <w:sz w:val="20"/>
                <w:szCs w:val="20"/>
                <w:color w:val="auto"/>
              </w:rPr>
            </w:pPr>
            <w:r>
              <w:rPr>
                <w:rFonts w:ascii="Arial" w:cs="Arial" w:eastAsia="Arial" w:hAnsi="Arial"/>
                <w:sz w:val="18"/>
                <w:szCs w:val="18"/>
                <w:color w:val="auto"/>
              </w:rPr>
              <w:t>Shares available for grant under stock incentive plan</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2,101</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1,530</w:t>
            </w:r>
          </w:p>
        </w:tc>
      </w:tr>
      <w:tr>
        <w:trPr>
          <w:trHeight w:val="203"/>
        </w:trPr>
        <w:tc>
          <w:tcPr>
            <w:tcW w:w="5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available for sale under employee stock purchase plan</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r>
      <w:tr>
        <w:trPr>
          <w:trHeight w:val="196"/>
        </w:trPr>
        <w:tc>
          <w:tcPr>
            <w:tcW w:w="5640" w:type="dxa"/>
            <w:vAlign w:val="bottom"/>
          </w:tcPr>
          <w:p>
            <w:pPr>
              <w:ind w:left="220"/>
              <w:spacing w:after="0" w:line="196" w:lineRule="exact"/>
              <w:rPr>
                <w:sz w:val="20"/>
                <w:szCs w:val="20"/>
                <w:color w:val="auto"/>
              </w:rPr>
            </w:pPr>
            <w:r>
              <w:rPr>
                <w:rFonts w:ascii="Arial" w:cs="Arial" w:eastAsia="Arial" w:hAnsi="Arial"/>
                <w:sz w:val="18"/>
                <w:szCs w:val="18"/>
                <w:color w:val="auto"/>
              </w:rPr>
              <w:t>Total shares of common stock issued and reserved for issuance</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32,919</w:t>
            </w:r>
          </w:p>
        </w:tc>
        <w:tc>
          <w:tcPr>
            <w:tcW w:w="16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25,582</w:t>
            </w:r>
          </w:p>
        </w:tc>
      </w:tr>
      <w:tr>
        <w:trPr>
          <w:trHeight w:val="20"/>
        </w:trPr>
        <w:tc>
          <w:tcPr>
            <w:tcW w:w="5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193"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following tables summarize the Company’s outstanding common stock warrants as of September 30, 2021, and December 31, 2020:</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Feb-2021</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07"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6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units and non-vested performance restricted stock units using the treasury stock method, along with the effect, if any, from the potential conversion of outstanding securities, such as convertible preferred stock.</w:t>
      </w:r>
    </w:p>
    <w:p>
      <w:pPr>
        <w:spacing w:after="0" w:line="162" w:lineRule="exact"/>
        <w:rPr>
          <w:sz w:val="20"/>
          <w:szCs w:val="20"/>
          <w:color w:val="auto"/>
        </w:rPr>
      </w:pPr>
    </w:p>
    <w:p>
      <w:pPr>
        <w:ind w:left="60" w:right="59"/>
        <w:spacing w:after="0" w:line="274" w:lineRule="auto"/>
        <w:rPr>
          <w:sz w:val="20"/>
          <w:szCs w:val="20"/>
          <w:color w:val="auto"/>
        </w:rPr>
      </w:pPr>
      <w:r>
        <w:rPr>
          <w:rFonts w:ascii="Arial" w:cs="Arial" w:eastAsia="Arial" w:hAnsi="Arial"/>
          <w:sz w:val="17"/>
          <w:szCs w:val="17"/>
          <w:color w:val="auto"/>
        </w:rPr>
        <w:t>The following potentially dilutive securities outstanding as of September 30, 2021 and 2020 have been excluded from the denominator of the diluted loss per share of common stock outstanding calculation (in thousands):</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74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38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2,594</w:t>
            </w:r>
          </w:p>
        </w:tc>
        <w:tc>
          <w:tcPr>
            <w:tcW w:w="20" w:type="dxa"/>
            <w:vAlign w:val="bottom"/>
            <w:shd w:val="clear" w:color="auto" w:fill="CCEEFF"/>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Non-vested performance restricted stock units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0" w:type="dxa"/>
            <w:vAlign w:val="bottom"/>
          </w:tcPr>
          <w:p>
            <w:pPr>
              <w:spacing w:after="0"/>
              <w:rPr>
                <w:sz w:val="17"/>
                <w:szCs w:val="17"/>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w:t>
            </w:r>
          </w:p>
        </w:tc>
        <w:tc>
          <w:tcPr>
            <w:tcW w:w="20" w:type="dxa"/>
            <w:vAlign w:val="bottom"/>
            <w:shd w:val="clear" w:color="auto" w:fill="CCEEFF"/>
          </w:tcPr>
          <w:p>
            <w:pPr>
              <w:spacing w:after="0"/>
              <w:rPr>
                <w:sz w:val="17"/>
                <w:szCs w:val="17"/>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r>
    </w:tbl>
    <w:p>
      <w:pPr>
        <w:spacing w:after="0" w:line="206" w:lineRule="exact"/>
        <w:rPr>
          <w:sz w:val="20"/>
          <w:szCs w:val="20"/>
          <w:color w:val="auto"/>
        </w:rPr>
      </w:pPr>
    </w:p>
    <w:p>
      <w:pPr>
        <w:ind w:left="560" w:hanging="510"/>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07"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three and nine months ended September 30, 2021 and 2020 is as follows (in thousands):</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5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1,440</w:t>
            </w:r>
          </w:p>
        </w:tc>
      </w:tr>
      <w:tr>
        <w:trPr>
          <w:trHeight w:val="203"/>
        </w:trPr>
        <w:tc>
          <w:tcPr>
            <w:tcW w:w="2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w:t>
            </w:r>
          </w:p>
        </w:tc>
      </w:tr>
      <w:tr>
        <w:trPr>
          <w:trHeight w:val="196"/>
        </w:trPr>
        <w:tc>
          <w:tcPr>
            <w:tcW w:w="25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1,961</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1,046</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2,888</w:t>
            </w:r>
          </w:p>
        </w:tc>
      </w:tr>
      <w:tr>
        <w:trPr>
          <w:trHeight w:val="20"/>
        </w:trPr>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Equity Incentive Plan</w:t>
      </w:r>
    </w:p>
    <w:p>
      <w:pPr>
        <w:spacing w:after="0" w:line="207"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Performance restricted stock units (“PRSUs”) generally vest based on appreciation of the Company’s common stock to a certain price as determined by the Company’s board of directors measured using a trailing 30-day volume weighted average price of a share of the Company’s common stock. The fair value of the PRSU awards are determined using a risk neutral Monte Carlo simulation valuation model. As of September 30, 2021, there were 2.0 million shares available for future issuance under the 2018 Plan.</w:t>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Inducement Incentive Plan</w:t>
      </w:r>
    </w:p>
    <w:p>
      <w:pPr>
        <w:spacing w:after="0" w:line="19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December 2020, the Company adopted the 2020 Inducement Incentive Plan, which authorized the issuance of up to 0.4 million shares in the form of stock options, stock appreciation rights, restricted stock awards, restricted stock unit awards, performance stock awards and other stock awards to eligible employees who satisfy the standards for inducement grants under Nasdaq global market rules. An individual who previously served as an employee or director of the Company is not eligible to receive awards under this plan. The amount and terms of grants are determined by the Company’s board of directors. As of September 30, 2021, there were 0.1 million shares available for future issuance under the 2020 Inducement Incentive Plan.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Company’s stock option activity for the nine months ended</w:t>
      </w:r>
    </w:p>
    <w:p>
      <w:pPr>
        <w:ind w:left="60"/>
        <w:spacing w:after="0"/>
        <w:rPr>
          <w:sz w:val="20"/>
          <w:szCs w:val="20"/>
          <w:color w:val="auto"/>
        </w:rPr>
      </w:pPr>
      <w:r>
        <w:rPr>
          <w:rFonts w:ascii="Arial" w:cs="Arial" w:eastAsia="Arial" w:hAnsi="Arial"/>
          <w:sz w:val="18"/>
          <w:szCs w:val="18"/>
          <w:color w:val="auto"/>
        </w:rPr>
        <w:t>September 30, 2021:</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under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Exercise 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 Option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Life (in years)</w:t>
            </w:r>
          </w:p>
        </w:tc>
        <w:tc>
          <w:tcPr>
            <w:tcW w:w="1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(669)</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14.93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September 30, 2021</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30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Exercisable at September 30, 2021</w:t>
            </w: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3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733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gridSpan w:val="2"/>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CCEEFF"/>
            </w:tcBorders>
            <w:gridSpan w:val="2"/>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Vested and expected to vest at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September 30, 2021</w:t>
            </w: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4.19</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7.6</w:t>
            </w:r>
          </w:p>
        </w:tc>
        <w:tc>
          <w:tcPr>
            <w:tcW w:w="30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recognized share-based compensation expense related to stock options of $0.2 million and $0.3 million for the three months ended September 30, 2021 and 2020, respectively, and $0.6 million and $1.2 million for the nine months ended September 30, 2021 and 2020, respectively. As of September 30, 2021, there was $1.5 million of total unrecognized compensation cost related to non-vested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jc w:val="both"/>
        <w:ind w:left="60" w:right="219"/>
        <w:spacing w:after="0" w:line="274" w:lineRule="auto"/>
        <w:rPr>
          <w:sz w:val="20"/>
          <w:szCs w:val="20"/>
          <w:color w:val="auto"/>
        </w:rPr>
      </w:pPr>
      <w:r>
        <w:rPr>
          <w:rFonts w:ascii="Arial" w:cs="Arial" w:eastAsia="Arial" w:hAnsi="Arial"/>
          <w:sz w:val="17"/>
          <w:szCs w:val="17"/>
          <w:color w:val="auto"/>
        </w:rPr>
        <w:t>stock options which the Company expects to recognize over a weighted-average period of 2.2 years. The total intrinsic value of stock options exercised during the nine months ended September 30, 2021 was $8.1 million.</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 and Performance Restricted Stock Units</w:t>
      </w:r>
    </w:p>
    <w:p>
      <w:pPr>
        <w:spacing w:after="0" w:line="193"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The following table summarizes the Company’s restricted stock unit and performance restricted stock unit activity for September 30, 2021:</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3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500" w:type="dxa"/>
            <w:vAlign w:val="bottom"/>
            <w:gridSpan w:val="2"/>
          </w:tcPr>
          <w:p>
            <w:pPr>
              <w:jc w:val="center"/>
              <w:ind w:left="415"/>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2020</w:t>
            </w:r>
          </w:p>
        </w:tc>
        <w:tc>
          <w:tcPr>
            <w:tcW w:w="5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(741)</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7.42</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September 30, 2021</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Company recognized $1.8 million and $0.6 million in share-based compensation expense related to the restricted stock units and performance restricted stock units for the three months ended September 30, 2021 and 2020, respectively, and $5.5 million and $ 1.7 million the nine months ended September 30, 2021 and 2020, respectively. As of September 30, 2021, there was $10.5 million of unrecognized compensation cost related to non-vested restricted stock units and performance restricted stock units, which the Company expects to recognize over a weighted-average period of 2.2 years. The total fair value at the vesting date of restricted stock units and performance restricted stock units vested during the nine months ended September 30, 2021, was $13.9 million.</w:t>
      </w:r>
    </w:p>
    <w:p>
      <w:pPr>
        <w:spacing w:after="0" w:line="1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period ended September 30, 2021 and December 31, 2020, the grant-date fair value of the performance restricted stock units was estimated at the time of grant using the following inputs and assumptions in the Monte Carlo simulation valuation model:</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180" w:type="dxa"/>
            <w:vAlign w:val="bottom"/>
            <w:gridSpan w:val="4"/>
          </w:tcPr>
          <w:p>
            <w:pPr>
              <w:ind w:left="62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20" w:type="dxa"/>
            <w:vAlign w:val="bottom"/>
          </w:tcPr>
          <w:p>
            <w:pPr>
              <w:spacing w:after="0"/>
              <w:rPr>
                <w:sz w:val="17"/>
                <w:szCs w:val="17"/>
                <w:color w:val="auto"/>
              </w:rPr>
            </w:pPr>
          </w:p>
        </w:tc>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Closing price of common stock</w:t>
            </w:r>
          </w:p>
        </w:tc>
        <w:tc>
          <w:tcPr>
            <w:tcW w:w="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ind w:left="1000"/>
              <w:spacing w:after="0" w:line="196" w:lineRule="exact"/>
              <w:rPr>
                <w:sz w:val="20"/>
                <w:szCs w:val="20"/>
                <w:color w:val="auto"/>
              </w:rPr>
            </w:pPr>
            <w:r>
              <w:rPr>
                <w:rFonts w:ascii="Arial" w:cs="Arial" w:eastAsia="Arial" w:hAnsi="Arial"/>
                <w:sz w:val="18"/>
                <w:szCs w:val="18"/>
                <w:color w:val="auto"/>
              </w:rPr>
              <w:t>1.98</w:t>
            </w:r>
          </w:p>
        </w:tc>
        <w:tc>
          <w:tcPr>
            <w:tcW w:w="2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1.15 %</w:t>
            </w:r>
          </w:p>
        </w:tc>
        <w:tc>
          <w:tcPr>
            <w:tcW w:w="180" w:type="dxa"/>
            <w:vAlign w:val="bottom"/>
          </w:tcPr>
          <w:p>
            <w:pPr>
              <w:spacing w:after="0"/>
              <w:rPr>
                <w:sz w:val="17"/>
                <w:szCs w:val="17"/>
                <w:color w:val="auto"/>
              </w:rPr>
            </w:pPr>
          </w:p>
        </w:tc>
        <w:tc>
          <w:tcPr>
            <w:tcW w:w="16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0.63 %</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99.7 %</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87.4 %</w:t>
            </w:r>
          </w:p>
        </w:tc>
      </w:tr>
    </w:tbl>
    <w:p>
      <w:pPr>
        <w:spacing w:after="0" w:line="193" w:lineRule="exact"/>
        <w:rPr>
          <w:sz w:val="20"/>
          <w:szCs w:val="20"/>
          <w:color w:val="auto"/>
        </w:rPr>
      </w:pPr>
    </w:p>
    <w:p>
      <w:pPr>
        <w:ind w:left="60" w:right="5119" w:hanging="10"/>
        <w:spacing w:after="0" w:line="451" w:lineRule="auto"/>
        <w:tabs>
          <w:tab w:leader="none" w:pos="5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56" w:lineRule="exact"/>
        <w:rPr>
          <w:sz w:val="20"/>
          <w:szCs w:val="20"/>
          <w:color w:val="auto"/>
        </w:rPr>
      </w:pPr>
    </w:p>
    <w:p>
      <w:pPr>
        <w:ind w:left="500" w:hanging="450"/>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SEGMENT INFORMATION</w:t>
      </w:r>
    </w:p>
    <w:p>
      <w:pPr>
        <w:spacing w:after="0" w:line="207"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819"/>
        <w:spacing w:after="0" w:line="246" w:lineRule="auto"/>
        <w:rPr>
          <w:sz w:val="20"/>
          <w:szCs w:val="20"/>
          <w:color w:val="auto"/>
        </w:rPr>
      </w:pPr>
      <w:r>
        <w:rPr>
          <w:rFonts w:ascii="Arial" w:cs="Arial" w:eastAsia="Arial" w:hAnsi="Arial"/>
          <w:sz w:val="18"/>
          <w:szCs w:val="18"/>
          <w:color w:val="auto"/>
        </w:rPr>
        <w:t>material separate lines of business or separate business entities with respect to its products or product development.</w:t>
      </w:r>
    </w:p>
    <w:p>
      <w:pPr>
        <w:spacing w:after="0" w:line="170"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Revenues by Geography</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2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0" w:type="dxa"/>
            <w:vAlign w:val="bottom"/>
            <w:gridSpan w:val="9"/>
          </w:tcPr>
          <w:p>
            <w:pPr>
              <w:jc w:val="center"/>
              <w:ind w:right="130"/>
              <w:spacing w:after="0"/>
              <w:rPr>
                <w:sz w:val="20"/>
                <w:szCs w:val="20"/>
                <w:color w:val="auto"/>
              </w:rPr>
            </w:pPr>
            <w:r>
              <w:rPr>
                <w:rFonts w:ascii="Arial" w:cs="Arial" w:eastAsia="Arial" w:hAnsi="Arial"/>
                <w:sz w:val="14"/>
                <w:szCs w:val="14"/>
                <w:b w:val="1"/>
                <w:bCs w:val="1"/>
                <w:color w:val="auto"/>
              </w:rPr>
              <w:t>Three Months Ended September 30,</w:t>
            </w:r>
          </w:p>
        </w:tc>
      </w:tr>
      <w:tr>
        <w:trPr>
          <w:trHeight w:val="155"/>
        </w:trPr>
        <w:tc>
          <w:tcPr>
            <w:tcW w:w="2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tcBorders>
              <w:top w:val="single" w:sz="8" w:color="auto"/>
            </w:tcBorders>
            <w:gridSpan w:val="3"/>
          </w:tcPr>
          <w:p>
            <w:pPr>
              <w:jc w:val="right"/>
              <w:ind w:right="60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59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r>
      <w:tr>
        <w:trPr>
          <w:trHeight w:val="142"/>
        </w:trPr>
        <w:tc>
          <w:tcPr>
            <w:tcW w:w="2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2"/>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r>
      <w:tr>
        <w:trPr>
          <w:trHeight w:val="175"/>
        </w:trPr>
        <w:tc>
          <w:tcPr>
            <w:tcW w:w="2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80" w:type="dxa"/>
            <w:vAlign w:val="bottom"/>
          </w:tcPr>
          <w:p>
            <w:pPr>
              <w:spacing w:after="0"/>
              <w:rPr>
                <w:sz w:val="15"/>
                <w:szCs w:val="15"/>
                <w:color w:val="auto"/>
              </w:rPr>
            </w:pPr>
          </w:p>
        </w:tc>
      </w:tr>
      <w:tr>
        <w:trPr>
          <w:trHeight w:val="142"/>
        </w:trPr>
        <w:tc>
          <w:tcPr>
            <w:tcW w:w="2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940" w:type="dxa"/>
            <w:vAlign w:val="bottom"/>
            <w:gridSpan w:val="7"/>
          </w:tcPr>
          <w:p>
            <w:pPr>
              <w:jc w:val="center"/>
              <w:ind w:left="524"/>
              <w:spacing w:after="0" w:line="142" w:lineRule="exact"/>
              <w:rPr>
                <w:sz w:val="20"/>
                <w:szCs w:val="20"/>
                <w:color w:val="auto"/>
              </w:rPr>
            </w:pPr>
            <w:r>
              <w:rPr>
                <w:rFonts w:ascii="Arial" w:cs="Arial" w:eastAsia="Arial" w:hAnsi="Arial"/>
                <w:sz w:val="14"/>
                <w:szCs w:val="14"/>
                <w:b w:val="1"/>
                <w:bCs w:val="1"/>
                <w:color w:val="auto"/>
                <w:w w:val="99"/>
              </w:rPr>
              <w:t>(in thousands, except percentages)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$ 13,280</w:t>
            </w: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$ 12,029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519</w:t>
            </w: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4 %</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w:t>
            </w:r>
          </w:p>
        </w:tc>
        <w:tc>
          <w:tcPr>
            <w:tcW w:w="2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23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$ 13,799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$ 12,448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gridSpan w:val="9"/>
          </w:tcPr>
          <w:p>
            <w:pPr>
              <w:ind w:left="380"/>
              <w:spacing w:after="0"/>
              <w:rPr>
                <w:sz w:val="20"/>
                <w:szCs w:val="20"/>
                <w:color w:val="auto"/>
              </w:rPr>
            </w:pPr>
            <w:r>
              <w:rPr>
                <w:rFonts w:ascii="Arial" w:cs="Arial" w:eastAsia="Arial" w:hAnsi="Arial"/>
                <w:sz w:val="14"/>
                <w:szCs w:val="14"/>
                <w:b w:val="1"/>
                <w:bCs w:val="1"/>
                <w:color w:val="auto"/>
              </w:rPr>
              <w:t>U.S. Revenues by Product Category</w:t>
            </w:r>
          </w:p>
        </w:tc>
      </w:tr>
      <w:tr>
        <w:trPr>
          <w:trHeight w:val="175"/>
        </w:trPr>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9"/>
          </w:tcPr>
          <w:p>
            <w:pPr>
              <w:ind w:left="360"/>
              <w:spacing w:after="0"/>
              <w:rPr>
                <w:sz w:val="20"/>
                <w:szCs w:val="20"/>
                <w:color w:val="auto"/>
              </w:rPr>
            </w:pPr>
            <w:r>
              <w:rPr>
                <w:rFonts w:ascii="Arial" w:cs="Arial" w:eastAsia="Arial" w:hAnsi="Arial"/>
                <w:sz w:val="14"/>
                <w:szCs w:val="14"/>
                <w:b w:val="1"/>
                <w:bCs w:val="1"/>
                <w:color w:val="auto"/>
              </w:rPr>
              <w:t>Three Months Ended September 30,</w:t>
            </w:r>
          </w:p>
        </w:tc>
      </w:tr>
      <w:tr>
        <w:trPr>
          <w:trHeight w:val="156"/>
        </w:trPr>
        <w:tc>
          <w:tcPr>
            <w:tcW w:w="3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3"/>
          </w:tcPr>
          <w:p>
            <w:pPr>
              <w:jc w:val="right"/>
              <w:ind w:right="57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3"/>
          </w:tcPr>
          <w:p>
            <w:pPr>
              <w:jc w:val="right"/>
              <w:ind w:right="57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r>
      <w:tr>
        <w:trPr>
          <w:trHeight w:val="142"/>
        </w:trPr>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96"/>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16"/>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r>
      <w:tr>
        <w:trPr>
          <w:trHeight w:val="175"/>
        </w:trPr>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80" w:type="dxa"/>
            <w:vAlign w:val="bottom"/>
          </w:tcPr>
          <w:p>
            <w:pPr>
              <w:spacing w:after="0"/>
              <w:rPr>
                <w:sz w:val="15"/>
                <w:szCs w:val="15"/>
                <w:color w:val="auto"/>
              </w:rPr>
            </w:pPr>
          </w:p>
        </w:tc>
      </w:tr>
      <w:tr>
        <w:trPr>
          <w:trHeight w:val="142"/>
        </w:trPr>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7"/>
          </w:tcPr>
          <w:p>
            <w:pPr>
              <w:ind w:left="40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2,612</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2,541</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21 %</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10,259</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77 %</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9,083</w:t>
            </w:r>
          </w:p>
        </w:tc>
        <w:tc>
          <w:tcPr>
            <w:tcW w:w="1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76 %</w:t>
            </w: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330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13,280</w:t>
            </w:r>
          </w:p>
        </w:tc>
        <w:tc>
          <w:tcPr>
            <w:tcW w:w="1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12,029</w:t>
            </w: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16"/>
          </w:tcPr>
          <w:p>
            <w:pPr>
              <w:jc w:val="right"/>
              <w:ind w:right="310"/>
              <w:spacing w:after="0"/>
              <w:rPr>
                <w:sz w:val="20"/>
                <w:szCs w:val="20"/>
                <w:color w:val="auto"/>
              </w:rPr>
            </w:pPr>
            <w:r>
              <w:rPr>
                <w:rFonts w:ascii="Arial" w:cs="Arial" w:eastAsia="Arial" w:hAnsi="Arial"/>
                <w:sz w:val="14"/>
                <w:szCs w:val="14"/>
                <w:b w:val="1"/>
                <w:bCs w:val="1"/>
                <w:color w:val="auto"/>
              </w:rPr>
              <w:t>International Revenues by Product Category</w:t>
            </w: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6"/>
          </w:tcPr>
          <w:p>
            <w:pPr>
              <w:jc w:val="right"/>
              <w:ind w:right="630"/>
              <w:spacing w:after="0"/>
              <w:rPr>
                <w:sz w:val="20"/>
                <w:szCs w:val="20"/>
                <w:color w:val="auto"/>
              </w:rPr>
            </w:pPr>
            <w:r>
              <w:rPr>
                <w:rFonts w:ascii="Arial" w:cs="Arial" w:eastAsia="Arial" w:hAnsi="Arial"/>
                <w:sz w:val="14"/>
                <w:szCs w:val="14"/>
                <w:b w:val="1"/>
                <w:bCs w:val="1"/>
                <w:color w:val="auto"/>
              </w:rPr>
              <w:t>Three Months Ended September 30,</w:t>
            </w: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5"/>
          </w:tcPr>
          <w:p>
            <w:pPr>
              <w:jc w:val="right"/>
              <w:ind w:right="504"/>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5"/>
          </w:tcPr>
          <w:p>
            <w:pPr>
              <w:jc w:val="right"/>
              <w:ind w:right="56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90"/>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2"/>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12"/>
          </w:tcPr>
          <w:p>
            <w:pPr>
              <w:ind w:left="44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306</w:t>
            </w:r>
          </w:p>
        </w:tc>
        <w:tc>
          <w:tcPr>
            <w:tcW w:w="122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59 % $</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53 %</w:t>
            </w: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w:t>
            </w:r>
          </w:p>
        </w:tc>
        <w:tc>
          <w:tcPr>
            <w:tcW w:w="10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17 %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w:t>
            </w:r>
          </w:p>
        </w:tc>
        <w:tc>
          <w:tcPr>
            <w:tcW w:w="10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196"/>
        </w:trPr>
        <w:tc>
          <w:tcPr>
            <w:tcW w:w="20" w:type="dxa"/>
            <w:vAlign w:val="bottom"/>
          </w:tcPr>
          <w:p>
            <w:pPr>
              <w:spacing w:after="0"/>
              <w:rPr>
                <w:sz w:val="17"/>
                <w:szCs w:val="17"/>
                <w:color w:val="auto"/>
              </w:rPr>
            </w:pPr>
          </w:p>
        </w:tc>
        <w:tc>
          <w:tcPr>
            <w:tcW w:w="340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519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auto"/>
              <w:bottom w:val="single" w:sz="8" w:color="auto"/>
            </w:tcBorders>
          </w:tcPr>
          <w:p>
            <w:pPr>
              <w:spacing w:after="0"/>
              <w:rPr>
                <w:sz w:val="17"/>
                <w:szCs w:val="17"/>
                <w:color w:val="auto"/>
              </w:rPr>
            </w:pPr>
          </w:p>
        </w:tc>
        <w:tc>
          <w:tcPr>
            <w:tcW w:w="22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rPr>
              <w:t>Revenues by Geography</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6"/>
          </w:tcPr>
          <w:p>
            <w:pPr>
              <w:jc w:val="center"/>
              <w:ind w:right="35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4"/>
          </w:tcPr>
          <w:p>
            <w:pPr>
              <w:ind w:left="460"/>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5"/>
          </w:tcPr>
          <w:p>
            <w:pPr>
              <w:jc w:val="right"/>
              <w:ind w:right="58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104"/>
              <w:spacing w:after="0" w:line="143" w:lineRule="exact"/>
              <w:rPr>
                <w:sz w:val="20"/>
                <w:szCs w:val="20"/>
                <w:color w:val="auto"/>
              </w:rPr>
            </w:pPr>
            <w:r>
              <w:rPr>
                <w:rFonts w:ascii="Arial" w:cs="Arial" w:eastAsia="Arial" w:hAnsi="Arial"/>
                <w:sz w:val="14"/>
                <w:szCs w:val="14"/>
                <w:b w:val="1"/>
                <w:bCs w:val="1"/>
                <w:color w:val="auto"/>
              </w:rPr>
              <w:t>% of</w:t>
            </w:r>
          </w:p>
        </w:tc>
        <w:tc>
          <w:tcPr>
            <w:tcW w:w="2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8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9"/>
              </w:rPr>
              <w:t>Revenues</w:t>
            </w:r>
          </w:p>
        </w:tc>
        <w:tc>
          <w:tcPr>
            <w:tcW w:w="60" w:type="dxa"/>
            <w:vAlign w:val="bottom"/>
          </w:tcPr>
          <w:p>
            <w:pPr>
              <w:spacing w:after="0"/>
              <w:rPr>
                <w:sz w:val="15"/>
                <w:szCs w:val="15"/>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rPr>
              <w:t>Revenues</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6"/>
          </w:tcPr>
          <w:p>
            <w:pPr>
              <w:jc w:val="center"/>
              <w:ind w:right="290"/>
              <w:spacing w:after="0"/>
              <w:rPr>
                <w:sz w:val="20"/>
                <w:szCs w:val="20"/>
                <w:color w:val="auto"/>
              </w:rPr>
            </w:pPr>
            <w:r>
              <w:rPr>
                <w:rFonts w:ascii="Arial" w:cs="Arial" w:eastAsia="Arial" w:hAnsi="Arial"/>
                <w:sz w:val="14"/>
                <w:szCs w:val="14"/>
                <w:b w:val="1"/>
                <w:bCs w:val="1"/>
                <w:color w:val="auto"/>
              </w:rPr>
              <w:t>(in thousands, except percentages)</w:t>
            </w: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$ 38,891</w:t>
            </w:r>
          </w:p>
        </w:tc>
        <w:tc>
          <w:tcPr>
            <w:tcW w:w="10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97 %</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$ 32,473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1,399</w:t>
            </w:r>
          </w:p>
        </w:tc>
        <w:tc>
          <w:tcPr>
            <w:tcW w:w="100" w:type="dxa"/>
            <w:vAlign w:val="bottom"/>
          </w:tcPr>
          <w:p>
            <w:pPr>
              <w:spacing w:after="0"/>
              <w:rPr>
                <w:sz w:val="17"/>
                <w:szCs w:val="17"/>
                <w:color w:val="auto"/>
              </w:rPr>
            </w:pPr>
          </w:p>
        </w:tc>
        <w:tc>
          <w:tcPr>
            <w:tcW w:w="1060" w:type="dxa"/>
            <w:vAlign w:val="bottom"/>
            <w:gridSpan w:val="5"/>
          </w:tcPr>
          <w:p>
            <w:pPr>
              <w:jc w:val="right"/>
              <w:ind w:right="30"/>
              <w:spacing w:after="0" w:line="202" w:lineRule="exact"/>
              <w:rPr>
                <w:sz w:val="20"/>
                <w:szCs w:val="20"/>
                <w:color w:val="auto"/>
              </w:rPr>
            </w:pPr>
            <w:r>
              <w:rPr>
                <w:rFonts w:ascii="Arial" w:cs="Arial" w:eastAsia="Arial" w:hAnsi="Arial"/>
                <w:sz w:val="18"/>
                <w:szCs w:val="18"/>
                <w:color w:val="auto"/>
              </w:rPr>
              <w:t>3 %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1,192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$ 40,290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$ 33,665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14"/>
          </w:tcPr>
          <w:p>
            <w:pPr>
              <w:ind w:left="38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4"/>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5"/>
          </w:tcPr>
          <w:p>
            <w:pPr>
              <w:ind w:left="560"/>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4"/>
          </w:tcPr>
          <w:p>
            <w:pPr>
              <w:jc w:val="right"/>
              <w:ind w:right="58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10"/>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ind w:right="104"/>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12"/>
          </w:tcPr>
          <w:p>
            <w:pPr>
              <w:ind w:left="40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6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7,474</w:t>
            </w:r>
          </w:p>
        </w:tc>
        <w:tc>
          <w:tcPr>
            <w:tcW w:w="10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Treatment sessions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30,688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79 %</w:t>
            </w: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23,823</w:t>
            </w:r>
          </w:p>
        </w:tc>
        <w:tc>
          <w:tcPr>
            <w:tcW w:w="10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1,176</w:t>
            </w:r>
          </w:p>
        </w:tc>
        <w:tc>
          <w:tcPr>
            <w:tcW w:w="10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ind w:left="80"/>
              <w:spacing w:after="0" w:line="196" w:lineRule="exact"/>
              <w:rPr>
                <w:sz w:val="20"/>
                <w:szCs w:val="20"/>
                <w:color w:val="auto"/>
              </w:rPr>
            </w:pPr>
            <w:r>
              <w:rPr>
                <w:rFonts w:ascii="Arial" w:cs="Arial" w:eastAsia="Arial" w:hAnsi="Arial"/>
                <w:sz w:val="18"/>
                <w:szCs w:val="18"/>
                <w:color w:val="auto"/>
              </w:rPr>
              <w:t>Total U.S. revenues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auto"/>
                <w:w w:val="99"/>
              </w:rPr>
              <w:t>$ 38,891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32,473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14"/>
          </w:tcPr>
          <w:p>
            <w:pPr>
              <w:jc w:val="right"/>
              <w:ind w:right="310"/>
              <w:spacing w:after="0"/>
              <w:rPr>
                <w:sz w:val="20"/>
                <w:szCs w:val="20"/>
                <w:color w:val="auto"/>
              </w:rPr>
            </w:pPr>
            <w:r>
              <w:rPr>
                <w:rFonts w:ascii="Arial" w:cs="Arial" w:eastAsia="Arial" w:hAnsi="Arial"/>
                <w:sz w:val="14"/>
                <w:szCs w:val="14"/>
                <w:b w:val="1"/>
                <w:bCs w:val="1"/>
                <w:color w:val="auto"/>
              </w:rPr>
              <w:t>International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4"/>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4"/>
          </w:tcPr>
          <w:p>
            <w:pPr>
              <w:ind w:left="460"/>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4"/>
          </w:tcPr>
          <w:p>
            <w:pPr>
              <w:jc w:val="right"/>
              <w:ind w:right="58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14"/>
              <w:spacing w:after="0" w:line="143" w:lineRule="exact"/>
              <w:rPr>
                <w:sz w:val="20"/>
                <w:szCs w:val="20"/>
                <w:color w:val="auto"/>
              </w:rPr>
            </w:pPr>
            <w:r>
              <w:rPr>
                <w:rFonts w:ascii="Arial" w:cs="Arial" w:eastAsia="Arial" w:hAnsi="Arial"/>
                <w:sz w:val="14"/>
                <w:szCs w:val="14"/>
                <w:b w:val="1"/>
                <w:bCs w:val="1"/>
                <w:color w:val="auto"/>
              </w:rPr>
              <w:t>% of</w:t>
            </w:r>
          </w:p>
        </w:tc>
        <w:tc>
          <w:tcPr>
            <w:tcW w:w="2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ind w:right="144"/>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80" w:type="dxa"/>
            <w:vAlign w:val="bottom"/>
            <w:gridSpan w:val="2"/>
          </w:tcPr>
          <w:p>
            <w:pPr>
              <w:spacing w:after="0"/>
              <w:rPr>
                <w:sz w:val="15"/>
                <w:szCs w:val="15"/>
                <w:color w:val="auto"/>
              </w:rPr>
            </w:pPr>
          </w:p>
        </w:tc>
        <w:tc>
          <w:tcPr>
            <w:tcW w:w="7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11"/>
          </w:tcPr>
          <w:p>
            <w:pPr>
              <w:ind w:left="340"/>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7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440" w:type="dxa"/>
            <w:vAlign w:val="bottom"/>
            <w:gridSpan w:val="3"/>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57 % $</w:t>
            </w:r>
          </w:p>
        </w:tc>
        <w:tc>
          <w:tcPr>
            <w:tcW w:w="680" w:type="dxa"/>
            <w:vAlign w:val="bottom"/>
            <w:tcBorders>
              <w:right w:val="single" w:sz="8" w:color="CCEEFF"/>
            </w:tcBorders>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632</w:t>
            </w:r>
          </w:p>
        </w:tc>
        <w:tc>
          <w:tcPr>
            <w:tcW w:w="10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17 %</w:t>
            </w:r>
          </w:p>
        </w:tc>
        <w:tc>
          <w:tcPr>
            <w:tcW w:w="8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291</w:t>
            </w:r>
          </w:p>
        </w:tc>
        <w:tc>
          <w:tcPr>
            <w:tcW w:w="10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269</w:t>
            </w:r>
          </w:p>
        </w:tc>
        <w:tc>
          <w:tcPr>
            <w:tcW w:w="10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1,192</w:t>
            </w: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ind w:right="4"/>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560" w:hanging="510"/>
        <w:spacing w:after="0"/>
        <w:tabs>
          <w:tab w:leader="none" w:pos="5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20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April 8, 2020, the Company took action to reduce expenses through a reduction in force (“RIF”). As part of this action the Company terminated 95 employees who received separation benefits upon their termination. During the second quarter of 2020, the Company recorded a separation-related charge for the RIF equal to the fair value of the terminated employees benefits as of the communication date in the amount of $2.1 million. This amount was paid out during the quarter with the final payoff occurring on June 15, 2020.</w:t>
      </w:r>
    </w:p>
    <w:p>
      <w:pPr>
        <w:spacing w:after="0" w:line="16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entered into transition agreements outlining the separation with its former chief executive officer in March 2020, the vice president of medical operations in September 2020, the chief commercial officer and director of medical operations in December 2020, the VP of sales and five business development managers in January 2021, the director of strategic clinical development in February 2021, and the vice president of marketing in August 2021. In connection with these agreements, the Company recorded $0.3 million and $0.2 million of charges in salary, payroll tax and bonus expenses for the three months ended September 30, 2021 and 2020, respectively, and $0.5 million and $1.3 million for the nine months ended September 30, 2021 and 2020, respectively. For the nine months ended September 30, 2021 and 2020, $ 1.1 million and $0.5 million of termination benefits were paid associated with the termination of the employees and charged against this liability. As of September 30, 2021 and December 31, 2020, $0.3 million and $1.0 million, respectively, remain in accrued liabilities for the unpaid portion of the separation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ongoing impact of the novel coronavirus, or COVID-19, pandemic on general political and economic uncertainty, including as a result of efforts by governmental authorities to mitigate the COVID-19 pandemic and the related impact on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and developments in regulation in the United States and other applicable jurisdictions.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spacing w:after="0" w:line="14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2, 2021.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are the market leader in TMS therapy based on the estimated 115,935 global patients treated with over 4.0 million of our treatment sessions through such date. We generated revenues of $13.8 million and $12.4 million for the three months ended September 30, 2021 and 2020, respectively, and $40.3 million and $33.7 million for the nine months ended September 30, 2021 and 2020, respectively.</w:t>
      </w:r>
    </w:p>
    <w:p>
      <w:pPr>
        <w:spacing w:after="0" w:line="173"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September 30, 2021, revenues from sales of our Treatment Sessions and NeuroStar Advanced Therapy Systems represented 77% and 20% of our U.S. revenues, respectively, and 79% and 18% for the nine months ended September 30, 2021 and 2020 of our U.S. revenues, respectively.</w:t>
      </w:r>
    </w:p>
    <w:p>
      <w:pPr>
        <w:spacing w:after="0" w:line="16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currently sell our NeuroStar Advanced Therapy System and recurring Treatment Sessions in the United States with the collaborative support of our 165 employees as of September 30, 2021. Our sales force targets an estimated 50,000 psychiatrists across 26,000 psychiatric practices in the United States, based on data from Symphony Health and our own internal estimates that treat approximately 42% of the total MDD patients in the United States who meet our labeled indication and are insured. Some of our customers have and may purchase more than one NeuroStar Advanced Therapy System. Based on our commercial data, on average, we believe our customers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For the three and nine months ended September 30, 2021, one customer accounted for more than 10% of our revenues.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market our products in a few select markets outside the United States through independent distributors.</w:t>
      </w:r>
    </w:p>
    <w:p>
      <w:pPr>
        <w:ind w:left="60"/>
        <w:spacing w:after="0" w:line="234" w:lineRule="auto"/>
        <w:rPr>
          <w:sz w:val="20"/>
          <w:szCs w:val="20"/>
          <w:color w:val="auto"/>
        </w:rPr>
      </w:pPr>
      <w:r>
        <w:rPr>
          <w:rFonts w:ascii="Arial" w:cs="Arial" w:eastAsia="Arial" w:hAnsi="Arial"/>
          <w:sz w:val="18"/>
          <w:szCs w:val="18"/>
          <w:color w:val="auto"/>
        </w:rPr>
        <w:t>International revenues represented 4% and 3% of our total revenues for the three months ended</w:t>
      </w:r>
    </w:p>
    <w:p>
      <w:pPr>
        <w:ind w:left="60"/>
        <w:spacing w:after="0" w:line="235" w:lineRule="auto"/>
        <w:rPr>
          <w:sz w:val="20"/>
          <w:szCs w:val="20"/>
          <w:color w:val="auto"/>
        </w:rPr>
      </w:pPr>
      <w:r>
        <w:rPr>
          <w:rFonts w:ascii="Arial" w:cs="Arial" w:eastAsia="Arial" w:hAnsi="Arial"/>
          <w:sz w:val="18"/>
          <w:szCs w:val="18"/>
          <w:color w:val="auto"/>
        </w:rPr>
        <w:t>September 30, 2021 and 2020, respectively, and 3% and 4% for the nine months ended September 30, 2021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and 2020, respectively. In October 2017, we entered into an exclusive distribution agreement with Teijin Pharma</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Limited, or Teijin, for the distribution of our NeuroStar Advanced Therapy Systems and Treatment Sessions to</w:t>
      </w:r>
    </w:p>
    <w:p>
      <w:pPr>
        <w:ind w:left="60"/>
        <w:spacing w:after="0" w:line="234" w:lineRule="auto"/>
        <w:rPr>
          <w:sz w:val="20"/>
          <w:szCs w:val="20"/>
          <w:color w:val="auto"/>
        </w:rPr>
      </w:pPr>
      <w:r>
        <w:rPr>
          <w:rFonts w:ascii="Arial" w:cs="Arial" w:eastAsia="Arial" w:hAnsi="Arial"/>
          <w:sz w:val="18"/>
          <w:szCs w:val="18"/>
          <w:color w:val="auto"/>
        </w:rPr>
        <w:t>customers who will treat patients with MDD in Japan. We received regulatory approval for our system in Japan</w:t>
      </w:r>
    </w:p>
    <w:p>
      <w:pPr>
        <w:ind w:left="60"/>
        <w:spacing w:after="0" w:line="235" w:lineRule="auto"/>
        <w:rPr>
          <w:sz w:val="20"/>
          <w:szCs w:val="20"/>
          <w:color w:val="auto"/>
        </w:rPr>
      </w:pPr>
      <w:r>
        <w:rPr>
          <w:rFonts w:ascii="Arial" w:cs="Arial" w:eastAsia="Arial" w:hAnsi="Arial"/>
          <w:sz w:val="18"/>
          <w:szCs w:val="18"/>
          <w:color w:val="auto"/>
        </w:rPr>
        <w:t>in September 2017 and we received the initial reimbursement of JPY 12,000 per Treatment Session, which</w:t>
      </w:r>
    </w:p>
    <w:p>
      <w:pPr>
        <w:ind w:left="60"/>
        <w:spacing w:after="0" w:line="235" w:lineRule="auto"/>
        <w:rPr>
          <w:sz w:val="20"/>
          <w:szCs w:val="20"/>
          <w:color w:val="auto"/>
        </w:rPr>
      </w:pPr>
      <w:r>
        <w:rPr>
          <w:rFonts w:ascii="Arial" w:cs="Arial" w:eastAsia="Arial" w:hAnsi="Arial"/>
          <w:sz w:val="18"/>
          <w:szCs w:val="18"/>
          <w:color w:val="auto"/>
        </w:rPr>
        <w:t>went into effect on June 1, 2019. We expect our international revenues to increase over time as a percentage of</w:t>
      </w:r>
    </w:p>
    <w:p>
      <w:pPr>
        <w:ind w:left="60"/>
        <w:spacing w:after="0"/>
        <w:rPr>
          <w:sz w:val="20"/>
          <w:szCs w:val="20"/>
          <w:color w:val="auto"/>
        </w:rPr>
      </w:pPr>
      <w:r>
        <w:rPr>
          <w:rFonts w:ascii="Arial" w:cs="Arial" w:eastAsia="Arial" w:hAnsi="Arial"/>
          <w:sz w:val="18"/>
          <w:szCs w:val="18"/>
          <w:color w:val="auto"/>
        </w:rPr>
        <w:t>our total revenues as we grow system placements and utilization in Japan.</w:t>
      </w:r>
    </w:p>
    <w:p>
      <w:pPr>
        <w:spacing w:after="0" w:line="171"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auto"/>
        </w:rPr>
        <w:t>Our research and development efforts are focused on the following: hardware and software product developments and enhancements of our NeuroStar Advanced Therapy System and clinical development relating to expansion of our label and additional indications, which may include bipolar depression and post-traumatic stress disorder. We outsource the manufacture of components of our NeuroStar Advanced Therapy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6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Our total revenues increased by $1.4 million, or 11%, from $12.4 million for the three months ended September 30, 2020 to $13.8 million for the three months ended September 30, 2021 and increased by $ 6.6 million, or 20%, from $33.7 million for the nine months ended September 30, 2020 to $40.3 million for the nine months ended September 30, 2021. For the three and nine months ended September 30, 2021, our U.S. revenues were $13.3 million and $38.9 million compared to $12.0 million and $ 32.5 million for three and nine months ended September 30, 2020, which represents an increase of 10% and 20% period over period. The increase was primarily attributable to an increase in U.S. treatment session revenue period over period. We incurred net losses of $8.2 million and $23.6 million for the three and nine months ended September 30, 2021 compared to net losses of $3.4 million and $23.8 million for three and nine months ended September 30, 2020. We expect to continue to incur losses for the next several years as we invest in our commercial organization to support our planned sales growth and while continuing to invest in our pipeline indications. As of September 30, 2021, we had an accumulated deficit of $301.1 million.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COVID-19</w:t>
      </w:r>
    </w:p>
    <w:p>
      <w:pPr>
        <w:spacing w:after="0" w:line="207"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Throughout 2020 and the nine months ended September 30, 2021, the Company experienced a material impact to revenue, particularly with regards to U.S. treatment session revenues as a result of the COVID-19 pandemic. The Company expects that capital equipment sales and treatment session revenues will continue to be materially impacted by this pandemic as customers are deferring capital purchase decisions and new patient treatment starts. System utilization has also declined compared to pre-COVID-19 projections.</w:t>
      </w:r>
    </w:p>
    <w:p>
      <w:pPr>
        <w:spacing w:after="0" w:line="16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have monitored the impact of the COVID-19 pandemic on all aspects of our business and geographies, including how it has and will continue to impact the Company’s customers, supply chain, employees and other business partners. While we experienced significant disruptions in 2020 and the nine months ended September 30, 2021 from the COVID-19 pandemic, we are unable to predict the ultimate impact that the COVID-19 pandemic may have on our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vaccination rates and containment measures, among others. The outbreak of COVID-19 in many countries, including the United States, has significantly adversely impacted global economic activity.</w:t>
      </w:r>
    </w:p>
    <w:p>
      <w:pPr>
        <w:spacing w:after="0" w:line="16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regarding the impact of COVID-19 on the Company, see Part II, Item 1A titled “Risk Factors” of our Quarterly Report on Form 10-Q for the period ended September 30, 2021.</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5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sales or rentals of a capital component, including upgrades to the equipment attributable to the initial sale of the system. NeuroStar Advanced Therapy Systems can be purchased outright or on a rent-to-own basis by certain customers.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u w:val="single" w:color="auto"/>
          <w:color w:val="auto"/>
        </w:rPr>
        <w:t>Treatment Session Revenues</w:t>
      </w:r>
      <w:r>
        <w:rPr>
          <w:rFonts w:ascii="Arial" w:cs="Arial" w:eastAsia="Arial" w:hAnsi="Arial"/>
          <w:sz w:val="18"/>
          <w:szCs w:val="18"/>
          <w:color w:val="auto"/>
        </w:rPr>
        <w:t>. Treatment session revenues primarily include sales of NeuroStar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Sessions and SenStar treatment links. The 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38"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 Other revenues are derived primarily from service and repair and extended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our existing customers.</w:t>
      </w:r>
    </w:p>
    <w:p>
      <w:pPr>
        <w:spacing w:after="0" w:line="135"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Form 10-K filed with the SEC on March 2, 2021. We also refer you to “Note 3. Summary of Significant Accounting Policies.”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64"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travel and training expenses.</w:t>
      </w:r>
    </w:p>
    <w:p>
      <w:pPr>
        <w:spacing w:after="0" w:line="162"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We anticipate that our sales and marketing expenses will increase as we continue to execute on our growth initiatives and expand our business in the United States.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We anticipate that our general and administrative expenses will increase in fiscal year 2021 from fiscal year 2020.</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7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remain similar to our fiscal year 2020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jc w:val="both"/>
        <w:ind w:left="60" w:right="199"/>
        <w:spacing w:after="0" w:line="274" w:lineRule="auto"/>
        <w:rPr>
          <w:sz w:val="20"/>
          <w:szCs w:val="20"/>
          <w:color w:val="auto"/>
        </w:rPr>
      </w:pPr>
      <w:r>
        <w:rPr>
          <w:rFonts w:ascii="Arial" w:cs="Arial" w:eastAsia="Arial" w:hAnsi="Arial"/>
          <w:sz w:val="17"/>
          <w:szCs w:val="17"/>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income, net consists primarily of interest income earned on our money market account balances.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Dollars</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8"/>
              </w:rPr>
              <w:t>(in thousands, except</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5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13,799</w:t>
            </w: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12,448</w:t>
            </w:r>
          </w:p>
        </w:tc>
        <w:tc>
          <w:tcPr>
            <w:tcW w:w="2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1,351</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2,657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2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9,791</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864</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Pr>
          <w:p>
            <w:pPr>
              <w:ind w:left="300"/>
              <w:spacing w:after="0" w:line="196" w:lineRule="exact"/>
              <w:rPr>
                <w:sz w:val="20"/>
                <w:szCs w:val="20"/>
                <w:color w:val="auto"/>
              </w:rPr>
            </w:pPr>
            <w:r>
              <w:rPr>
                <w:rFonts w:ascii="Arial" w:cs="Arial" w:eastAsia="Arial" w:hAnsi="Arial"/>
                <w:sz w:val="18"/>
                <w:szCs w:val="18"/>
                <w:i w:val="1"/>
                <w:iCs w:val="1"/>
                <w:color w:val="auto"/>
              </w:rPr>
              <w:t>Gross Margin</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77.2</w:t>
            </w:r>
          </w:p>
        </w:tc>
        <w:tc>
          <w:tcPr>
            <w:tcW w:w="1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74"/>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78.7</w:t>
            </w:r>
          </w:p>
        </w:tc>
        <w:tc>
          <w:tcPr>
            <w:tcW w:w="2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6,435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4,210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2,225</w:t>
            </w:r>
          </w:p>
        </w:tc>
        <w:tc>
          <w:tcPr>
            <w:tcW w:w="2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17,837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12,215</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5,622</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(4,758)</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262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(4,733)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jc w:val="center"/>
              <w:spacing w:after="0"/>
              <w:rPr>
                <w:sz w:val="20"/>
                <w:szCs w:val="20"/>
                <w:color w:val="auto"/>
              </w:rPr>
            </w:pPr>
            <w:r>
              <w:rPr>
                <w:rFonts w:ascii="Arial" w:cs="Arial" w:eastAsia="Arial" w:hAnsi="Arial"/>
                <w:sz w:val="14"/>
                <w:szCs w:val="14"/>
                <w:b w:val="1"/>
                <w:bCs w:val="1"/>
                <w:color w:val="auto"/>
              </w:rPr>
              <w:t>Revenues by Geography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gridSpan w:val="13"/>
          </w:tcPr>
          <w:p>
            <w:pPr>
              <w:jc w:val="center"/>
              <w:ind w:right="35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5"/>
          </w:tcPr>
          <w:p>
            <w:pPr>
              <w:jc w:val="right"/>
              <w:ind w:right="60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5"/>
              <w:spacing w:after="0" w:line="14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gridSpan w:val="10"/>
          </w:tcPr>
          <w:p>
            <w:pPr>
              <w:ind w:left="32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7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920" w:type="dxa"/>
            <w:vAlign w:val="bottom"/>
            <w:gridSpan w:val="3"/>
            <w:shd w:val="clear" w:color="auto" w:fill="CCEEFF"/>
          </w:tcPr>
          <w:p>
            <w:pPr>
              <w:jc w:val="right"/>
              <w:ind w:right="6"/>
              <w:spacing w:after="0" w:line="202" w:lineRule="exact"/>
              <w:rPr>
                <w:sz w:val="20"/>
                <w:szCs w:val="20"/>
                <w:color w:val="auto"/>
              </w:rPr>
            </w:pPr>
            <w:r>
              <w:rPr>
                <w:rFonts w:ascii="Arial" w:cs="Arial" w:eastAsia="Arial" w:hAnsi="Arial"/>
                <w:sz w:val="18"/>
                <w:szCs w:val="18"/>
                <w:color w:val="auto"/>
              </w:rPr>
              <w:t>$ 13,280</w:t>
            </w:r>
          </w:p>
        </w:tc>
        <w:tc>
          <w:tcPr>
            <w:tcW w:w="10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96 %</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$ 12,029</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920" w:type="dxa"/>
            <w:vAlign w:val="bottom"/>
            <w:gridSpan w:val="3"/>
          </w:tcPr>
          <w:p>
            <w:pPr>
              <w:jc w:val="right"/>
              <w:ind w:right="6"/>
              <w:spacing w:after="0" w:line="202" w:lineRule="exact"/>
              <w:rPr>
                <w:sz w:val="20"/>
                <w:szCs w:val="20"/>
                <w:color w:val="auto"/>
              </w:rPr>
            </w:pPr>
            <w:r>
              <w:rPr>
                <w:rFonts w:ascii="Arial" w:cs="Arial" w:eastAsia="Arial" w:hAnsi="Arial"/>
                <w:sz w:val="18"/>
                <w:szCs w:val="18"/>
                <w:color w:val="auto"/>
              </w:rPr>
              <w:t>519</w:t>
            </w:r>
          </w:p>
        </w:tc>
        <w:tc>
          <w:tcPr>
            <w:tcW w:w="100" w:type="dxa"/>
            <w:vAlign w:val="bottom"/>
          </w:tcPr>
          <w:p>
            <w:pPr>
              <w:spacing w:after="0"/>
              <w:rPr>
                <w:sz w:val="17"/>
                <w:szCs w:val="17"/>
                <w:color w:val="auto"/>
              </w:rPr>
            </w:pPr>
          </w:p>
        </w:tc>
        <w:tc>
          <w:tcPr>
            <w:tcW w:w="102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4 %</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w:t>
            </w: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ind w:right="6"/>
              <w:spacing w:after="0" w:line="196" w:lineRule="exact"/>
              <w:rPr>
                <w:sz w:val="20"/>
                <w:szCs w:val="20"/>
                <w:color w:val="auto"/>
              </w:rPr>
            </w:pPr>
            <w:r>
              <w:rPr>
                <w:rFonts w:ascii="Arial" w:cs="Arial" w:eastAsia="Arial" w:hAnsi="Arial"/>
                <w:sz w:val="18"/>
                <w:szCs w:val="18"/>
                <w:color w:val="auto"/>
                <w:w w:val="96"/>
              </w:rPr>
              <w:t>$ 13,799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$ 12,448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right w:val="single" w:sz="8" w:color="CCEEFF"/>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13"/>
          </w:tcPr>
          <w:p>
            <w:pPr>
              <w:jc w:val="center"/>
              <w:ind w:right="33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gridSpan w:val="13"/>
          </w:tcPr>
          <w:p>
            <w:pPr>
              <w:jc w:val="center"/>
              <w:ind w:right="35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5"/>
          </w:tcPr>
          <w:p>
            <w:pPr>
              <w:jc w:val="right"/>
              <w:ind w:right="60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5"/>
              <w:spacing w:after="0" w:line="14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gridSpan w:val="10"/>
          </w:tcPr>
          <w:p>
            <w:pPr>
              <w:ind w:left="32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7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920" w:type="dxa"/>
            <w:vAlign w:val="bottom"/>
            <w:gridSpan w:val="3"/>
            <w:shd w:val="clear" w:color="auto" w:fill="CCEEFF"/>
          </w:tcPr>
          <w:p>
            <w:pPr>
              <w:jc w:val="right"/>
              <w:ind w:right="6"/>
              <w:spacing w:after="0" w:line="202" w:lineRule="exact"/>
              <w:rPr>
                <w:sz w:val="20"/>
                <w:szCs w:val="20"/>
                <w:color w:val="auto"/>
              </w:rPr>
            </w:pPr>
            <w:r>
              <w:rPr>
                <w:rFonts w:ascii="Arial" w:cs="Arial" w:eastAsia="Arial" w:hAnsi="Arial"/>
                <w:sz w:val="18"/>
                <w:szCs w:val="18"/>
                <w:color w:val="auto"/>
              </w:rPr>
              <w:t>$  2,612</w:t>
            </w:r>
          </w:p>
        </w:tc>
        <w:tc>
          <w:tcPr>
            <w:tcW w:w="10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20 %</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2,541</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920" w:type="dxa"/>
            <w:vAlign w:val="bottom"/>
            <w:gridSpan w:val="3"/>
          </w:tcPr>
          <w:p>
            <w:pPr>
              <w:jc w:val="right"/>
              <w:ind w:right="6"/>
              <w:spacing w:after="0" w:line="202" w:lineRule="exact"/>
              <w:rPr>
                <w:sz w:val="20"/>
                <w:szCs w:val="20"/>
                <w:color w:val="auto"/>
              </w:rPr>
            </w:pPr>
            <w:r>
              <w:rPr>
                <w:rFonts w:ascii="Arial" w:cs="Arial" w:eastAsia="Arial" w:hAnsi="Arial"/>
                <w:sz w:val="18"/>
                <w:szCs w:val="18"/>
                <w:color w:val="auto"/>
              </w:rPr>
              <w:t>10,259</w:t>
            </w:r>
          </w:p>
        </w:tc>
        <w:tc>
          <w:tcPr>
            <w:tcW w:w="100" w:type="dxa"/>
            <w:vAlign w:val="bottom"/>
          </w:tcPr>
          <w:p>
            <w:pPr>
              <w:spacing w:after="0"/>
              <w:rPr>
                <w:sz w:val="17"/>
                <w:szCs w:val="17"/>
                <w:color w:val="auto"/>
              </w:rPr>
            </w:pPr>
          </w:p>
        </w:tc>
        <w:tc>
          <w:tcPr>
            <w:tcW w:w="102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77 %</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9,083</w:t>
            </w: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20" w:type="dxa"/>
            <w:vAlign w:val="bottom"/>
            <w:gridSpan w:val="3"/>
            <w:shd w:val="clear" w:color="auto" w:fill="CCEEFF"/>
          </w:tcPr>
          <w:p>
            <w:pPr>
              <w:jc w:val="right"/>
              <w:ind w:right="6"/>
              <w:spacing w:after="0" w:line="202" w:lineRule="exact"/>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3 %</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418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6"/>
              <w:spacing w:after="0" w:line="196" w:lineRule="exact"/>
              <w:rPr>
                <w:sz w:val="20"/>
                <w:szCs w:val="20"/>
                <w:color w:val="auto"/>
              </w:rPr>
            </w:pPr>
            <w:r>
              <w:rPr>
                <w:rFonts w:ascii="Arial" w:cs="Arial" w:eastAsia="Arial" w:hAnsi="Arial"/>
                <w:sz w:val="18"/>
                <w:szCs w:val="18"/>
                <w:color w:val="auto"/>
                <w:w w:val="96"/>
              </w:rPr>
              <w:t>$ 13,280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$ 12,029</w:t>
            </w:r>
          </w:p>
        </w:tc>
        <w:tc>
          <w:tcPr>
            <w:tcW w:w="180" w:type="dxa"/>
            <w:vAlign w:val="bottom"/>
            <w:gridSpan w:val="2"/>
          </w:tcPr>
          <w:p>
            <w:pPr>
              <w:spacing w:after="0"/>
              <w:rPr>
                <w:sz w:val="17"/>
                <w:szCs w:val="17"/>
                <w:color w:val="auto"/>
              </w:rPr>
            </w:pPr>
          </w:p>
        </w:tc>
        <w:tc>
          <w:tcPr>
            <w:tcW w:w="680" w:type="dxa"/>
            <w:vAlign w:val="bottom"/>
            <w:tcBorders>
              <w:top w:val="single" w:sz="8" w:color="auto"/>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13"/>
          </w:tcPr>
          <w:p>
            <w:pPr>
              <w:jc w:val="center"/>
              <w:ind w:right="110"/>
              <w:spacing w:after="0"/>
              <w:rPr>
                <w:sz w:val="20"/>
                <w:szCs w:val="20"/>
                <w:color w:val="auto"/>
              </w:rPr>
            </w:pPr>
            <w:r>
              <w:rPr>
                <w:rFonts w:ascii="Arial" w:cs="Arial" w:eastAsia="Arial" w:hAnsi="Arial"/>
                <w:sz w:val="14"/>
                <w:szCs w:val="14"/>
                <w:b w:val="1"/>
                <w:bCs w:val="1"/>
                <w:color w:val="auto"/>
              </w:rPr>
              <w:t>U.S. NeuroStar Advanced Therapy System</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spacing w:after="0"/>
              <w:rPr>
                <w:sz w:val="20"/>
                <w:szCs w:val="20"/>
                <w:color w:val="auto"/>
              </w:rPr>
            </w:pPr>
            <w:r>
              <w:rPr>
                <w:rFonts w:ascii="Arial" w:cs="Arial" w:eastAsia="Arial" w:hAnsi="Arial"/>
                <w:sz w:val="14"/>
                <w:szCs w:val="14"/>
                <w:b w:val="1"/>
                <w:bCs w:val="1"/>
                <w:color w:val="auto"/>
              </w:rPr>
              <w:t>Revenues by Type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gridSpan w:val="13"/>
          </w:tcPr>
          <w:p>
            <w:pPr>
              <w:jc w:val="center"/>
              <w:ind w:right="15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1400" w:type="dxa"/>
            <w:vAlign w:val="bottom"/>
            <w:tcBorders>
              <w:top w:val="single" w:sz="8" w:color="auto"/>
            </w:tcBorders>
            <w:gridSpan w:val="5"/>
          </w:tcPr>
          <w:p>
            <w:pPr>
              <w:jc w:val="right"/>
              <w:ind w:right="42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5"/>
          </w:tcPr>
          <w:p>
            <w:pPr>
              <w:jc w:val="right"/>
              <w:ind w:right="54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gridSpan w:val="13"/>
          </w:tcPr>
          <w:p>
            <w:pPr>
              <w:jc w:val="center"/>
              <w:ind w:right="9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Capital</w:t>
            </w:r>
          </w:p>
        </w:tc>
        <w:tc>
          <w:tcPr>
            <w:tcW w:w="10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$ 2,277</w:t>
            </w:r>
          </w:p>
        </w:tc>
        <w:tc>
          <w:tcPr>
            <w:tcW w:w="102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87 %</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$ 2,438</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Operating lease</w:t>
            </w:r>
          </w:p>
        </w:tc>
        <w:tc>
          <w:tcPr>
            <w:tcW w:w="10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102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1 %</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w:t>
            </w: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60" w:type="dxa"/>
            <w:vAlign w:val="bottom"/>
            <w:gridSpan w:val="2"/>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305</w:t>
            </w:r>
          </w:p>
        </w:tc>
        <w:tc>
          <w:tcPr>
            <w:tcW w:w="160" w:type="dxa"/>
            <w:vAlign w:val="bottom"/>
            <w:gridSpan w:val="2"/>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12 %</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Total United States NeuroStar Advanced Therapy</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80" w:type="dxa"/>
            <w:vAlign w:val="bottom"/>
            <w:vMerge w:val="continue"/>
          </w:tcPr>
          <w:p>
            <w:pPr>
              <w:spacing w:after="0"/>
              <w:rPr>
                <w:sz w:val="15"/>
                <w:szCs w:val="15"/>
                <w:color w:val="auto"/>
              </w:rPr>
            </w:pPr>
          </w:p>
        </w:tc>
        <w:tc>
          <w:tcPr>
            <w:tcW w:w="102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$ 2,612</w:t>
            </w:r>
          </w:p>
        </w:tc>
        <w:tc>
          <w:tcPr>
            <w:tcW w:w="1800" w:type="dxa"/>
            <w:vAlign w:val="bottom"/>
            <w:gridSpan w:val="7"/>
            <w:vMerge w:val="restart"/>
          </w:tcPr>
          <w:p>
            <w:pPr>
              <w:jc w:val="right"/>
              <w:spacing w:after="0"/>
              <w:rPr>
                <w:sz w:val="20"/>
                <w:szCs w:val="20"/>
                <w:color w:val="auto"/>
              </w:rPr>
            </w:pPr>
            <w:r>
              <w:rPr>
                <w:rFonts w:ascii="Arial" w:cs="Arial" w:eastAsia="Arial" w:hAnsi="Arial"/>
                <w:sz w:val="18"/>
                <w:szCs w:val="18"/>
                <w:color w:val="auto"/>
              </w:rPr>
              <w:t>100 % $ 2,541</w:t>
            </w:r>
          </w:p>
        </w:tc>
        <w:tc>
          <w:tcPr>
            <w:tcW w:w="1020" w:type="dxa"/>
            <w:vAlign w:val="bottom"/>
            <w:gridSpan w:val="4"/>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0"/>
        </w:trPr>
        <w:tc>
          <w:tcPr>
            <w:tcW w:w="4180" w:type="dxa"/>
            <w:vAlign w:val="bottom"/>
          </w:tcPr>
          <w:p>
            <w:pPr>
              <w:ind w:left="100"/>
              <w:spacing w:after="0" w:line="190" w:lineRule="exact"/>
              <w:rPr>
                <w:sz w:val="20"/>
                <w:szCs w:val="20"/>
                <w:color w:val="auto"/>
              </w:rPr>
            </w:pPr>
            <w:r>
              <w:rPr>
                <w:rFonts w:ascii="Arial" w:cs="Arial" w:eastAsia="Arial" w:hAnsi="Arial"/>
                <w:sz w:val="18"/>
                <w:szCs w:val="18"/>
                <w:color w:val="auto"/>
              </w:rPr>
              <w:t>System revenues</w:t>
            </w:r>
          </w:p>
        </w:tc>
        <w:tc>
          <w:tcPr>
            <w:tcW w:w="1020" w:type="dxa"/>
            <w:vAlign w:val="bottom"/>
            <w:gridSpan w:val="4"/>
            <w:vMerge w:val="continue"/>
          </w:tcPr>
          <w:p>
            <w:pPr>
              <w:spacing w:after="0"/>
              <w:rPr>
                <w:sz w:val="16"/>
                <w:szCs w:val="16"/>
                <w:color w:val="auto"/>
              </w:rPr>
            </w:pPr>
          </w:p>
        </w:tc>
        <w:tc>
          <w:tcPr>
            <w:tcW w:w="1800" w:type="dxa"/>
            <w:vAlign w:val="bottom"/>
            <w:gridSpan w:val="7"/>
            <w:vMerge w:val="continue"/>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Total revenue for the three months ended September 30, 2021 was $13.8 million, an increase of 11% compared to the three months ended September 30, 2020 revenue of $12.4 million. During the quarter, total U.S. revenue increased by 10% and international revenue increased by 24% over the prior year quarter. The U.S. revenue growth was driven by an increase in U.S. treatment session revenue and the international revenue growth was driven by an increase in international NeuroStar Advanced Therapy System sales.</w:t>
      </w:r>
    </w:p>
    <w:p>
      <w:pPr>
        <w:spacing w:after="0" w:line="16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U.S. NeuroStar Advanced Therapy System revenue for the three months ended September 30, 2021 was $2.6 million, an increase of 3% compared to the three months ended September 30, 2020 revenue of $2.5 million. For the three months ended September 30, 2021 and 2020, the Company sold 33 and 39 systems, respectively, during each period. Additionally, for the three months ended September 30, 2021, the Company executed 7 operating lease agreements.</w:t>
      </w:r>
    </w:p>
    <w:p>
      <w:pPr>
        <w:spacing w:after="0" w:line="175" w:lineRule="exact"/>
        <w:rPr>
          <w:sz w:val="20"/>
          <w:szCs w:val="20"/>
          <w:color w:val="auto"/>
        </w:rPr>
      </w:pPr>
    </w:p>
    <w:p>
      <w:pPr>
        <w:jc w:val="both"/>
        <w:ind w:left="60" w:right="99"/>
        <w:spacing w:after="0"/>
        <w:rPr>
          <w:sz w:val="20"/>
          <w:szCs w:val="20"/>
          <w:color w:val="auto"/>
        </w:rPr>
      </w:pPr>
      <w:r>
        <w:rPr>
          <w:rFonts w:ascii="Arial" w:cs="Arial" w:eastAsia="Arial" w:hAnsi="Arial"/>
          <w:sz w:val="18"/>
          <w:szCs w:val="18"/>
          <w:color w:val="auto"/>
        </w:rPr>
        <w:t>U.S. treatment session revenue for the three months ended September 30, 2021 was $10.3 million, an increase of 13% compared to the three months ended September 30, 2020 revenue of $9.1 million. The revenue growth was primarily driven by an increase in treatment session volume over the prior year quarter.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revenues increased by $0.4 million, or 18%, from $2.7 million for the three months ended</w:t>
      </w:r>
    </w:p>
    <w:p>
      <w:pPr>
        <w:ind w:left="60" w:right="219"/>
        <w:spacing w:after="0" w:line="246" w:lineRule="auto"/>
        <w:rPr>
          <w:sz w:val="20"/>
          <w:szCs w:val="20"/>
          <w:color w:val="auto"/>
        </w:rPr>
      </w:pPr>
      <w:r>
        <w:rPr>
          <w:rFonts w:ascii="Arial" w:cs="Arial" w:eastAsia="Arial" w:hAnsi="Arial"/>
          <w:sz w:val="18"/>
          <w:szCs w:val="18"/>
          <w:color w:val="auto"/>
        </w:rPr>
        <w:t>September 30, 2020 to $ 3.1 million for the three months ended September 30, 2021. Gross margin decreased from 78.7% for the three months ended September 30, 2020 to 77.2% for the three months ended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September 30, 2021. The decrease was primarily a result of increased supply chain costs in the current quarter compared to the prior year quarter.</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Sales and marketing expenses increased by $3.7 million, or 62%, from $6.1 million for the three months ended September 30, 2020 to $9.8 million for the three months ended September 30, 2021. The increase was primarily due to marketing and sales expenses, digital paid media costs, travel expenses and trade show costs incurred in the current period versus the prior year quarter.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jc w:val="both"/>
        <w:ind w:left="60" w:right="219"/>
        <w:spacing w:after="0" w:line="257" w:lineRule="auto"/>
        <w:rPr>
          <w:sz w:val="20"/>
          <w:szCs w:val="20"/>
          <w:color w:val="auto"/>
        </w:rPr>
      </w:pPr>
      <w:r>
        <w:rPr>
          <w:rFonts w:ascii="Arial" w:cs="Arial" w:eastAsia="Arial" w:hAnsi="Arial"/>
          <w:sz w:val="17"/>
          <w:szCs w:val="17"/>
          <w:color w:val="auto"/>
        </w:rPr>
        <w:t>General and administrative expenses increased by $2.2 million, or 53%, from $4.2 million for the three months ended September 30, 2020 to $6.4 million for the three months ended September 30, 2021. The increase was primarily due to increased personnel expenses, including salary and share based compensation, IT consulting costs and insurance premiums in the current period versus the prior year quarter.</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0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Research and development expenses decreased by $0.4 million, or 19%, from $2.0 million for the three months ended September 30, 2020 to $ 1.6 million for the three months ended September 30, 2021. The decrease was primarily due to reduced clinical and product development personnel expenses offset by an increase in regulatory costs in the current period versus the prior year quarter.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Interest expense remained constant from $1.0 million for the three months ended September 30, 2020 to $1.0 million for the three months ended September 30, 2021.</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income, net increased by $0.01 million from $0.01 million for the three months ended</w:t>
      </w:r>
    </w:p>
    <w:p>
      <w:pPr>
        <w:ind w:left="60" w:right="319"/>
        <w:spacing w:after="0" w:line="246" w:lineRule="auto"/>
        <w:rPr>
          <w:sz w:val="20"/>
          <w:szCs w:val="20"/>
          <w:color w:val="auto"/>
        </w:rPr>
      </w:pPr>
      <w:r>
        <w:rPr>
          <w:rFonts w:ascii="Arial" w:cs="Arial" w:eastAsia="Arial" w:hAnsi="Arial"/>
          <w:sz w:val="18"/>
          <w:szCs w:val="18"/>
          <w:color w:val="auto"/>
        </w:rPr>
        <w:t>September 30, 2020 to $0.02 million for the three months ended September 30, 2021, primarily as a result of increased interest income earned on the Company’s money market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39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63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Dollars</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7"/>
              </w:rPr>
              <w:t>(in thousands, except</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40,290</w:t>
            </w: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33,665</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6,625</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8,115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7,791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2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32,175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25,874</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6,301</w:t>
            </w: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ind w:left="300"/>
              <w:spacing w:after="0" w:line="196" w:lineRule="exact"/>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79.9</w:t>
            </w:r>
          </w:p>
        </w:tc>
        <w:tc>
          <w:tcPr>
            <w:tcW w:w="1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76.9</w:t>
            </w:r>
          </w:p>
        </w:tc>
        <w:tc>
          <w:tcPr>
            <w:tcW w:w="2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24,926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2,505</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19,220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13,508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5,712</w:t>
            </w:r>
          </w:p>
        </w:tc>
        <w:tc>
          <w:tcPr>
            <w:tcW w:w="2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(910)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52,830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45,523</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7,307</w:t>
            </w:r>
          </w:p>
        </w:tc>
        <w:tc>
          <w:tcPr>
            <w:tcW w:w="2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(19,649)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(556)</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7"/>
                <w:szCs w:val="17"/>
                <w:color w:val="auto"/>
              </w:rPr>
            </w:pPr>
          </w:p>
        </w:tc>
        <w:tc>
          <w:tcPr>
            <w:tcW w:w="9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(924)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ind w:left="30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(23,796)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w:t>
            </w:r>
          </w:p>
        </w:tc>
        <w:tc>
          <w:tcPr>
            <w:tcW w:w="2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Revenues by Geography</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12"/>
          </w:tcPr>
          <w:p>
            <w:pPr>
              <w:jc w:val="center"/>
              <w:ind w:right="17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bottom w:val="single" w:sz="8" w:color="auto"/>
            </w:tcBorders>
            <w:gridSpan w:val="4"/>
          </w:tcPr>
          <w:p>
            <w:pPr>
              <w:jc w:val="right"/>
              <w:ind w:right="56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3"/>
          </w:tcPr>
          <w:p>
            <w:pPr>
              <w:jc w:val="right"/>
              <w:ind w:right="57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ind w:right="104"/>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4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w w:val="99"/>
              </w:rPr>
              <w:t>Revenues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10"/>
          </w:tcPr>
          <w:p>
            <w:pPr>
              <w:ind w:left="520"/>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7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6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$ 38,891</w:t>
            </w:r>
          </w:p>
        </w:tc>
        <w:tc>
          <w:tcPr>
            <w:tcW w:w="10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32,473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1,399</w:t>
            </w: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1,192</w:t>
            </w: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$ 40,290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12"/>
          </w:tcPr>
          <w:p>
            <w:pPr>
              <w:jc w:val="center"/>
              <w:ind w:right="21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12"/>
          </w:tcPr>
          <w:p>
            <w:pPr>
              <w:jc w:val="right"/>
              <w:ind w:right="73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3"/>
          </w:tcPr>
          <w:p>
            <w:pPr>
              <w:jc w:val="right"/>
              <w:ind w:right="59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ind w:right="144"/>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920" w:type="dxa"/>
            <w:vAlign w:val="bottom"/>
            <w:gridSpan w:val="3"/>
          </w:tcPr>
          <w:p>
            <w:pPr>
              <w:jc w:val="right"/>
              <w:ind w:right="158"/>
              <w:spacing w:after="0"/>
              <w:rPr>
                <w:sz w:val="20"/>
                <w:szCs w:val="20"/>
                <w:color w:val="auto"/>
              </w:rPr>
            </w:pPr>
            <w:r>
              <w:rPr>
                <w:rFonts w:ascii="Arial" w:cs="Arial" w:eastAsia="Arial" w:hAnsi="Arial"/>
                <w:sz w:val="14"/>
                <w:szCs w:val="14"/>
                <w:b w:val="1"/>
                <w:bCs w:val="1"/>
                <w:color w:val="auto"/>
                <w:w w:val="99"/>
              </w:rPr>
              <w:t>Revenues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500" w:type="dxa"/>
            <w:vAlign w:val="bottom"/>
            <w:tcBorders>
              <w:top w:val="single" w:sz="8" w:color="auto"/>
            </w:tcBorders>
            <w:gridSpan w:val="11"/>
          </w:tcPr>
          <w:p>
            <w:pPr>
              <w:jc w:val="center"/>
              <w:ind w:right="57"/>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1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21"/>
              <w:spacing w:after="0" w:line="202" w:lineRule="exact"/>
              <w:rPr>
                <w:sz w:val="20"/>
                <w:szCs w:val="20"/>
                <w:color w:val="auto"/>
              </w:rPr>
            </w:pPr>
            <w:r>
              <w:rPr>
                <w:rFonts w:ascii="Arial" w:cs="Arial" w:eastAsia="Arial" w:hAnsi="Arial"/>
                <w:sz w:val="18"/>
                <w:szCs w:val="18"/>
                <w:color w:val="auto"/>
              </w:rPr>
              <w:t>6,945</w:t>
            </w:r>
          </w:p>
        </w:tc>
        <w:tc>
          <w:tcPr>
            <w:tcW w:w="10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30,688</w:t>
            </w: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79 %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23,823</w:t>
            </w: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21"/>
              <w:spacing w:after="0" w:line="202" w:lineRule="exact"/>
              <w:rPr>
                <w:sz w:val="20"/>
                <w:szCs w:val="20"/>
                <w:color w:val="auto"/>
              </w:rPr>
            </w:pPr>
            <w:r>
              <w:rPr>
                <w:rFonts w:ascii="Arial" w:cs="Arial" w:eastAsia="Arial" w:hAnsi="Arial"/>
                <w:sz w:val="18"/>
                <w:szCs w:val="18"/>
                <w:color w:val="auto"/>
              </w:rPr>
              <w:t>1,258</w:t>
            </w:r>
          </w:p>
        </w:tc>
        <w:tc>
          <w:tcPr>
            <w:tcW w:w="10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1,176</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424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21"/>
              <w:spacing w:after="0" w:line="196" w:lineRule="exact"/>
              <w:rPr>
                <w:sz w:val="20"/>
                <w:szCs w:val="20"/>
                <w:color w:val="auto"/>
              </w:rPr>
            </w:pPr>
            <w:r>
              <w:rPr>
                <w:rFonts w:ascii="Arial" w:cs="Arial" w:eastAsia="Arial" w:hAnsi="Arial"/>
                <w:sz w:val="18"/>
                <w:szCs w:val="18"/>
                <w:color w:val="auto"/>
              </w:rPr>
              <w:t>38,891</w:t>
            </w:r>
          </w:p>
        </w:tc>
        <w:tc>
          <w:tcPr>
            <w:tcW w:w="1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ind w:right="24"/>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4"/>
              </w:rPr>
              <w:t>%</w:t>
            </w:r>
          </w:p>
        </w:tc>
        <w:tc>
          <w:tcPr>
            <w:tcW w:w="4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32,473</w:t>
            </w:r>
          </w:p>
        </w:tc>
        <w:tc>
          <w:tcPr>
            <w:tcW w:w="160" w:type="dxa"/>
            <w:vAlign w:val="bottom"/>
            <w:tcBorders>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rPr>
              <w:t>U.S. NeuroStar Advanced Therapy System</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Revenues by Type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Borders>
              <w:top w:val="single" w:sz="8" w:color="auto"/>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3"/>
          </w:tcPr>
          <w:p>
            <w:pPr>
              <w:jc w:val="right"/>
              <w:ind w:right="5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6"/>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16"/>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Amount   Revenues</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Capital</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$ 6,307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91 %</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$ 7,072</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Operating lease</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3 %</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6 %</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Total United States NeuroStar Advanced Therapy</w:t>
            </w: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80" w:type="dxa"/>
            <w:vAlign w:val="bottom"/>
            <w:vMerge w:val="continue"/>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$ 6,945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100 % $ 7,474</w:t>
            </w:r>
          </w:p>
        </w:tc>
        <w:tc>
          <w:tcPr>
            <w:tcW w:w="1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0"/>
        </w:trPr>
        <w:tc>
          <w:tcPr>
            <w:tcW w:w="4280" w:type="dxa"/>
            <w:vAlign w:val="bottom"/>
          </w:tcPr>
          <w:p>
            <w:pPr>
              <w:ind w:left="100"/>
              <w:spacing w:after="0" w:line="190" w:lineRule="exact"/>
              <w:rPr>
                <w:sz w:val="20"/>
                <w:szCs w:val="20"/>
                <w:color w:val="auto"/>
              </w:rPr>
            </w:pPr>
            <w:r>
              <w:rPr>
                <w:rFonts w:ascii="Arial" w:cs="Arial" w:eastAsia="Arial" w:hAnsi="Arial"/>
                <w:sz w:val="18"/>
                <w:szCs w:val="18"/>
                <w:color w:val="auto"/>
              </w:rPr>
              <w:t>System revenues</w:t>
            </w: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Total revenue for the nine months ended September 30, 2021 was $40.3 million, an increase of 20% compared to the nine months ended September 30, 2020 revenue of $33.7 million. During the nine months ended September 30, 2021, total U.S. revenue increased by 20% and international revenue increased by 17% over the nine months ended September 30, 2020. The U.S. revenue growth was driven by an increase in U.S. treatment session revenue and the international revenue growth was driven by an increase in NeuroStar Advanced Therapy System sales.</w:t>
      </w:r>
    </w:p>
    <w:p>
      <w:pPr>
        <w:spacing w:after="0" w:line="16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U.S. NeuroStar Advanced Therapy System revenue for the nine months ended September 30, 2021 was $6.9 million, a decrease of 7% compared to the nine months ended September 30, 2020 revenue of $7.5 million. The decrease was primarily driven by a lower number of NeuroStar systems sold in the nine months ended September 30, 2021, which was partially offset by an increase in the blended NeuroStar system average selling price over the nine months ended September 30, 2020. For the nine months ended September 30, 2021 and 2020, the Company sold 92 and 112 systems, respectively, during each period. Additionally, for the nine months ended September 30, 2021, the Company executed 7 operating lease agreements.</w:t>
      </w:r>
    </w:p>
    <w:p>
      <w:pPr>
        <w:spacing w:after="0" w:line="176"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U.S. treatment session revenue for the nine months ended September 30, 2021 was $30.7 million, an increase of 29% compared to the nine months ended September 30, 2020 revenue of $23.8 million. The revenue growth was primarily driven by an increase in treatment session volume period over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revenues increased by $0.3 million, or 4%, from $7.8 million for the nine months ended</w:t>
      </w:r>
    </w:p>
    <w:p>
      <w:pPr>
        <w:ind w:left="60"/>
        <w:spacing w:after="0" w:line="234" w:lineRule="auto"/>
        <w:rPr>
          <w:sz w:val="20"/>
          <w:szCs w:val="20"/>
          <w:color w:val="auto"/>
        </w:rPr>
      </w:pPr>
      <w:r>
        <w:rPr>
          <w:rFonts w:ascii="Arial" w:cs="Arial" w:eastAsia="Arial" w:hAnsi="Arial"/>
          <w:sz w:val="18"/>
          <w:szCs w:val="18"/>
          <w:color w:val="auto"/>
        </w:rPr>
        <w:t>September 30, 2020 to $8.1 million for the nine months ended September 30, 2021. Gross margin increased</w:t>
      </w:r>
    </w:p>
    <w:p>
      <w:pPr>
        <w:ind w:left="60"/>
        <w:spacing w:after="0" w:line="235" w:lineRule="auto"/>
        <w:rPr>
          <w:sz w:val="20"/>
          <w:szCs w:val="20"/>
          <w:color w:val="auto"/>
        </w:rPr>
      </w:pPr>
      <w:r>
        <w:rPr>
          <w:rFonts w:ascii="Arial" w:cs="Arial" w:eastAsia="Arial" w:hAnsi="Arial"/>
          <w:sz w:val="18"/>
          <w:szCs w:val="18"/>
          <w:color w:val="auto"/>
        </w:rPr>
        <w:t>from 76.9% for the nine months ended September 30, 2020 to 79.9% for the nine months ended</w:t>
      </w:r>
    </w:p>
    <w:p>
      <w:pPr>
        <w:ind w:left="60"/>
        <w:spacing w:after="0" w:line="235" w:lineRule="auto"/>
        <w:rPr>
          <w:sz w:val="20"/>
          <w:szCs w:val="20"/>
          <w:color w:val="auto"/>
        </w:rPr>
      </w:pPr>
      <w:r>
        <w:rPr>
          <w:rFonts w:ascii="Arial" w:cs="Arial" w:eastAsia="Arial" w:hAnsi="Arial"/>
          <w:sz w:val="18"/>
          <w:szCs w:val="18"/>
          <w:color w:val="auto"/>
        </w:rPr>
        <w:t>September 30, 2021. The increase was primarily a result of a change in the product mix of revenues versus the</w:t>
      </w:r>
    </w:p>
    <w:p>
      <w:pPr>
        <w:ind w:left="60"/>
        <w:spacing w:after="0"/>
        <w:rPr>
          <w:sz w:val="20"/>
          <w:szCs w:val="20"/>
          <w:color w:val="auto"/>
        </w:rPr>
      </w:pPr>
      <w:r>
        <w:rPr>
          <w:rFonts w:ascii="Arial" w:cs="Arial" w:eastAsia="Arial" w:hAnsi="Arial"/>
          <w:sz w:val="18"/>
          <w:szCs w:val="18"/>
          <w:color w:val="auto"/>
        </w:rPr>
        <w:t>prior year period.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Sales and marketing expenses increased by $2.5 million, or 10%, from $24.9 million for the nine months ended September 30, 2020 to $27.4 million for the nine months ended September 30, 2021. The increase was primarily due to marketing and sales expenses, digital paid media costs, travel expenses and trade show costs versus the prior year period.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jc w:val="both"/>
        <w:ind w:left="60" w:right="179"/>
        <w:spacing w:after="0" w:line="238" w:lineRule="auto"/>
        <w:rPr>
          <w:sz w:val="20"/>
          <w:szCs w:val="20"/>
          <w:color w:val="auto"/>
        </w:rPr>
      </w:pPr>
      <w:r>
        <w:rPr>
          <w:rFonts w:ascii="Arial" w:cs="Arial" w:eastAsia="Arial" w:hAnsi="Arial"/>
          <w:sz w:val="18"/>
          <w:szCs w:val="18"/>
          <w:color w:val="auto"/>
        </w:rPr>
        <w:t>General and administrative expenses increased by $5.7 million, or 42%, from $13.5 million for the nine months ended September 30, 2020 to $19.2 million for the nine months ended September 30, 2021. The increase was primarily due to increased personnel expenses related to bonus, salary and share based compensation versus the prior year period.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Research and development expenses decreased by $ 0.9 million, or 13%, from $7.1 million for the nine months ended September 30, 2020 to $ 6.2 million for the nine months ended September 30, 2021. The decrease was primarily due to reduced clinical and product development personnel expenses offset by an increase in regulatory costs versus the prior year period.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decreased by $0.5 million, or 16%, from $3.5 million for the nine months ended</w:t>
      </w:r>
    </w:p>
    <w:p>
      <w:pPr>
        <w:ind w:left="60" w:right="159"/>
        <w:spacing w:after="0" w:line="238" w:lineRule="auto"/>
        <w:rPr>
          <w:sz w:val="20"/>
          <w:szCs w:val="20"/>
          <w:color w:val="auto"/>
        </w:rPr>
      </w:pPr>
      <w:r>
        <w:rPr>
          <w:rFonts w:ascii="Arial" w:cs="Arial" w:eastAsia="Arial" w:hAnsi="Arial"/>
          <w:sz w:val="18"/>
          <w:szCs w:val="18"/>
          <w:color w:val="auto"/>
        </w:rPr>
        <w:t>September 30, 2020 to $3.0 million for the nine months ended September 30, 2021. The decrease in interest expense was due to the loss on extinguishment of debt charge recognized in the first quarter of 2020 as part of Oxford debt facility. Refer to “Note 13. Debt” in the financial statements included in this Quarterly Report on Form 10-Q for information regarding the Oxford debt facility.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right="499"/>
        <w:spacing w:after="0"/>
        <w:rPr>
          <w:sz w:val="20"/>
          <w:szCs w:val="20"/>
          <w:color w:val="auto"/>
        </w:rPr>
      </w:pPr>
      <w:r>
        <w:rPr>
          <w:rFonts w:ascii="Arial" w:cs="Arial" w:eastAsia="Arial" w:hAnsi="Arial"/>
          <w:sz w:val="18"/>
          <w:szCs w:val="18"/>
          <w:color w:val="auto"/>
        </w:rPr>
        <w:t>Other income, net decreased by $0.2 million, or 82%, from $0.3 million for the nine months ended September 30, 2020 to $0.1 million for the nine months ended September 30, 2021, primarily as a result of decreased interest income earned on the Company’s money market accounts.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February 2, 2021, we closed on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78"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As of September 30, 2021, we had cash and cash equivalents of $99.4 million and an accumulated deficit of $301.1 million, compared to cash and cash equivalents of $49.0 million and an accumulated deficit of $277.5 million as of December 31, 2020. We incurred negative cash flows from operating activities of $23.5 million and $26.7 million for the nine months ended September 30, 2021 and 2020,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sales of our products and other public offerings of our common stock. As of September 30, 2021, the Company had $35.0 million of borrowings outstanding under its credit facility, which has a final maturity in February 2025. As discussed in Note 13, the outstanding balance under the credit facility is classified as a current liability as of September 30, 2021. Management believes that the Company’s cash and cash equivalents as of September 30, 2021 and anticipated revenues from sales of its products are sufficient to fund the Company’s operations for at least 12 months from the issuance of these financial statements.</w:t>
      </w:r>
    </w:p>
    <w:p>
      <w:pPr>
        <w:spacing w:after="0" w:line="17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171" w:lineRule="exact"/>
        <w:rPr>
          <w:sz w:val="20"/>
          <w:szCs w:val="20"/>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198" w:lineRule="exact"/>
        <w:rPr>
          <w:rFonts w:ascii="Arial" w:cs="Arial" w:eastAsia="Arial" w:hAnsi="Arial"/>
          <w:sz w:val="18"/>
          <w:szCs w:val="18"/>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execute on our new sales and marketing strategy</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198" w:lineRule="exact"/>
        <w:rPr>
          <w:rFonts w:ascii="Arial" w:cs="Arial" w:eastAsia="Arial" w:hAnsi="Arial"/>
          <w:sz w:val="18"/>
          <w:szCs w:val="18"/>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184"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156"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169" w:lineRule="exact"/>
        <w:rPr>
          <w:rFonts w:ascii="Arial" w:cs="Arial" w:eastAsia="Arial" w:hAnsi="Arial"/>
          <w:sz w:val="18"/>
          <w:szCs w:val="18"/>
          <w:color w:val="auto"/>
        </w:rPr>
      </w:pPr>
    </w:p>
    <w:p>
      <w:pPr>
        <w:ind w:left="960" w:right="279" w:hanging="437"/>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56" w:lineRule="exact"/>
        <w:rPr>
          <w:rFonts w:ascii="Arial" w:cs="Arial" w:eastAsia="Arial" w:hAnsi="Arial"/>
          <w:sz w:val="18"/>
          <w:szCs w:val="18"/>
          <w:color w:val="auto"/>
        </w:rPr>
      </w:pPr>
    </w:p>
    <w:p>
      <w:pPr>
        <w:ind w:left="960" w:right="459" w:hanging="437"/>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w:t>
      </w:r>
    </w:p>
    <w:p>
      <w:pPr>
        <w:spacing w:after="0" w:line="156" w:lineRule="exact"/>
        <w:rPr>
          <w:rFonts w:ascii="Arial" w:cs="Arial" w:eastAsia="Arial" w:hAnsi="Arial"/>
          <w:sz w:val="18"/>
          <w:szCs w:val="18"/>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98" w:lineRule="exact"/>
        <w:rPr>
          <w:rFonts w:ascii="Arial" w:cs="Arial" w:eastAsia="Arial" w:hAnsi="Arial"/>
          <w:sz w:val="18"/>
          <w:szCs w:val="18"/>
          <w:color w:val="auto"/>
        </w:rPr>
      </w:pPr>
    </w:p>
    <w:p>
      <w:pPr>
        <w:ind w:left="960" w:hanging="4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84" w:lineRule="exact"/>
        <w:rPr>
          <w:rFonts w:ascii="Arial" w:cs="Arial" w:eastAsia="Arial" w:hAnsi="Arial"/>
          <w:sz w:val="18"/>
          <w:szCs w:val="18"/>
          <w:color w:val="auto"/>
        </w:rPr>
      </w:pPr>
    </w:p>
    <w:p>
      <w:pPr>
        <w:ind w:left="960" w:right="319" w:hanging="437"/>
        <w:spacing w:after="0" w:line="23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w:t>
      </w:r>
      <w:r>
        <w:rPr>
          <w:rFonts w:ascii="Arial" w:cs="Arial" w:eastAsia="Arial" w:hAnsi="Arial"/>
          <w:sz w:val="16"/>
          <w:szCs w:val="16"/>
          <w:color w:val="auto"/>
        </w:rPr>
        <w:t>tial cost of and delays in product development as a result of any regulatory oversight applicable to</w:t>
      </w:r>
      <w:r>
        <w:rPr>
          <w:rFonts w:ascii="Arial" w:cs="Arial" w:eastAsia="Arial" w:hAnsi="Arial"/>
          <w:sz w:val="18"/>
          <w:szCs w:val="18"/>
          <w:color w:val="auto"/>
        </w:rPr>
        <w:t xml:space="preserve"> </w:t>
      </w:r>
      <w:r>
        <w:rPr>
          <w:rFonts w:ascii="Arial" w:cs="Arial" w:eastAsia="Arial" w:hAnsi="Arial"/>
          <w:sz w:val="16"/>
          <w:szCs w:val="16"/>
          <w:color w:val="auto"/>
        </w:rPr>
        <w:t>our products.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03"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The following table sets forth a summary of our cash flows for the nine months ended September 30, 2021 and 2020:</w:t>
      </w:r>
    </w:p>
    <w:p>
      <w:pPr>
        <w:spacing w:after="0" w:line="333" w:lineRule="exact"/>
        <w:rPr>
          <w:sz w:val="20"/>
          <w:szCs w:val="20"/>
          <w:color w:val="auto"/>
        </w:rPr>
      </w:pPr>
    </w:p>
    <w:tbl>
      <w:tblPr>
        <w:tblLayout w:type="fixed"/>
        <w:tblInd w:w="78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7"/>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r>
      <w:tr>
        <w:trPr>
          <w:trHeight w:val="142"/>
        </w:trPr>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5"/>
          </w:tcPr>
          <w:p>
            <w:pPr>
              <w:jc w:val="right"/>
              <w:ind w:right="634"/>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(23,459)</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(26,687)</w:t>
            </w:r>
          </w:p>
        </w:tc>
        <w:tc>
          <w:tcPr>
            <w:tcW w:w="2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20" w:type="dxa"/>
            <w:vAlign w:val="bottom"/>
          </w:tcPr>
          <w:p>
            <w:pPr>
              <w:spacing w:after="0"/>
              <w:rPr>
                <w:sz w:val="17"/>
                <w:szCs w:val="17"/>
                <w:color w:val="auto"/>
              </w:rPr>
            </w:pPr>
          </w:p>
        </w:tc>
      </w:tr>
      <w:tr>
        <w:trPr>
          <w:trHeight w:val="202"/>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82,974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2,313</w:t>
            </w:r>
          </w:p>
        </w:tc>
        <w:tc>
          <w:tcPr>
            <w:tcW w:w="20" w:type="dxa"/>
            <w:vAlign w:val="bottom"/>
            <w:shd w:val="clear" w:color="auto" w:fill="CCEEFF"/>
          </w:tcPr>
          <w:p>
            <w:pPr>
              <w:spacing w:after="0"/>
              <w:rPr>
                <w:sz w:val="17"/>
                <w:szCs w:val="17"/>
                <w:color w:val="auto"/>
              </w:rPr>
            </w:pPr>
          </w:p>
        </w:tc>
      </w:tr>
      <w:tr>
        <w:trPr>
          <w:trHeight w:val="196"/>
        </w:trPr>
        <w:tc>
          <w:tcPr>
            <w:tcW w:w="4760" w:type="dxa"/>
            <w:vAlign w:val="bottom"/>
          </w:tcPr>
          <w:p>
            <w:pPr>
              <w:ind w:left="10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50,477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(24,989)</w:t>
            </w:r>
          </w:p>
        </w:tc>
        <w:tc>
          <w:tcPr>
            <w:tcW w:w="20" w:type="dxa"/>
            <w:vAlign w:val="bottom"/>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8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Net cash used in operating activities for the nine months ended September 30, 2021 was $ 23.5 million, consisting primarily of a net loss of $23.6 million and an increase in net operating assets of $7.5 million, partially offset by non-cash charges of $7.6 million. The increase in net operating assets was primarily due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increases in accounts receivable and inventory and decreases in accounts payable and accrued expenses as a result of timing and the 2021 payment of the 2020 bonus compensation accrued as of December 31, 2020. Non-cash charges consisted of depreciation and amortization, non-cash interest expense, share-based compensation, and the cost of rental units purchased by customers.</w:t>
      </w:r>
    </w:p>
    <w:p>
      <w:pPr>
        <w:spacing w:after="0" w:line="16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Net cash used in operating activities for the nine months ended September 30, 2020 was $26.7 million, consisting primarily of a net loss of $23.8 million and a decrease in net operating liabilities of $8.4 million, partially offset by non-cash charges of $5.5 million. The decrease in net operating liabilities was primarily due to decreases in accounts payable and accrued expenses as a result of timing and the 2020 payments of 2019 incentive compensation and commissions accrued as of December 31, 2019. Non-cash charges consisted of loss on debt extinguishment, depreciation and amortization, non-cash interest expense, share-based compensation, and the cost of rental units purchased by customers.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used in investing activities for the nine months ended September 30, 2021 and 2020 was $9.0 million</w:t>
      </w:r>
    </w:p>
    <w:p>
      <w:pPr>
        <w:ind w:left="60"/>
        <w:spacing w:after="0" w:line="234" w:lineRule="auto"/>
        <w:rPr>
          <w:sz w:val="20"/>
          <w:szCs w:val="20"/>
          <w:color w:val="auto"/>
        </w:rPr>
      </w:pPr>
      <w:r>
        <w:rPr>
          <w:rFonts w:ascii="Arial" w:cs="Arial" w:eastAsia="Arial" w:hAnsi="Arial"/>
          <w:sz w:val="18"/>
          <w:szCs w:val="18"/>
          <w:color w:val="auto"/>
        </w:rPr>
        <w:t>and $0.6 million, respectively. Net cash used in investing activities for the the nine months ended</w:t>
      </w:r>
    </w:p>
    <w:p>
      <w:pPr>
        <w:ind w:left="60"/>
        <w:spacing w:after="0" w:line="235" w:lineRule="auto"/>
        <w:rPr>
          <w:sz w:val="20"/>
          <w:szCs w:val="20"/>
          <w:color w:val="auto"/>
        </w:rPr>
      </w:pPr>
      <w:r>
        <w:rPr>
          <w:rFonts w:ascii="Arial" w:cs="Arial" w:eastAsia="Arial" w:hAnsi="Arial"/>
          <w:sz w:val="18"/>
          <w:szCs w:val="18"/>
          <w:color w:val="auto"/>
        </w:rPr>
        <w:t>September 30, 2021 was due to the issuance of our promissory note and purchases of property and equipment</w:t>
      </w:r>
    </w:p>
    <w:p>
      <w:pPr>
        <w:ind w:left="60"/>
        <w:spacing w:after="0" w:line="235" w:lineRule="auto"/>
        <w:rPr>
          <w:sz w:val="20"/>
          <w:szCs w:val="20"/>
          <w:color w:val="auto"/>
        </w:rPr>
      </w:pPr>
      <w:r>
        <w:rPr>
          <w:rFonts w:ascii="Arial" w:cs="Arial" w:eastAsia="Arial" w:hAnsi="Arial"/>
          <w:sz w:val="18"/>
          <w:szCs w:val="18"/>
          <w:color w:val="auto"/>
        </w:rPr>
        <w:t>and capitalized software costs. Net cash used in investing activities for the the nine months ended</w:t>
      </w:r>
    </w:p>
    <w:p>
      <w:pPr>
        <w:ind w:left="60"/>
        <w:spacing w:after="0"/>
        <w:rPr>
          <w:sz w:val="20"/>
          <w:szCs w:val="20"/>
          <w:color w:val="auto"/>
        </w:rPr>
      </w:pPr>
      <w:r>
        <w:rPr>
          <w:rFonts w:ascii="Arial" w:cs="Arial" w:eastAsia="Arial" w:hAnsi="Arial"/>
          <w:sz w:val="18"/>
          <w:szCs w:val="18"/>
          <w:color w:val="auto"/>
        </w:rPr>
        <w:t>September 30, 2020 was due to purchases of property and equipment and capitalized software costs.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Net cash provided by financing activities for the nine months ended September 30, 2021 was $83.0 million and primarily consisted of additional proceeds from our Offering and cash proceeds related to stock option exercises. Net cash provided by financing activities for the nine months ended September 30, 2020 was $2.3 million and consisted of additional proceeds from our loan refinance and cash proceeds related to stock option exercises.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193"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78"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The Solar Facility permits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w:t>
      </w:r>
    </w:p>
    <w:p>
      <w:pPr>
        <w:spacing w:after="0" w:line="3" w:lineRule="exact"/>
        <w:rPr>
          <w:sz w:val="20"/>
          <w:szCs w:val="20"/>
          <w:color w:val="auto"/>
        </w:rPr>
      </w:pPr>
    </w:p>
    <w:p>
      <w:pPr>
        <w:ind w:left="60" w:right="639" w:hanging="10"/>
        <w:spacing w:after="0" w:line="261" w:lineRule="auto"/>
        <w:tabs>
          <w:tab w:leader="none" w:pos="3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December 15, 2021, (b) 30 days following achievement of the net product revenue condition or (c) the occurrence of an event of default.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w:t>
      </w:r>
    </w:p>
    <w:p>
      <w:pPr>
        <w:spacing w:after="0" w:line="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4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56"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w:t>
      </w:r>
    </w:p>
    <w:p>
      <w:pPr>
        <w:spacing w:after="0" w:line="2" w:lineRule="exact"/>
        <w:rPr>
          <w:sz w:val="20"/>
          <w:szCs w:val="20"/>
          <w:color w:val="auto"/>
        </w:rPr>
      </w:pPr>
    </w:p>
    <w:p>
      <w:pPr>
        <w:ind w:left="60" w:right="59" w:hanging="10"/>
        <w:spacing w:after="0" w:line="237" w:lineRule="auto"/>
        <w:tabs>
          <w:tab w:leader="none" w:pos="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178"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62"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The Solar Amendment also reduces the trailing twelve-month net product revenue requirement for the Amended Term B Loan portion of the facility. Subject to certain conditions, the Company has the ability to extend the interest-only period on the initial Term A Loan to 36 months from 24 months upon achieving the revenue targets associated with the Amended Term B Loan. As of September 30, 2021, the Company is in compliance with the required minimum net product revenue covenant and anticipates electing to extend the interest-only period through March 1, 2023 for the Term A Loan, subject to continuing to meet the required conditions through and as of March 1, 2022. The Company is projected to be in compliance with the required covenant. The Company was required to pay an amendment fee of $0.1 million to Solar, which has been recognized as a deferred debt issuance cost as of December 31, 2020 that will be amortized to interest expense using the effective interest method.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45"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119" w:hanging="10"/>
        <w:spacing w:after="0" w:line="237"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The Company and lenders executed the Solar Amendment in December 2020 that reduced the minimum trailing net revenue covenant requirement amounts beginning on December 31, 2020 to allow the Company to maintain compliance with the covenant as of December 31, 2020. As of September 30, 2021, the Company is in compliance with the financial covenant and is projected to be in compliance with the reduced minimum revenue covenant amounts going forward.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the Company is in compliance with all covenants in the Solar Facility.</w:t>
      </w:r>
    </w:p>
    <w:p>
      <w:pPr>
        <w:spacing w:after="0" w:line="171"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Based upon the Company’s projected revenues for the remainder of 2021, the Company believes that it is probable that this minimum revenue covenant will not be achieved. The Company is in discussions with the lenders for a potential covenant waiver or amendment, however, no formal agreement has been executed. The Solar Facility also includes subjective acceleration clauses which permit the lenders to accelerate the maturity date under certain circumstances, including, but not limited to, material adverse effects on a Company’s financial status or otherwise. In accordance with FASB ASC 470 as the Solar Facility contains subjective acceleration clauses and the assessment that it is probable that the revenue covenant will not be met as of December 31, 2021, the outstanding principal under the Solar Facility is classified as a current liability in the accompanying balance sheet as of September 30, 2021.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Non-Cash Interest Expense</w:t>
      </w:r>
    </w:p>
    <w:p>
      <w:pPr>
        <w:spacing w:after="0" w:line="20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For the nine months ended September 30, 2021, we recognized interest expense of $3.0 million, of which $2.5 million was cash and $0.5 million was non-cash interest expense related to the amortization of deferred financing costs and accrual of final payment fees. For the nine months ended September 30, 2020, we recognized interest expense of $3.5 million, of which $3.1 million was cash and $0.4 million was non-cash interest expense related to the amortization of deferred financing costs and accrual of final payment fees.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Offering</w:t>
      </w:r>
    </w:p>
    <w:p>
      <w:pPr>
        <w:spacing w:after="0" w:line="193"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On February 2, 2021, we closed on our public offering and sale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60" w:right="1019"/>
        <w:spacing w:after="0" w:line="274" w:lineRule="auto"/>
        <w:rPr>
          <w:sz w:val="20"/>
          <w:szCs w:val="20"/>
          <w:color w:val="auto"/>
        </w:rPr>
      </w:pPr>
      <w:r>
        <w:rPr>
          <w:rFonts w:ascii="Arial" w:cs="Arial" w:eastAsia="Arial" w:hAnsi="Arial"/>
          <w:sz w:val="17"/>
          <w:szCs w:val="17"/>
          <w:color w:val="auto"/>
        </w:rPr>
        <w:t>We do not maintain any off-balance sheet arrangements, partnerships or other relationships with unconsolidated entities, often referred to as structured finance or special-purpose entities, which are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619"/>
        <w:spacing w:after="0" w:line="246" w:lineRule="auto"/>
        <w:rPr>
          <w:sz w:val="20"/>
          <w:szCs w:val="20"/>
          <w:color w:val="auto"/>
        </w:rPr>
      </w:pPr>
      <w:r>
        <w:rPr>
          <w:rFonts w:ascii="Arial" w:cs="Arial" w:eastAsia="Arial" w:hAnsi="Arial"/>
          <w:sz w:val="18"/>
          <w:szCs w:val="18"/>
          <w:color w:val="auto"/>
        </w:rPr>
        <w:t>established for the purpose of facilitating off-balance sheet arrangements or other contractually narrow or limited purposes.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93" w:lineRule="exact"/>
        <w:rPr>
          <w:sz w:val="20"/>
          <w:szCs w:val="20"/>
          <w:color w:val="auto"/>
        </w:rPr>
      </w:pPr>
    </w:p>
    <w:p>
      <w:pPr>
        <w:ind w:left="60" w:right="819"/>
        <w:spacing w:after="0" w:line="246" w:lineRule="auto"/>
        <w:rPr>
          <w:sz w:val="20"/>
          <w:szCs w:val="20"/>
          <w:color w:val="auto"/>
        </w:rPr>
      </w:pPr>
      <w:r>
        <w:rPr>
          <w:rFonts w:ascii="Arial" w:cs="Arial" w:eastAsia="Arial" w:hAnsi="Arial"/>
          <w:sz w:val="18"/>
          <w:szCs w:val="18"/>
          <w:color w:val="auto"/>
        </w:rPr>
        <w:t>As of September 30, 2021, there were no significant changes to our commitments and future minimum contractual obligations as set forth in our Form 10-K, filed with the SEC on March 2, 2021.</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65"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SEC.</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jc w:val="both"/>
        <w:ind w:left="60" w:right="579"/>
        <w:spacing w:after="0"/>
        <w:rPr>
          <w:sz w:val="20"/>
          <w:szCs w:val="20"/>
          <w:color w:val="auto"/>
        </w:rPr>
      </w:pPr>
      <w:r>
        <w:rPr>
          <w:rFonts w:ascii="Arial" w:cs="Arial" w:eastAsia="Arial" w:hAnsi="Arial"/>
          <w:sz w:val="18"/>
          <w:szCs w:val="18"/>
          <w:color w:val="auto"/>
        </w:rPr>
        <w:t>We refer you to the information described in the “Item 7A. Quantitative and Qualitative Disclosures About Market Risk” section of the Company’s Annual Report on Form 10-K filed with the SEC on March 2, 2021. There have been no material changes to our market risk described therein.</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Chief Financial Officer, evaluated the effectiveness of our disclosure controls and procedures as of the end of the period covered by this Quarterly Report on Form 10-Q. Based on that evaluation, our Principal Executive Officer and our Chief Financial Officer concluded that our disclosure controls and procedures were effective at the reasonable assurance level as of September 30,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During the quarter ended September 30, 2021, there were no changes in our internal control over financial reporting (as defined in Rule 13a-15(f) of the Exchange Act) which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tab/>
        <w:t>Risk Factors.</w:t>
      </w:r>
    </w:p>
    <w:p>
      <w:pPr>
        <w:spacing w:after="0" w:line="207"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You should carefully consider the information described in the “Risk Factors” section of the Company’s Annual Report on Form 10-K filed with the SEC on March 2, 2021. There have been no material changes to the risk factors described therein</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Recent Issuances of Unregistered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6"/>
          <w:szCs w:val="16"/>
          <w:color w:val="auto"/>
        </w:rPr>
        <w:t>.</w:t>
      </w:r>
    </w:p>
    <w:p>
      <w:pPr>
        <w:spacing w:after="0" w:line="16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3"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77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7760" w:type="dxa"/>
            <w:vAlign w:val="bottom"/>
            <w:tcBorders>
              <w:bottom w:val="single" w:sz="8" w:color="0000EE"/>
            </w:tcBorders>
            <w:gridSpan w:val="11"/>
          </w:tcPr>
          <w:p>
            <w:pPr>
              <w:spacing w:after="0" w:line="169"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Secured Promissory Note Agreement, dated September 29, 2021, by and between the Registrant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77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and Check Five LLC (incorporated by reference to Exhibit 10.1 to the Registrant’s Current Report</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vMerge w:val="continue"/>
          </w:tcPr>
          <w:p>
            <w:pPr>
              <w:spacing w:after="0"/>
              <w:rPr>
                <w:sz w:val="15"/>
                <w:szCs w:val="15"/>
                <w:color w:val="auto"/>
              </w:rPr>
            </w:pPr>
          </w:p>
        </w:tc>
        <w:tc>
          <w:tcPr>
            <w:tcW w:w="7780" w:type="dxa"/>
            <w:vAlign w:val="bottom"/>
            <w:gridSpan w:val="12"/>
          </w:tcPr>
          <w:p>
            <w:pPr>
              <w:spacing w:after="0" w:line="182" w:lineRule="exact"/>
              <w:rPr>
                <w:rFonts w:ascii="Arial" w:cs="Arial" w:eastAsia="Arial" w:hAnsi="Arial"/>
                <w:sz w:val="18"/>
                <w:szCs w:val="18"/>
                <w:color w:val="0000EE"/>
              </w:rPr>
            </w:pPr>
            <w:hyperlink r:id="rId56">
              <w:r>
                <w:rPr>
                  <w:rFonts w:ascii="Arial" w:cs="Arial" w:eastAsia="Arial" w:hAnsi="Arial"/>
                  <w:sz w:val="18"/>
                  <w:szCs w:val="18"/>
                  <w:color w:val="0000EE"/>
                </w:rPr>
                <w:t>on Form 8-K filed on October 5, 2021)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7780" w:type="dxa"/>
            <w:vAlign w:val="bottom"/>
            <w:gridSpan w:val="12"/>
          </w:tcPr>
          <w:p>
            <w:pPr>
              <w:spacing w:after="0" w:line="182" w:lineRule="exact"/>
              <w:rPr>
                <w:rFonts w:ascii="Arial" w:cs="Arial" w:eastAsia="Arial" w:hAnsi="Arial"/>
                <w:sz w:val="18"/>
                <w:szCs w:val="18"/>
                <w:color w:val="0000EE"/>
              </w:rPr>
            </w:pPr>
            <w:hyperlink r:id="rId57">
              <w:r>
                <w:rPr>
                  <w:rFonts w:ascii="Arial" w:cs="Arial" w:eastAsia="Arial" w:hAnsi="Arial"/>
                  <w:sz w:val="18"/>
                  <w:szCs w:val="18"/>
                  <w:color w:val="0000EE"/>
                </w:rPr>
                <w:t>Third Amended and Restated Bylaws of the Registrant (incorporated by reference to Exhibit 10.3</w:t>
              </w:r>
            </w:hyperlink>
          </w:p>
        </w:tc>
        <w:tc>
          <w:tcPr>
            <w:tcW w:w="0" w:type="dxa"/>
            <w:vAlign w:val="bottom"/>
          </w:tcPr>
          <w:p>
            <w:pPr>
              <w:spacing w:after="0"/>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10.2</w:t>
            </w:r>
          </w:p>
        </w:tc>
        <w:tc>
          <w:tcPr>
            <w:tcW w:w="76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57">
              <w:r>
                <w:rPr>
                  <w:rFonts w:ascii="Arial" w:cs="Arial" w:eastAsia="Arial" w:hAnsi="Arial"/>
                  <w:sz w:val="18"/>
                  <w:szCs w:val="18"/>
                  <w:color w:val="0000EE"/>
                </w:rPr>
                <w:t>to the Form 10-Q filed August 3, 2021)</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77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Certification of the Principal Executive Officer Pursuant to Section 302 of the Sarbanes-Oxley Act</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7780" w:type="dxa"/>
            <w:vAlign w:val="bottom"/>
            <w:gridSpan w:val="12"/>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766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Certification of the Principal Financial Officer Pursuant to Section 302 of the Sarbanes-Oxley Act</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7780" w:type="dxa"/>
            <w:vAlign w:val="bottom"/>
            <w:gridSpan w:val="12"/>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7780" w:type="dxa"/>
            <w:vAlign w:val="bottom"/>
            <w:gridSpan w:val="12"/>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Certification of Chief Executive Officer Pursuant to 18 U.S.C. Section 1350, as Adopted Pursuant</w:t>
              </w:r>
            </w:hyperlink>
          </w:p>
        </w:tc>
        <w:tc>
          <w:tcPr>
            <w:tcW w:w="0" w:type="dxa"/>
            <w:vAlign w:val="bottom"/>
          </w:tcPr>
          <w:p>
            <w:pPr>
              <w:spacing w:after="0"/>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4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to Section 906 of the Sarbanes-Oxley Act of 2002.</w:t>
              </w:r>
            </w:hyperlink>
          </w:p>
        </w:tc>
        <w:tc>
          <w:tcPr>
            <w:tcW w:w="3700" w:type="dxa"/>
            <w:vAlign w:val="bottom"/>
            <w:tcBorders>
              <w:top w:val="single" w:sz="8" w:color="0000EE"/>
            </w:tcBorders>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7780" w:type="dxa"/>
            <w:vAlign w:val="bottom"/>
            <w:gridSpan w:val="12"/>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Certification of Chief Financial Officer Pursuant to 18 U.S.C. Section 1350, as Adopted Pursuant</w:t>
              </w:r>
            </w:hyperlink>
          </w:p>
        </w:tc>
        <w:tc>
          <w:tcPr>
            <w:tcW w:w="0" w:type="dxa"/>
            <w:vAlign w:val="bottom"/>
          </w:tcPr>
          <w:p>
            <w:pPr>
              <w:spacing w:after="0"/>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to Section 906 of the Sarbanes-Oxley Act of 2002.</w:t>
              </w:r>
            </w:hyperlink>
          </w:p>
        </w:tc>
        <w:tc>
          <w:tcPr>
            <w:tcW w:w="3640" w:type="dxa"/>
            <w:vAlign w:val="bottom"/>
            <w:tcBorders>
              <w:top w:val="single" w:sz="8" w:color="0000EE"/>
            </w:tcBorders>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78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w:t>
            </w:r>
          </w:p>
        </w:tc>
        <w:tc>
          <w:tcPr>
            <w:tcW w:w="0" w:type="dxa"/>
            <w:vAlign w:val="bottom"/>
          </w:tcPr>
          <w:p>
            <w:pPr>
              <w:spacing w:after="0"/>
              <w:rPr>
                <w:sz w:val="1"/>
                <w:szCs w:val="1"/>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101.INS</w:t>
            </w:r>
          </w:p>
        </w:tc>
        <w:tc>
          <w:tcPr>
            <w:tcW w:w="7780" w:type="dxa"/>
            <w:vAlign w:val="bottom"/>
            <w:gridSpan w:val="12"/>
          </w:tcPr>
          <w:p>
            <w:pPr>
              <w:spacing w:after="0" w:line="202" w:lineRule="exact"/>
              <w:rPr>
                <w:sz w:val="20"/>
                <w:szCs w:val="20"/>
                <w:color w:val="auto"/>
              </w:rPr>
            </w:pPr>
            <w:r>
              <w:rPr>
                <w:rFonts w:ascii="Arial" w:cs="Arial" w:eastAsia="Arial" w:hAnsi="Arial"/>
                <w:sz w:val="18"/>
                <w:szCs w:val="18"/>
                <w:color w:val="auto"/>
              </w:rPr>
              <w:t>File because iXBRL tags are embedded within the Inline XBRL document.</w:t>
            </w:r>
          </w:p>
        </w:tc>
        <w:tc>
          <w:tcPr>
            <w:tcW w:w="0" w:type="dxa"/>
            <w:vAlign w:val="bottom"/>
          </w:tcPr>
          <w:p>
            <w:pPr>
              <w:spacing w:after="0"/>
              <w:rPr>
                <w:sz w:val="1"/>
                <w:szCs w:val="1"/>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778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778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778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778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778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60" w:right="839" w:hanging="4"/>
        <w:spacing w:after="0" w:line="477" w:lineRule="auto"/>
        <w:tabs>
          <w:tab w:leader="none" w:pos="118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contained Exhibit 101). </w:t>
      </w:r>
      <w:r>
        <w:rPr>
          <w:rFonts w:ascii="Arial" w:cs="Arial" w:eastAsia="Arial" w:hAnsi="Arial"/>
          <w:sz w:val="16"/>
          <w:szCs w:val="16"/>
          <w:color w:val="auto"/>
        </w:rPr>
        <w:t xml:space="preserve">* </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-315595</wp:posOffset>
            </wp:positionV>
            <wp:extent cx="1414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right="359" w:hanging="330"/>
        <w:spacing w:after="0" w:line="246"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this exhibit (indicated by a diamond) have been omitted pursuant to a request for confidential treatment and have been separately filed with the Securities and Exchange Commission.</w:t>
      </w:r>
    </w:p>
    <w:p>
      <w:pPr>
        <w:spacing w:after="0" w:line="156" w:lineRule="exact"/>
        <w:rPr>
          <w:sz w:val="20"/>
          <w:szCs w:val="20"/>
          <w:color w:val="auto"/>
        </w:rPr>
      </w:pPr>
    </w:p>
    <w:p>
      <w:pPr>
        <w:jc w:val="both"/>
        <w:ind w:left="380" w:right="79" w:hanging="330"/>
        <w:spacing w:after="0" w:line="237"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NEURONETICS, INC.</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Name:Keith J. Sullivan</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tab/>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Name:Stephen Furlong</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SVP, Chief Financial Officer and Treasurer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Keith J. Sullivan, certify that:</w:t>
      </w:r>
    </w:p>
    <w:p>
      <w:pPr>
        <w:spacing w:after="0" w:line="23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hanging="332"/>
        <w:spacing w:after="0" w:line="284"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w:t>
      </w:r>
    </w:p>
    <w:p>
      <w:pPr>
        <w:ind w:left="340"/>
        <w:spacing w:after="0"/>
        <w:rPr>
          <w:rFonts w:ascii="Arial" w:cs="Arial" w:eastAsia="Arial" w:hAnsi="Arial"/>
          <w:sz w:val="15"/>
          <w:szCs w:val="15"/>
          <w:color w:val="auto"/>
        </w:rPr>
      </w:pPr>
      <w:r>
        <w:rPr>
          <w:rFonts w:ascii="Arial" w:cs="Arial" w:eastAsia="Arial" w:hAnsi="Arial"/>
          <w:sz w:val="16"/>
          <w:szCs w:val="16"/>
          <w:color w:val="auto"/>
        </w:rPr>
        <w:t>13a-15(f) and 15d-15(f)) for the registrant and have:</w:t>
      </w:r>
    </w:p>
    <w:p>
      <w:pPr>
        <w:spacing w:after="0" w:line="230"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00" w:type="dxa"/>
            <w:vAlign w:val="bottom"/>
          </w:tcPr>
          <w:p>
            <w:pPr>
              <w:spacing w:after="0"/>
              <w:rPr>
                <w:sz w:val="20"/>
                <w:szCs w:val="20"/>
                <w:color w:val="auto"/>
              </w:rPr>
            </w:pPr>
            <w:r>
              <w:rPr>
                <w:rFonts w:ascii="Arial" w:cs="Arial" w:eastAsia="Arial" w:hAnsi="Arial"/>
                <w:sz w:val="16"/>
                <w:szCs w:val="16"/>
                <w:color w:val="auto"/>
              </w:rPr>
              <w:t>Date: November 9, 2021</w:t>
            </w:r>
          </w:p>
        </w:tc>
        <w:tc>
          <w:tcPr>
            <w:tcW w:w="2160" w:type="dxa"/>
            <w:vAlign w:val="bottom"/>
          </w:tcPr>
          <w:p>
            <w:pPr>
              <w:ind w:left="168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Keith J. Sullivan</w:t>
            </w:r>
          </w:p>
        </w:tc>
      </w:tr>
      <w:tr>
        <w:trPr>
          <w:trHeight w:val="206"/>
        </w:trPr>
        <w:tc>
          <w:tcPr>
            <w:tcW w:w="3300" w:type="dxa"/>
            <w:vAlign w:val="bottom"/>
          </w:tcPr>
          <w:p>
            <w:pPr>
              <w:spacing w:after="0"/>
              <w:rPr>
                <w:sz w:val="17"/>
                <w:szCs w:val="17"/>
                <w:color w:val="auto"/>
              </w:rPr>
            </w:pPr>
          </w:p>
        </w:tc>
        <w:tc>
          <w:tcPr>
            <w:tcW w:w="2160" w:type="dxa"/>
            <w:vAlign w:val="bottom"/>
          </w:tcPr>
          <w:p>
            <w:pPr>
              <w:ind w:left="168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Keith J. Sullivan</w:t>
            </w:r>
          </w:p>
        </w:tc>
      </w:tr>
      <w:tr>
        <w:trPr>
          <w:trHeight w:val="206"/>
        </w:trPr>
        <w:tc>
          <w:tcPr>
            <w:tcW w:w="3300" w:type="dxa"/>
            <w:vAlign w:val="bottom"/>
          </w:tcPr>
          <w:p>
            <w:pPr>
              <w:spacing w:after="0"/>
              <w:rPr>
                <w:sz w:val="17"/>
                <w:szCs w:val="17"/>
                <w:color w:val="auto"/>
              </w:rPr>
            </w:pPr>
          </w:p>
        </w:tc>
        <w:tc>
          <w:tcPr>
            <w:tcW w:w="2160" w:type="dxa"/>
            <w:vAlign w:val="bottom"/>
          </w:tcPr>
          <w:p>
            <w:pPr>
              <w:ind w:left="168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30"/>
        </w:trPr>
        <w:tc>
          <w:tcPr>
            <w:tcW w:w="3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810"/>
        </w:trPr>
        <w:tc>
          <w:tcPr>
            <w:tcW w:w="3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Stephen Furlong, certify that:</w:t>
      </w:r>
    </w:p>
    <w:p>
      <w:pPr>
        <w:spacing w:after="0" w:line="23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right="20" w:hanging="332"/>
        <w:spacing w:after="0" w:line="278"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00" w:type="dxa"/>
            <w:vAlign w:val="bottom"/>
          </w:tcPr>
          <w:p>
            <w:pPr>
              <w:spacing w:after="0"/>
              <w:rPr>
                <w:sz w:val="20"/>
                <w:szCs w:val="20"/>
                <w:color w:val="auto"/>
              </w:rPr>
            </w:pPr>
            <w:r>
              <w:rPr>
                <w:rFonts w:ascii="Arial" w:cs="Arial" w:eastAsia="Arial" w:hAnsi="Arial"/>
                <w:sz w:val="16"/>
                <w:szCs w:val="16"/>
                <w:color w:val="auto"/>
              </w:rPr>
              <w:t>Date: November 9, 2021</w:t>
            </w:r>
          </w:p>
        </w:tc>
        <w:tc>
          <w:tcPr>
            <w:tcW w:w="2160" w:type="dxa"/>
            <w:vAlign w:val="bottom"/>
          </w:tcPr>
          <w:p>
            <w:pPr>
              <w:ind w:left="168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Furlong</w:t>
            </w:r>
          </w:p>
        </w:tc>
      </w:tr>
      <w:tr>
        <w:trPr>
          <w:trHeight w:val="203"/>
        </w:trPr>
        <w:tc>
          <w:tcPr>
            <w:tcW w:w="3300" w:type="dxa"/>
            <w:vAlign w:val="bottom"/>
          </w:tcPr>
          <w:p>
            <w:pPr>
              <w:spacing w:after="0"/>
              <w:rPr>
                <w:sz w:val="17"/>
                <w:szCs w:val="17"/>
                <w:color w:val="auto"/>
              </w:rPr>
            </w:pPr>
          </w:p>
        </w:tc>
        <w:tc>
          <w:tcPr>
            <w:tcW w:w="2160" w:type="dxa"/>
            <w:vAlign w:val="bottom"/>
          </w:tcPr>
          <w:p>
            <w:pPr>
              <w:ind w:left="168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Stephen Furlong</w:t>
            </w:r>
          </w:p>
        </w:tc>
      </w:tr>
      <w:tr>
        <w:trPr>
          <w:trHeight w:val="230"/>
        </w:trPr>
        <w:tc>
          <w:tcPr>
            <w:tcW w:w="3300" w:type="dxa"/>
            <w:vAlign w:val="bottom"/>
          </w:tcPr>
          <w:p>
            <w:pPr>
              <w:spacing w:after="0"/>
              <w:rPr>
                <w:sz w:val="19"/>
                <w:szCs w:val="19"/>
                <w:color w:val="auto"/>
              </w:rPr>
            </w:pPr>
          </w:p>
        </w:tc>
        <w:tc>
          <w:tcPr>
            <w:tcW w:w="2160" w:type="dxa"/>
            <w:vAlign w:val="bottom"/>
          </w:tcPr>
          <w:p>
            <w:pPr>
              <w:ind w:left="168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SVP, Chief Financial Officer and Treasurer</w:t>
            </w:r>
          </w:p>
        </w:tc>
      </w:tr>
      <w:tr>
        <w:trPr>
          <w:trHeight w:val="206"/>
        </w:trPr>
        <w:tc>
          <w:tcPr>
            <w:tcW w:w="3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810"/>
        </w:trPr>
        <w:tc>
          <w:tcPr>
            <w:tcW w:w="3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September 30, 2021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Keith J. Sullivan</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September 30, 2021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Stephen Furlong</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SVP, Chief Financial Officer and Treasurer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1."/>
      <w:numFmt w:val="decimal"/>
      <w:start w:val="7"/>
    </w:lvl>
  </w:abstractNum>
  <w:abstractNum w:abstractNumId="9">
    <w:nsid w:val="2D1D5AE9"/>
    <w:multiLevelType w:val="hybridMultilevel"/>
    <w:lvl w:ilvl="0">
      <w:lvlJc w:val="left"/>
      <w:lvlText w:val="%1."/>
      <w:numFmt w:val="decimal"/>
      <w:start w:val="8"/>
    </w:lvl>
  </w:abstractNum>
  <w:abstractNum w:abstractNumId="10">
    <w:nsid w:val="6763845E"/>
    <w:multiLevelType w:val="hybridMultilevel"/>
    <w:lvl w:ilvl="0">
      <w:lvlJc w:val="left"/>
      <w:lvlText w:val="%1."/>
      <w:numFmt w:val="decimal"/>
      <w:start w:val="9"/>
    </w:lvl>
  </w:abstractNum>
  <w:abstractNum w:abstractNumId="11">
    <w:nsid w:val="75A2A8D4"/>
    <w:multiLevelType w:val="hybridMultilevel"/>
    <w:lvl w:ilvl="0">
      <w:lvlJc w:val="left"/>
      <w:lvlText w:val="%1."/>
      <w:numFmt w:val="decimal"/>
      <w:start w:val="10"/>
    </w:lvl>
  </w:abstractNum>
  <w:abstractNum w:abstractNumId="12">
    <w:nsid w:val="8EDBDAB"/>
    <w:multiLevelType w:val="hybridMultilevel"/>
    <w:lvl w:ilvl="0">
      <w:lvlJc w:val="left"/>
      <w:lvlText w:val="%1."/>
      <w:numFmt w:val="decimal"/>
      <w:start w:val="11"/>
    </w:lvl>
  </w:abstractNum>
  <w:abstractNum w:abstractNumId="13">
    <w:nsid w:val="79838CB2"/>
    <w:multiLevelType w:val="hybridMultilevel"/>
    <w:lvl w:ilvl="0">
      <w:lvlJc w:val="left"/>
      <w:lvlText w:val="%1."/>
      <w:numFmt w:val="decimal"/>
      <w:start w:val="12"/>
    </w:lvl>
  </w:abstractNum>
  <w:abstractNum w:abstractNumId="14">
    <w:nsid w:val="4353D0CD"/>
    <w:multiLevelType w:val="hybridMultilevel"/>
    <w:lvl w:ilvl="0">
      <w:lvlJc w:val="left"/>
      <w:lvlText w:val="%1."/>
      <w:numFmt w:val="decimal"/>
      <w:start w:val="13"/>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4"/>
    </w:lvl>
  </w:abstractNum>
  <w:abstractNum w:abstractNumId="17">
    <w:nsid w:val="54E49EB4"/>
    <w:multiLevelType w:val="hybridMultilevel"/>
    <w:lvl w:ilvl="0">
      <w:lvlJc w:val="left"/>
      <w:lvlText w:val="(%1)"/>
      <w:numFmt w:val="lowerRoman"/>
      <w:start w:val="5"/>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decimal"/>
      <w:start w:val="14"/>
    </w:lvl>
  </w:abstractNum>
  <w:abstractNum w:abstractNumId="20">
    <w:nsid w:val="836C40E"/>
    <w:multiLevelType w:val="hybridMultilevel"/>
    <w:lvl w:ilvl="0">
      <w:lvlJc w:val="left"/>
      <w:lvlText w:val="%1."/>
      <w:numFmt w:val="decimal"/>
      <w:start w:val="15"/>
    </w:lvl>
  </w:abstractNum>
  <w:abstractNum w:abstractNumId="21">
    <w:nsid w:val="2901D82"/>
    <w:multiLevelType w:val="hybridMultilevel"/>
    <w:lvl w:ilvl="0">
      <w:lvlJc w:val="left"/>
      <w:lvlText w:val="%1."/>
      <w:numFmt w:val="decimal"/>
      <w:start w:val="16"/>
    </w:lvl>
  </w:abstractNum>
  <w:abstractNum w:abstractNumId="22">
    <w:nsid w:val="3A95F874"/>
    <w:multiLevelType w:val="hybridMultilevel"/>
    <w:lvl w:ilvl="0">
      <w:lvlJc w:val="left"/>
      <w:lvlText w:val="%1."/>
      <w:numFmt w:val="decimal"/>
      <w:start w:val="17"/>
    </w:lvl>
  </w:abstractNum>
  <w:abstractNum w:abstractNumId="23">
    <w:nsid w:val="8138641"/>
    <w:multiLevelType w:val="hybridMultilevel"/>
    <w:lvl w:ilvl="0">
      <w:lvlJc w:val="left"/>
      <w:lvlText w:val="%1."/>
      <w:numFmt w:val="decimal"/>
      <w:start w:val="18"/>
    </w:lvl>
  </w:abstractNum>
  <w:abstractNum w:abstractNumId="24">
    <w:nsid w:val="1E7FF521"/>
    <w:multiLevelType w:val="hybridMultilevel"/>
    <w:lvl w:ilvl="0">
      <w:lvlJc w:val="left"/>
      <w:lvlText w:val="%1."/>
      <w:numFmt w:val="decimal"/>
      <w:start w:val="19"/>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4"/>
    </w:lvl>
  </w:abstractNum>
  <w:abstractNum w:abstractNumId="28">
    <w:nsid w:val="22221A70"/>
    <w:multiLevelType w:val="hybridMultilevel"/>
    <w:lvl w:ilvl="0">
      <w:lvlJc w:val="left"/>
      <w:lvlText w:val="(%1)"/>
      <w:numFmt w:val="lowerRoman"/>
      <w:start w:val="5"/>
    </w:lvl>
  </w:abstractNum>
  <w:abstractNum w:abstractNumId="29">
    <w:nsid w:val="4516DDE9"/>
    <w:multiLevelType w:val="hybridMultilevel"/>
    <w:lvl w:ilvl="0">
      <w:lvlJc w:val="left"/>
      <w:lvlText w:val="*"/>
      <w:numFmt w:val="bullet"/>
      <w:start w:val="1"/>
    </w:lvl>
    <w:lvl w:ilvl="1">
      <w:lvlJc w:val="left"/>
      <w:lvlText w:val="%2"/>
      <w:numFmt w:val="decimal"/>
      <w:start w:val="104"/>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56" Type="http://schemas.openxmlformats.org/officeDocument/2006/relationships/hyperlink" Target="https://www.sec.gov/Archives/edgar/data/1227636/000119312521292140/d144778dex101.htm" TargetMode="External"/><Relationship Id="rId57" Type="http://schemas.openxmlformats.org/officeDocument/2006/relationships/hyperlink" Target="https://www.sec.gov/Archives/edgar/data/1227636/000155837021010002/tmb-20210630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2021-11-09T15:55:25Z</dcterms:created>
  <dcterms:modified xsi:type="dcterms:W3CDTF">2021-11-09T15:55:25Z</dcterms:modified>
</cp:coreProperties>
</file>