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-127635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7" w:lineRule="exact"/>
        <w:rPr>
          <w:sz w:val="24"/>
          <w:szCs w:val="24"/>
          <w:color w:val="auto"/>
        </w:rPr>
      </w:pPr>
    </w:p>
    <w:p>
      <w:pPr>
        <w:ind w:left="4020" w:right="2180" w:hanging="4012"/>
        <w:spacing w:after="0" w:line="261" w:lineRule="auto"/>
        <w:tabs>
          <w:tab w:leader="none" w:pos="51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March 31, 2019</w:t>
      </w:r>
    </w:p>
    <w:p>
      <w:pPr>
        <w:spacing w:after="0" w:line="7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OR</w:t>
      </w:r>
    </w:p>
    <w:p>
      <w:pPr>
        <w:spacing w:after="0" w:line="131" w:lineRule="exact"/>
        <w:rPr>
          <w:sz w:val="24"/>
          <w:szCs w:val="24"/>
          <w:color w:val="auto"/>
        </w:rPr>
      </w:pPr>
    </w:p>
    <w:p>
      <w:pPr>
        <w:ind w:left="3880" w:right="2160" w:hanging="3872"/>
        <w:spacing w:after="0" w:line="282" w:lineRule="auto"/>
        <w:tabs>
          <w:tab w:leader="none" w:pos="20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TRANSITION REPORT PURSUANT TO SECTION 13 OR 15(d) OF THE SECURITIES EXCHANGE ACT OF 1934 For the transition period from _______ to _______</w:t>
      </w:r>
    </w:p>
    <w:p>
      <w:pPr>
        <w:spacing w:after="0" w:line="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001-38546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80010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NEURONETICS, INC.</w:t>
      </w:r>
    </w:p>
    <w:p>
      <w:pPr>
        <w:spacing w:after="0" w:line="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56515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2" w:lineRule="exact"/>
        <w:rPr>
          <w:sz w:val="24"/>
          <w:szCs w:val="24"/>
          <w:color w:val="auto"/>
        </w:rPr>
      </w:pPr>
    </w:p>
    <w:tbl>
      <w:tblPr>
        <w:tblLayout w:type="fixed"/>
        <w:tblInd w:w="1460" w:type="dxa"/>
        <w:tblCellMar>
          <w:top w:w="0" w:type="dxa"/>
          <w:left w:w="0" w:type="dxa"/>
          <w:bottom w:w="0" w:type="dxa"/>
          <w:right w:w="0" w:type="dxa"/>
        </w:tblCellMar>
      </w:tblPr>
      <w:tr>
        <w:trPr>
          <w:trHeight w:val="216"/>
        </w:trPr>
        <w:tc>
          <w:tcPr>
            <w:tcW w:w="5920" w:type="dxa"/>
            <w:vAlign w:val="bottom"/>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33-1051425</w:t>
            </w:r>
          </w:p>
        </w:tc>
      </w:tr>
      <w:tr>
        <w:trPr>
          <w:trHeight w:val="149"/>
        </w:trPr>
        <w:tc>
          <w:tcPr>
            <w:tcW w:w="5920" w:type="dxa"/>
            <w:vAlign w:val="bottom"/>
          </w:tcPr>
          <w:p>
            <w:pPr>
              <w:jc w:val="center"/>
              <w:ind w:right="3040"/>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240" w:type="dxa"/>
            <w:vAlign w:val="bottom"/>
          </w:tcPr>
          <w:p>
            <w:pPr>
              <w:jc w:val="center"/>
              <w:ind w:left="59"/>
              <w:spacing w:after="0" w:line="149" w:lineRule="exact"/>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5920" w:type="dxa"/>
            <w:vAlign w:val="bottom"/>
          </w:tcPr>
          <w:p>
            <w:pPr>
              <w:jc w:val="center"/>
              <w:ind w:right="302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240" w:type="dxa"/>
            <w:vAlign w:val="bottom"/>
          </w:tcPr>
          <w:p>
            <w:pPr>
              <w:spacing w:after="0"/>
              <w:rPr>
                <w:sz w:val="16"/>
                <w:szCs w:val="16"/>
                <w:color w:val="auto"/>
              </w:rPr>
            </w:pPr>
          </w:p>
        </w:tc>
      </w:tr>
      <w:tr>
        <w:trPr>
          <w:trHeight w:val="392"/>
        </w:trPr>
        <w:tc>
          <w:tcPr>
            <w:tcW w:w="5920" w:type="dxa"/>
            <w:vAlign w:val="bottom"/>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9"/>
              </w:rPr>
              <w:t>3222 Phoenixville Pike, Malvern, PA</w:t>
            </w:r>
          </w:p>
        </w:tc>
        <w:tc>
          <w:tcPr>
            <w:tcW w:w="224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19355</w:t>
            </w:r>
          </w:p>
        </w:tc>
      </w:tr>
      <w:tr>
        <w:trPr>
          <w:trHeight w:val="188"/>
        </w:trPr>
        <w:tc>
          <w:tcPr>
            <w:tcW w:w="5920" w:type="dxa"/>
            <w:vAlign w:val="bottom"/>
          </w:tcPr>
          <w:p>
            <w:pPr>
              <w:jc w:val="center"/>
              <w:ind w:right="304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240" w:type="dxa"/>
            <w:vAlign w:val="bottom"/>
          </w:tcPr>
          <w:p>
            <w:pPr>
              <w:jc w:val="center"/>
              <w:ind w:left="59"/>
              <w:spacing w:after="0"/>
              <w:rPr>
                <w:sz w:val="20"/>
                <w:szCs w:val="20"/>
                <w:color w:val="auto"/>
              </w:rPr>
            </w:pPr>
            <w:r>
              <w:rPr>
                <w:rFonts w:ascii="Times New Roman" w:cs="Times New Roman" w:eastAsia="Times New Roman" w:hAnsi="Times New Roman"/>
                <w:sz w:val="14"/>
                <w:szCs w:val="14"/>
                <w:color w:val="auto"/>
              </w:rPr>
              <w:t>(Zip Code)</w:t>
            </w:r>
          </w:p>
        </w:tc>
      </w:tr>
      <w:tr>
        <w:trPr>
          <w:trHeight w:val="284"/>
        </w:trPr>
        <w:tc>
          <w:tcPr>
            <w:tcW w:w="5920" w:type="dxa"/>
            <w:vAlign w:val="bottom"/>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(610) 640-4202</w:t>
            </w:r>
          </w:p>
        </w:tc>
        <w:tc>
          <w:tcPr>
            <w:tcW w:w="2240" w:type="dxa"/>
            <w:vAlign w:val="bottom"/>
          </w:tcPr>
          <w:p>
            <w:pPr>
              <w:spacing w:after="0"/>
              <w:rPr>
                <w:sz w:val="24"/>
                <w:szCs w:val="24"/>
                <w:color w:val="auto"/>
              </w:rPr>
            </w:pPr>
          </w:p>
        </w:tc>
      </w:tr>
      <w:tr>
        <w:trPr>
          <w:trHeight w:val="188"/>
        </w:trPr>
        <w:tc>
          <w:tcPr>
            <w:tcW w:w="5920" w:type="dxa"/>
            <w:vAlign w:val="bottom"/>
          </w:tcPr>
          <w:p>
            <w:pPr>
              <w:jc w:val="center"/>
              <w:ind w:left="252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240" w:type="dxa"/>
            <w:vAlign w:val="bottom"/>
          </w:tcPr>
          <w:p>
            <w:pPr>
              <w:spacing w:after="0"/>
              <w:rPr>
                <w:sz w:val="16"/>
                <w:szCs w:val="16"/>
                <w:color w:val="auto"/>
              </w:rPr>
            </w:pPr>
          </w:p>
        </w:tc>
      </w:tr>
    </w:tbl>
    <w:p>
      <w:pPr>
        <w:spacing w:after="0" w:line="6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56515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2" w:lineRule="exact"/>
        <w:rPr>
          <w:sz w:val="24"/>
          <w:szCs w:val="24"/>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68" w:lineRule="exact"/>
        <w:rPr>
          <w:sz w:val="24"/>
          <w:szCs w:val="24"/>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68"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tcPr>
          <w:p>
            <w:pPr>
              <w:jc w:val="right"/>
              <w:ind w:right="2870"/>
              <w:spacing w:after="0"/>
              <w:rPr>
                <w:sz w:val="20"/>
                <w:szCs w:val="20"/>
                <w:color w:val="auto"/>
              </w:rPr>
            </w:pPr>
            <w:r>
              <w:rPr>
                <w:rFonts w:ascii="Times New Roman" w:cs="Times New Roman" w:eastAsia="Times New Roman" w:hAnsi="Times New Roman"/>
                <w:sz w:val="18"/>
                <w:szCs w:val="18"/>
                <w:color w:val="auto"/>
              </w:rPr>
              <w:t>]</w:t>
            </w:r>
          </w:p>
        </w:tc>
        <w:tc>
          <w:tcPr>
            <w:tcW w:w="524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tcPr>
          <w:p>
            <w:pPr>
              <w:jc w:val="right"/>
              <w:ind w:right="2870"/>
              <w:spacing w:after="0"/>
              <w:rPr>
                <w:sz w:val="20"/>
                <w:szCs w:val="20"/>
                <w:color w:val="auto"/>
              </w:rPr>
            </w:pPr>
            <w:r>
              <w:rPr>
                <w:rFonts w:ascii="Times New Roman" w:cs="Times New Roman" w:eastAsia="Times New Roman" w:hAnsi="Times New Roman"/>
                <w:sz w:val="18"/>
                <w:szCs w:val="18"/>
                <w:color w:val="auto"/>
              </w:rPr>
              <w:t>]</w:t>
            </w:r>
          </w:p>
        </w:tc>
        <w:tc>
          <w:tcPr>
            <w:tcW w:w="524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5"/>
              </w:rPr>
              <w:t>[X]</w:t>
            </w:r>
          </w:p>
        </w:tc>
      </w:tr>
      <w:tr>
        <w:trPr>
          <w:trHeight w:val="234"/>
        </w:trPr>
        <w:tc>
          <w:tcPr>
            <w:tcW w:w="1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524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5"/>
              </w:rPr>
              <w:t>[X]</w:t>
            </w:r>
          </w:p>
        </w:tc>
      </w:tr>
    </w:tbl>
    <w:p>
      <w:pPr>
        <w:spacing w:after="0" w:line="103"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  ]  No [X]</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324"/>
        </w:trPr>
        <w:tc>
          <w:tcPr>
            <w:tcW w:w="340" w:type="dxa"/>
            <w:vAlign w:val="bottom"/>
          </w:tcPr>
          <w:p>
            <w:pPr>
              <w:spacing w:after="0"/>
              <w:rPr>
                <w:sz w:val="24"/>
                <w:szCs w:val="24"/>
                <w:color w:val="auto"/>
              </w:rPr>
            </w:pPr>
          </w:p>
        </w:tc>
        <w:tc>
          <w:tcPr>
            <w:tcW w:w="340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Trading Symbol (s)</w:t>
            </w:r>
          </w:p>
        </w:tc>
        <w:tc>
          <w:tcPr>
            <w:tcW w:w="240" w:type="dxa"/>
            <w:vAlign w:val="bottom"/>
          </w:tcPr>
          <w:p>
            <w:pPr>
              <w:spacing w:after="0"/>
              <w:rPr>
                <w:sz w:val="24"/>
                <w:szCs w:val="24"/>
                <w:color w:val="auto"/>
              </w:rPr>
            </w:pPr>
          </w:p>
        </w:tc>
        <w:tc>
          <w:tcPr>
            <w:tcW w:w="45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Name on each exchange on which registered</w:t>
            </w:r>
          </w:p>
        </w:tc>
      </w:tr>
      <w:tr>
        <w:trPr>
          <w:trHeight w:val="318"/>
        </w:trPr>
        <w:tc>
          <w:tcPr>
            <w:tcW w:w="340" w:type="dxa"/>
            <w:vAlign w:val="bottom"/>
          </w:tcPr>
          <w:p>
            <w:pPr>
              <w:spacing w:after="0"/>
              <w:rPr>
                <w:sz w:val="24"/>
                <w:szCs w:val="24"/>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7"/>
              </w:rPr>
              <w:t>STIM</w:t>
            </w: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There were 18,308,125 shares of the registrant’s common stock outstanding as of April 30,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279400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94" w:right="27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Quarterly Report on Form 10-Q for the quarterly period ended March 31, 2019</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0" w:type="dxa"/>
            <w:vAlign w:val="bottom"/>
            <w:gridSpan w:val="11"/>
            <w:vMerge w:val="restart"/>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0" w:type="dxa"/>
            <w:vAlign w:val="bottom"/>
            <w:gridSpan w:val="11"/>
            <w:vMerge w:val="continue"/>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Item 1.</w:t>
            </w:r>
          </w:p>
        </w:tc>
        <w:tc>
          <w:tcPr>
            <w:tcW w:w="440" w:type="dxa"/>
            <w:vAlign w:val="bottom"/>
          </w:tcPr>
          <w:p>
            <w:pPr>
              <w:spacing w:after="0"/>
              <w:rPr>
                <w:sz w:val="17"/>
                <w:szCs w:val="17"/>
                <w:color w:val="auto"/>
              </w:rPr>
            </w:pPr>
          </w:p>
        </w:tc>
        <w:tc>
          <w:tcPr>
            <w:tcW w:w="8960" w:type="dxa"/>
            <w:vAlign w:val="bottom"/>
            <w:gridSpan w:val="21"/>
          </w:tcPr>
          <w:p>
            <w:pPr>
              <w:spacing w:after="0" w:line="198" w:lineRule="exact"/>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Financial Statements.</w:t>
              </w:r>
            </w:hyperlink>
          </w:p>
        </w:tc>
        <w:tc>
          <w:tcPr>
            <w:tcW w:w="92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760" w:type="dxa"/>
            <w:vAlign w:val="bottom"/>
            <w:gridSpan w:val="20"/>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Balance Sheets as of March 31, 2019 and December 31, 2018</w:t>
              </w:r>
            </w:hyperlink>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7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Statements of Operations for the Three Months ended March 31, 2019 and 2018</w:t>
              </w:r>
            </w:hyperlink>
          </w:p>
        </w:tc>
        <w:tc>
          <w:tcPr>
            <w:tcW w:w="2980" w:type="dxa"/>
            <w:vAlign w:val="bottom"/>
            <w:gridSpan w:val="4"/>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18"/>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760" w:type="dxa"/>
            <w:vAlign w:val="bottom"/>
            <w:gridSpan w:val="20"/>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Statement of Changes in Convertible Preferred Stock and Stockholders’ Equity for the Three Months ended March 31,</w:t>
              </w:r>
            </w:hyperlink>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2019 and 2018</w:t>
              </w:r>
            </w:hyperlink>
          </w:p>
        </w:tc>
        <w:tc>
          <w:tcPr>
            <w:tcW w:w="7240" w:type="dxa"/>
            <w:vAlign w:val="bottom"/>
            <w:tcBorders>
              <w:top w:val="single" w:sz="8" w:color="0000EE"/>
            </w:tcBorders>
            <w:gridSpan w:val="13"/>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18"/>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Statements of Cash Flows for the Three Months ended March 31, 2019 and 2018</w:t>
              </w:r>
            </w:hyperlink>
          </w:p>
        </w:tc>
        <w:tc>
          <w:tcPr>
            <w:tcW w:w="2920" w:type="dxa"/>
            <w:vAlign w:val="bottom"/>
            <w:gridSpan w:val="3"/>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18"/>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Interim Financial Statements</w:t>
              </w:r>
            </w:hyperlink>
          </w:p>
        </w:tc>
        <w:tc>
          <w:tcPr>
            <w:tcW w:w="6020" w:type="dxa"/>
            <w:vAlign w:val="bottom"/>
            <w:gridSpan w:val="9"/>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18"/>
        </w:trPr>
        <w:tc>
          <w:tcPr>
            <w:tcW w:w="1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40" w:type="dxa"/>
            <w:vAlign w:val="bottom"/>
          </w:tcPr>
          <w:p>
            <w:pPr>
              <w:spacing w:after="0"/>
              <w:rPr>
                <w:sz w:val="24"/>
                <w:szCs w:val="24"/>
                <w:color w:val="auto"/>
              </w:rPr>
            </w:pPr>
          </w:p>
        </w:tc>
        <w:tc>
          <w:tcPr>
            <w:tcW w:w="6880" w:type="dxa"/>
            <w:vAlign w:val="bottom"/>
            <w:tcBorders>
              <w:bottom w:val="single" w:sz="8" w:color="0000EE"/>
            </w:tcBorders>
            <w:gridSpan w:val="19"/>
          </w:tcPr>
          <w:p>
            <w:pPr>
              <w:spacing w:after="0"/>
              <w:rPr>
                <w:rFonts w:ascii="Times New Roman" w:cs="Times New Roman" w:eastAsia="Times New Roman" w:hAnsi="Times New Roman"/>
                <w:sz w:val="18"/>
                <w:szCs w:val="18"/>
                <w:b w:val="1"/>
                <w:bCs w:val="1"/>
                <w:color w:val="0000EE"/>
                <w:w w:val="99"/>
              </w:rPr>
            </w:pPr>
            <w:hyperlink w:anchor="page22">
              <w:r>
                <w:rPr>
                  <w:rFonts w:ascii="Times New Roman" w:cs="Times New Roman" w:eastAsia="Times New Roman" w:hAnsi="Times New Roman"/>
                  <w:sz w:val="18"/>
                  <w:szCs w:val="18"/>
                  <w:b w:val="1"/>
                  <w:bCs w:val="1"/>
                  <w:color w:val="0000EE"/>
                  <w:w w:val="99"/>
                </w:rPr>
                <w:t>Management’s Discussion and Analysis of Financial Condition and Results of Operations.</w:t>
              </w:r>
            </w:hyperlink>
          </w:p>
        </w:tc>
        <w:tc>
          <w:tcPr>
            <w:tcW w:w="2080" w:type="dxa"/>
            <w:vAlign w:val="bottom"/>
            <w:gridSpan w:val="2"/>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18"/>
        </w:trPr>
        <w:tc>
          <w:tcPr>
            <w:tcW w:w="1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40" w:type="dxa"/>
            <w:vAlign w:val="bottom"/>
          </w:tcPr>
          <w:p>
            <w:pPr>
              <w:spacing w:after="0"/>
              <w:rPr>
                <w:sz w:val="24"/>
                <w:szCs w:val="24"/>
                <w:color w:val="auto"/>
              </w:rPr>
            </w:pPr>
          </w:p>
        </w:tc>
        <w:tc>
          <w:tcPr>
            <w:tcW w:w="8960" w:type="dxa"/>
            <w:vAlign w:val="bottom"/>
            <w:gridSpan w:val="21"/>
          </w:tcPr>
          <w:p>
            <w:pPr>
              <w:spacing w:after="0"/>
              <w:rPr>
                <w:rFonts w:ascii="Times New Roman" w:cs="Times New Roman" w:eastAsia="Times New Roman" w:hAnsi="Times New Roman"/>
                <w:sz w:val="18"/>
                <w:szCs w:val="18"/>
                <w:b w:val="1"/>
                <w:bCs w:val="1"/>
                <w:color w:val="0000EE"/>
              </w:rPr>
            </w:pPr>
            <w:hyperlink w:anchor="page31">
              <w:r>
                <w:rPr>
                  <w:rFonts w:ascii="Times New Roman" w:cs="Times New Roman" w:eastAsia="Times New Roman" w:hAnsi="Times New Roman"/>
                  <w:sz w:val="18"/>
                  <w:szCs w:val="18"/>
                  <w:b w:val="1"/>
                  <w:bCs w:val="1"/>
                  <w:color w:val="0000EE"/>
                </w:rPr>
                <w:t>Quantitative and Qualitative Disclosures About Market Risk.</w:t>
              </w:r>
            </w:hyperlink>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18"/>
        </w:trPr>
        <w:tc>
          <w:tcPr>
            <w:tcW w:w="1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40" w:type="dxa"/>
            <w:vAlign w:val="bottom"/>
          </w:tcPr>
          <w:p>
            <w:pPr>
              <w:spacing w:after="0"/>
              <w:rPr>
                <w:sz w:val="24"/>
                <w:szCs w:val="24"/>
                <w:color w:val="auto"/>
              </w:rPr>
            </w:pPr>
          </w:p>
        </w:tc>
        <w:tc>
          <w:tcPr>
            <w:tcW w:w="4700" w:type="dxa"/>
            <w:vAlign w:val="bottom"/>
            <w:tcBorders>
              <w:top w:val="single" w:sz="8" w:color="0000EE"/>
            </w:tcBorders>
            <w:gridSpan w:val="16"/>
          </w:tcPr>
          <w:p>
            <w:pPr>
              <w:spacing w:after="0"/>
              <w:rPr>
                <w:rFonts w:ascii="Times New Roman" w:cs="Times New Roman" w:eastAsia="Times New Roman" w:hAnsi="Times New Roman"/>
                <w:sz w:val="18"/>
                <w:szCs w:val="18"/>
                <w:b w:val="1"/>
                <w:bCs w:val="1"/>
                <w:color w:val="0000EE"/>
              </w:rPr>
            </w:pPr>
            <w:hyperlink w:anchor="page31">
              <w:r>
                <w:rPr>
                  <w:rFonts w:ascii="Times New Roman" w:cs="Times New Roman" w:eastAsia="Times New Roman" w:hAnsi="Times New Roman"/>
                  <w:sz w:val="18"/>
                  <w:szCs w:val="18"/>
                  <w:b w:val="1"/>
                  <w:bCs w:val="1"/>
                  <w:color w:val="0000EE"/>
                </w:rPr>
                <w:t>Controls and Procedures.</w:t>
              </w:r>
            </w:hyperlink>
          </w:p>
        </w:tc>
        <w:tc>
          <w:tcPr>
            <w:tcW w:w="4260" w:type="dxa"/>
            <w:vAlign w:val="bottom"/>
            <w:gridSpan w:val="5"/>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58"/>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000" w:type="dxa"/>
            <w:vAlign w:val="bottom"/>
            <w:gridSpan w:val="11"/>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8"/>
              </w:rPr>
              <w:t>PART II – OTHER INFORMATION</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440" w:type="dxa"/>
            <w:vAlign w:val="bottom"/>
          </w:tcPr>
          <w:p>
            <w:pPr>
              <w:spacing w:after="0"/>
              <w:rPr>
                <w:sz w:val="24"/>
                <w:szCs w:val="24"/>
                <w:color w:val="auto"/>
              </w:rPr>
            </w:pPr>
          </w:p>
        </w:tc>
        <w:tc>
          <w:tcPr>
            <w:tcW w:w="8960" w:type="dxa"/>
            <w:vAlign w:val="bottom"/>
            <w:gridSpan w:val="21"/>
          </w:tcPr>
          <w:p>
            <w:pPr>
              <w:spacing w:after="0"/>
              <w:rPr>
                <w:rFonts w:ascii="Times New Roman" w:cs="Times New Roman" w:eastAsia="Times New Roman" w:hAnsi="Times New Roman"/>
                <w:sz w:val="18"/>
                <w:szCs w:val="18"/>
                <w:b w:val="1"/>
                <w:bCs w:val="1"/>
                <w:color w:val="0000EE"/>
              </w:rPr>
            </w:pPr>
            <w:hyperlink w:anchor="page33">
              <w:r>
                <w:rPr>
                  <w:rFonts w:ascii="Times New Roman" w:cs="Times New Roman" w:eastAsia="Times New Roman" w:hAnsi="Times New Roman"/>
                  <w:sz w:val="18"/>
                  <w:szCs w:val="18"/>
                  <w:b w:val="1"/>
                  <w:bCs w:val="1"/>
                  <w:color w:val="0000EE"/>
                </w:rPr>
                <w:t>Legal Proceedings.</w:t>
              </w:r>
            </w:hyperlink>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18"/>
        </w:trPr>
        <w:tc>
          <w:tcPr>
            <w:tcW w:w="1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440" w:type="dxa"/>
            <w:vAlign w:val="bottom"/>
          </w:tcPr>
          <w:p>
            <w:pPr>
              <w:spacing w:after="0"/>
              <w:rPr>
                <w:sz w:val="24"/>
                <w:szCs w:val="24"/>
                <w:color w:val="auto"/>
              </w:rPr>
            </w:pPr>
          </w:p>
        </w:tc>
        <w:tc>
          <w:tcPr>
            <w:tcW w:w="102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b w:val="1"/>
                <w:bCs w:val="1"/>
                <w:color w:val="0000EE"/>
                <w:w w:val="97"/>
              </w:rPr>
            </w:pPr>
            <w:hyperlink w:anchor="page33">
              <w:r>
                <w:rPr>
                  <w:rFonts w:ascii="Times New Roman" w:cs="Times New Roman" w:eastAsia="Times New Roman" w:hAnsi="Times New Roman"/>
                  <w:sz w:val="18"/>
                  <w:szCs w:val="18"/>
                  <w:b w:val="1"/>
                  <w:bCs w:val="1"/>
                  <w:color w:val="0000EE"/>
                  <w:w w:val="97"/>
                </w:rPr>
                <w:t>Risk Factors.</w:t>
              </w:r>
            </w:hyperlink>
          </w:p>
        </w:tc>
        <w:tc>
          <w:tcPr>
            <w:tcW w:w="420" w:type="dxa"/>
            <w:vAlign w:val="bottom"/>
            <w:tcBorders>
              <w:top w:val="single" w:sz="8" w:color="0000EE"/>
            </w:tcBorders>
          </w:tcPr>
          <w:p>
            <w:pPr>
              <w:spacing w:after="0"/>
              <w:rPr>
                <w:sz w:val="24"/>
                <w:szCs w:val="24"/>
                <w:color w:val="auto"/>
              </w:rPr>
            </w:pPr>
          </w:p>
        </w:tc>
        <w:tc>
          <w:tcPr>
            <w:tcW w:w="7520" w:type="dxa"/>
            <w:vAlign w:val="bottom"/>
            <w:gridSpan w:val="16"/>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18"/>
        </w:trPr>
        <w:tc>
          <w:tcPr>
            <w:tcW w:w="1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40" w:type="dxa"/>
            <w:vAlign w:val="bottom"/>
          </w:tcPr>
          <w:p>
            <w:pPr>
              <w:spacing w:after="0"/>
              <w:rPr>
                <w:sz w:val="24"/>
                <w:szCs w:val="24"/>
                <w:color w:val="auto"/>
              </w:rPr>
            </w:pPr>
          </w:p>
        </w:tc>
        <w:tc>
          <w:tcPr>
            <w:tcW w:w="4640" w:type="dxa"/>
            <w:vAlign w:val="bottom"/>
            <w:tcBorders>
              <w:bottom w:val="single" w:sz="8" w:color="0000EE"/>
            </w:tcBorders>
            <w:gridSpan w:val="15"/>
          </w:tcPr>
          <w:p>
            <w:pPr>
              <w:spacing w:after="0"/>
              <w:rPr>
                <w:rFonts w:ascii="Times New Roman" w:cs="Times New Roman" w:eastAsia="Times New Roman" w:hAnsi="Times New Roman"/>
                <w:sz w:val="18"/>
                <w:szCs w:val="18"/>
                <w:b w:val="1"/>
                <w:bCs w:val="1"/>
                <w:color w:val="0000EE"/>
                <w:w w:val="99"/>
              </w:rPr>
            </w:pPr>
            <w:hyperlink w:anchor="page33">
              <w:r>
                <w:rPr>
                  <w:rFonts w:ascii="Times New Roman" w:cs="Times New Roman" w:eastAsia="Times New Roman" w:hAnsi="Times New Roman"/>
                  <w:sz w:val="18"/>
                  <w:szCs w:val="18"/>
                  <w:b w:val="1"/>
                  <w:bCs w:val="1"/>
                  <w:color w:val="0000EE"/>
                  <w:w w:val="99"/>
                </w:rPr>
                <w:t>Unregistered Sales of Equity Securities and Use of Proceeds.</w:t>
              </w:r>
            </w:hyperlink>
          </w:p>
        </w:tc>
        <w:tc>
          <w:tcPr>
            <w:tcW w:w="4320" w:type="dxa"/>
            <w:vAlign w:val="bottom"/>
            <w:gridSpan w:val="6"/>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18"/>
        </w:trPr>
        <w:tc>
          <w:tcPr>
            <w:tcW w:w="1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40" w:type="dxa"/>
            <w:vAlign w:val="bottom"/>
          </w:tcPr>
          <w:p>
            <w:pPr>
              <w:spacing w:after="0"/>
              <w:rPr>
                <w:sz w:val="24"/>
                <w:szCs w:val="24"/>
                <w:color w:val="auto"/>
              </w:rPr>
            </w:pPr>
          </w:p>
        </w:tc>
        <w:tc>
          <w:tcPr>
            <w:tcW w:w="8960" w:type="dxa"/>
            <w:vAlign w:val="bottom"/>
            <w:gridSpan w:val="21"/>
          </w:tcPr>
          <w:p>
            <w:pPr>
              <w:spacing w:after="0"/>
              <w:rPr>
                <w:rFonts w:ascii="Times New Roman" w:cs="Times New Roman" w:eastAsia="Times New Roman" w:hAnsi="Times New Roman"/>
                <w:sz w:val="18"/>
                <w:szCs w:val="18"/>
                <w:b w:val="1"/>
                <w:bCs w:val="1"/>
                <w:color w:val="0000EE"/>
              </w:rPr>
            </w:pPr>
            <w:hyperlink w:anchor="page33">
              <w:r>
                <w:rPr>
                  <w:rFonts w:ascii="Times New Roman" w:cs="Times New Roman" w:eastAsia="Times New Roman" w:hAnsi="Times New Roman"/>
                  <w:sz w:val="18"/>
                  <w:szCs w:val="18"/>
                  <w:b w:val="1"/>
                  <w:bCs w:val="1"/>
                  <w:color w:val="0000EE"/>
                </w:rPr>
                <w:t>Defaults Upon Senior Securities.</w:t>
              </w:r>
            </w:hyperlink>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760" w:type="dxa"/>
            <w:vAlign w:val="bottom"/>
            <w:gridSpan w:val="7"/>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40" w:type="dxa"/>
            <w:vAlign w:val="bottom"/>
          </w:tcPr>
          <w:p>
            <w:pPr>
              <w:spacing w:after="0"/>
              <w:rPr>
                <w:sz w:val="24"/>
                <w:szCs w:val="24"/>
                <w:color w:val="auto"/>
              </w:rPr>
            </w:pPr>
          </w:p>
        </w:tc>
        <w:tc>
          <w:tcPr>
            <w:tcW w:w="8960" w:type="dxa"/>
            <w:vAlign w:val="bottom"/>
            <w:gridSpan w:val="21"/>
          </w:tcPr>
          <w:p>
            <w:pPr>
              <w:spacing w:after="0"/>
              <w:rPr>
                <w:rFonts w:ascii="Times New Roman" w:cs="Times New Roman" w:eastAsia="Times New Roman" w:hAnsi="Times New Roman"/>
                <w:sz w:val="18"/>
                <w:szCs w:val="18"/>
                <w:b w:val="1"/>
                <w:bCs w:val="1"/>
                <w:color w:val="0000EE"/>
              </w:rPr>
            </w:pPr>
            <w:hyperlink w:anchor="page33">
              <w:r>
                <w:rPr>
                  <w:rFonts w:ascii="Times New Roman" w:cs="Times New Roman" w:eastAsia="Times New Roman" w:hAnsi="Times New Roman"/>
                  <w:sz w:val="18"/>
                  <w:szCs w:val="18"/>
                  <w:b w:val="1"/>
                  <w:bCs w:val="1"/>
                  <w:color w:val="0000EE"/>
                </w:rPr>
                <w:t>Mine Safety Disclosures.</w:t>
              </w:r>
            </w:hyperlink>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18"/>
        </w:trPr>
        <w:tc>
          <w:tcPr>
            <w:tcW w:w="1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440" w:type="dxa"/>
            <w:vAlign w:val="bottom"/>
          </w:tcPr>
          <w:p>
            <w:pPr>
              <w:spacing w:after="0"/>
              <w:rPr>
                <w:sz w:val="24"/>
                <w:szCs w:val="24"/>
                <w:color w:val="auto"/>
              </w:rPr>
            </w:pPr>
          </w:p>
        </w:tc>
        <w:tc>
          <w:tcPr>
            <w:tcW w:w="1860" w:type="dxa"/>
            <w:vAlign w:val="bottom"/>
            <w:tcBorders>
              <w:top w:val="single" w:sz="8" w:color="0000EE"/>
            </w:tcBorders>
            <w:gridSpan w:val="9"/>
          </w:tcPr>
          <w:p>
            <w:pPr>
              <w:spacing w:after="0"/>
              <w:rPr>
                <w:rFonts w:ascii="Times New Roman" w:cs="Times New Roman" w:eastAsia="Times New Roman" w:hAnsi="Times New Roman"/>
                <w:sz w:val="18"/>
                <w:szCs w:val="18"/>
                <w:b w:val="1"/>
                <w:bCs w:val="1"/>
                <w:color w:val="0000EE"/>
              </w:rPr>
            </w:pPr>
            <w:hyperlink w:anchor="page33">
              <w:r>
                <w:rPr>
                  <w:rFonts w:ascii="Times New Roman" w:cs="Times New Roman" w:eastAsia="Times New Roman" w:hAnsi="Times New Roman"/>
                  <w:sz w:val="18"/>
                  <w:szCs w:val="18"/>
                  <w:b w:val="1"/>
                  <w:bCs w:val="1"/>
                  <w:color w:val="0000EE"/>
                </w:rPr>
                <w:t>Other Information.</w:t>
              </w:r>
            </w:hyperlink>
          </w:p>
        </w:tc>
        <w:tc>
          <w:tcPr>
            <w:tcW w:w="7100" w:type="dxa"/>
            <w:vAlign w:val="bottom"/>
            <w:gridSpan w:val="12"/>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18"/>
        </w:trPr>
        <w:tc>
          <w:tcPr>
            <w:tcW w:w="1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440" w:type="dxa"/>
            <w:vAlign w:val="bottom"/>
          </w:tcPr>
          <w:p>
            <w:pPr>
              <w:spacing w:after="0"/>
              <w:rPr>
                <w:sz w:val="24"/>
                <w:szCs w:val="24"/>
                <w:color w:val="auto"/>
              </w:rPr>
            </w:pPr>
          </w:p>
        </w:tc>
        <w:tc>
          <w:tcPr>
            <w:tcW w:w="1480" w:type="dxa"/>
            <w:vAlign w:val="bottom"/>
            <w:tcBorders>
              <w:top w:val="single" w:sz="8" w:color="0000EE"/>
            </w:tcBorders>
            <w:gridSpan w:val="6"/>
          </w:tcPr>
          <w:p>
            <w:pPr>
              <w:spacing w:after="0"/>
              <w:rPr>
                <w:rFonts w:ascii="Times New Roman" w:cs="Times New Roman" w:eastAsia="Times New Roman" w:hAnsi="Times New Roman"/>
                <w:sz w:val="18"/>
                <w:szCs w:val="18"/>
                <w:b w:val="1"/>
                <w:bCs w:val="1"/>
                <w:color w:val="0000EE"/>
              </w:rPr>
            </w:pPr>
            <w:hyperlink w:anchor="page34">
              <w:r>
                <w:rPr>
                  <w:rFonts w:ascii="Times New Roman" w:cs="Times New Roman" w:eastAsia="Times New Roman" w:hAnsi="Times New Roman"/>
                  <w:sz w:val="18"/>
                  <w:szCs w:val="18"/>
                  <w:b w:val="1"/>
                  <w:bCs w:val="1"/>
                  <w:color w:val="0000EE"/>
                </w:rPr>
                <w:t>Exhibits.</w:t>
              </w:r>
            </w:hyperlink>
          </w:p>
        </w:tc>
        <w:tc>
          <w:tcPr>
            <w:tcW w:w="7480" w:type="dxa"/>
            <w:vAlign w:val="bottom"/>
            <w:gridSpan w:val="15"/>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18"/>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60" w:type="dxa"/>
            <w:vAlign w:val="bottom"/>
            <w:gridSpan w:val="8"/>
          </w:tcPr>
          <w:p>
            <w:pPr>
              <w:jc w:val="right"/>
              <w:ind w:right="4760"/>
              <w:spacing w:after="0"/>
              <w:rPr>
                <w:rFonts w:ascii="Times New Roman" w:cs="Times New Roman" w:eastAsia="Times New Roman" w:hAnsi="Times New Roman"/>
                <w:sz w:val="18"/>
                <w:szCs w:val="18"/>
                <w:color w:val="0000EE"/>
                <w:w w:val="96"/>
              </w:rPr>
            </w:pPr>
            <w:hyperlink w:anchor="page35">
              <w:r>
                <w:rPr>
                  <w:rFonts w:ascii="Times New Roman" w:cs="Times New Roman" w:eastAsia="Times New Roman" w:hAnsi="Times New Roman"/>
                  <w:sz w:val="18"/>
                  <w:szCs w:val="18"/>
                  <w:color w:val="0000EE"/>
                  <w:w w:val="96"/>
                </w:rPr>
                <w:t>SIGNATURES</w:t>
              </w:r>
            </w:hyperlink>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885"/>
        </w:trPr>
        <w:tc>
          <w:tcPr>
            <w:tcW w:w="1120" w:type="dxa"/>
            <w:vAlign w:val="bottom"/>
          </w:tcPr>
          <w:p>
            <w:pPr>
              <w:spacing w:after="0"/>
              <w:rPr>
                <w:sz w:val="24"/>
                <w:szCs w:val="24"/>
                <w:color w:val="auto"/>
              </w:rPr>
            </w:pPr>
          </w:p>
        </w:tc>
        <w:tc>
          <w:tcPr>
            <w:tcW w:w="3540" w:type="dxa"/>
            <w:vAlign w:val="bottom"/>
            <w:gridSpan w:val="14"/>
          </w:tcPr>
          <w:p>
            <w:pPr>
              <w:spacing w:after="0"/>
              <w:rPr>
                <w:sz w:val="24"/>
                <w:szCs w:val="24"/>
                <w:color w:val="auto"/>
              </w:rPr>
            </w:pPr>
          </w:p>
        </w:tc>
        <w:tc>
          <w:tcPr>
            <w:tcW w:w="110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96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96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NEURONETICS, INC.</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96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96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(Unaudited; In thousands, except per share data)</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 w:type="dxa"/>
            <w:vAlign w:val="bottom"/>
            <w:tcBorders>
              <w:bottom w:val="single" w:sz="8" w:color="CFF0FC"/>
            </w:tcBorders>
          </w:tcPr>
          <w:p>
            <w:pPr>
              <w:spacing w:after="0"/>
              <w:rPr>
                <w:sz w:val="15"/>
                <w:szCs w:val="15"/>
                <w:color w:val="auto"/>
              </w:rPr>
            </w:pPr>
          </w:p>
        </w:tc>
        <w:tc>
          <w:tcPr>
            <w:tcW w:w="420" w:type="dxa"/>
            <w:vAlign w:val="bottom"/>
            <w:tcBorders>
              <w:bottom w:val="single" w:sz="8" w:color="CFF0FC"/>
            </w:tcBorders>
          </w:tcPr>
          <w:p>
            <w:pPr>
              <w:spacing w:after="0"/>
              <w:rPr>
                <w:sz w:val="15"/>
                <w:szCs w:val="15"/>
                <w:color w:val="auto"/>
              </w:rPr>
            </w:pPr>
          </w:p>
        </w:tc>
        <w:tc>
          <w:tcPr>
            <w:tcW w:w="1880" w:type="dxa"/>
            <w:vAlign w:val="bottom"/>
            <w:tcBorders>
              <w:bottom w:val="single" w:sz="8" w:color="CFF0FC"/>
            </w:tcBorders>
          </w:tcPr>
          <w:p>
            <w:pPr>
              <w:spacing w:after="0"/>
              <w:rPr>
                <w:sz w:val="15"/>
                <w:szCs w:val="15"/>
                <w:color w:val="auto"/>
              </w:rPr>
            </w:pPr>
          </w:p>
        </w:tc>
        <w:tc>
          <w:tcPr>
            <w:tcW w:w="49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8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80" w:type="dxa"/>
            <w:vAlign w:val="bottom"/>
            <w:shd w:val="clear" w:color="auto" w:fill="CFF0FC"/>
          </w:tcPr>
          <w:p>
            <w:pPr>
              <w:spacing w:after="0"/>
              <w:rPr>
                <w:sz w:val="15"/>
                <w:szCs w:val="15"/>
                <w:color w:val="auto"/>
              </w:rPr>
            </w:pPr>
          </w:p>
        </w:tc>
        <w:tc>
          <w:tcPr>
            <w:tcW w:w="4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49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96,146</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Current portion of net investments in sales-type leases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Current portion of prepaid commission expense</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Borders>
              <w:bottom w:val="single" w:sz="8" w:color="CFF0FC"/>
            </w:tcBorders>
            <w:gridSpan w:val="4"/>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106,043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investments in sales-type leases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commission expense</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w w:val="98"/>
              </w:rPr>
              <w:t>Other assets</w:t>
            </w:r>
          </w:p>
        </w:tc>
        <w:tc>
          <w:tcPr>
            <w:tcW w:w="1880" w:type="dxa"/>
            <w:vAlign w:val="bottom"/>
            <w:tcBorders>
              <w:bottom w:val="single" w:sz="8" w:color="CFF0FC"/>
            </w:tcBorders>
          </w:tcPr>
          <w:p>
            <w:pPr>
              <w:spacing w:after="0"/>
              <w:rPr>
                <w:sz w:val="19"/>
                <w:szCs w:val="19"/>
                <w:color w:val="auto"/>
              </w:rPr>
            </w:pPr>
          </w:p>
        </w:tc>
        <w:tc>
          <w:tcPr>
            <w:tcW w:w="49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726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113,437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117,022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74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60" w:type="dxa"/>
            <w:vAlign w:val="bottom"/>
          </w:tcPr>
          <w:p>
            <w:pPr>
              <w:spacing w:after="0"/>
              <w:rPr>
                <w:sz w:val="19"/>
                <w:szCs w:val="19"/>
                <w:color w:val="auto"/>
              </w:rPr>
            </w:pP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7260" w:type="dxa"/>
            <w:vAlign w:val="bottom"/>
            <w:tcBorders>
              <w:bottom w:val="single" w:sz="8" w:color="CFF0FC"/>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30,572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Borders>
              <w:bottom w:val="single" w:sz="8" w:color="CFF0FC"/>
            </w:tcBorders>
            <w:gridSpan w:val="4"/>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 :</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Preferred stock, $0.01 par value: 10,000 shares authorized; no shares issued or outstanding at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March 31, 2019 and December 31, 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2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Common stock, $0.01 par value: 200,000 shares authorized; 18,227 and 17,744 shares issued and</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outstanding at March 31, 2019 and December 31, 2018, respectively</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(228,572)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(221,043)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7260" w:type="dxa"/>
            <w:vAlign w:val="bottom"/>
            <w:tcBorders>
              <w:bottom w:val="single" w:sz="8" w:color="CFF0FC"/>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65,421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71,042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726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113,437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117,022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 w:name="page4"/>
    <w:bookmarkEnd w:id="3"/>
    <w:p>
      <w:pPr>
        <w:ind w:left="4820"/>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7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32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5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Gross Profit</w:t>
            </w:r>
          </w:p>
        </w:tc>
        <w:tc>
          <w:tcPr>
            <w:tcW w:w="154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15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4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Loss from Operations</w:t>
            </w:r>
          </w:p>
        </w:tc>
        <w:tc>
          <w:tcPr>
            <w:tcW w:w="154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5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632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Loss</w:t>
            </w:r>
          </w:p>
        </w:tc>
        <w:tc>
          <w:tcPr>
            <w:tcW w:w="154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of common stock outstanding, basic and diluted</w:t>
            </w:r>
          </w:p>
        </w:tc>
        <w:tc>
          <w:tcPr>
            <w:tcW w:w="25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FF0FC"/>
            </w:tcBorders>
            <w:vMerge w:val="continue"/>
          </w:tcPr>
          <w:p>
            <w:pPr>
              <w:spacing w:after="0"/>
              <w:rPr>
                <w:sz w:val="21"/>
                <w:szCs w:val="21"/>
                <w:color w:val="auto"/>
              </w:rPr>
            </w:pPr>
          </w:p>
        </w:tc>
        <w:tc>
          <w:tcPr>
            <w:tcW w:w="1540" w:type="dxa"/>
            <w:vAlign w:val="bottom"/>
            <w:tcBorders>
              <w:bottom w:val="single" w:sz="8" w:color="CFF0FC"/>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5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 w:name="page5"/>
    <w:bookmarkEnd w:id="4"/>
    <w:p>
      <w:pPr>
        <w:ind w:left="4820"/>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77"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Statement of Changes in Convertible Preferred Stock and Stockholders’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940" w:type="dxa"/>
            <w:vAlign w:val="bottom"/>
            <w:tcBorders>
              <w:right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60" w:type="dxa"/>
            <w:vAlign w:val="bottom"/>
          </w:tcPr>
          <w:p>
            <w:pPr>
              <w:spacing w:after="0"/>
              <w:rPr>
                <w:sz w:val="13"/>
                <w:szCs w:val="13"/>
                <w:color w:val="auto"/>
              </w:rPr>
            </w:pPr>
          </w:p>
        </w:tc>
        <w:tc>
          <w:tcPr>
            <w:tcW w:w="1800" w:type="dxa"/>
            <w:vAlign w:val="bottom"/>
            <w:gridSpan w:val="4"/>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940" w:type="dxa"/>
            <w:vAlign w:val="bottom"/>
            <w:tcBorders>
              <w:right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60" w:type="dxa"/>
            <w:vAlign w:val="bottom"/>
          </w:tcPr>
          <w:p>
            <w:pPr>
              <w:spacing w:after="0"/>
              <w:rPr>
                <w:sz w:val="15"/>
                <w:szCs w:val="15"/>
                <w:color w:val="auto"/>
              </w:rPr>
            </w:pPr>
          </w:p>
        </w:tc>
        <w:tc>
          <w:tcPr>
            <w:tcW w:w="180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00" w:type="dxa"/>
            <w:vAlign w:val="bottom"/>
            <w:tcBorders>
              <w:top w:val="single" w:sz="8" w:color="auto"/>
            </w:tcBorders>
            <w:gridSpan w:val="2"/>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5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jc w:val="right"/>
              <w:ind w:right="113"/>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5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93"/>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3"/>
                <w:szCs w:val="13"/>
                <w:color w:val="auto"/>
              </w:rPr>
            </w:pPr>
          </w:p>
        </w:tc>
        <w:tc>
          <w:tcPr>
            <w:tcW w:w="96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140" w:type="dxa"/>
            <w:vAlign w:val="bottom"/>
            <w:gridSpan w:val="4"/>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304,958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187,136</w:t>
            </w: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 (196,946)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(192,652)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Exercises of stock options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2018</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304,958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187,136</w:t>
            </w:r>
          </w:p>
        </w:tc>
        <w:tc>
          <w:tcPr>
            <w:tcW w:w="14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(202,443</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(197,974</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291,908</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(221,043)</w:t>
            </w: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Exercises of stock options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(7,529)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2019</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293,811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(228,572</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7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60" w:type="dxa"/>
            <w:vAlign w:val="bottom"/>
            <w:tcBorders>
              <w:bottom w:val="single" w:sz="8" w:color="auto"/>
            </w:tcBorders>
            <w:gridSpan w:val="5"/>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214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(7,529)</w:t>
            </w:r>
          </w:p>
        </w:tc>
        <w:tc>
          <w:tcPr>
            <w:tcW w:w="1120" w:type="dxa"/>
            <w:vAlign w:val="bottom"/>
            <w:gridSpan w:val="2"/>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(5,497)</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Change in fair value of convertible preferred stock warrant liability</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Cost of rental units purchased by customers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Changes in certain assets and liabilities: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Inventory</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30"/>
        </w:trPr>
        <w:tc>
          <w:tcPr>
            <w:tcW w:w="6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investment in sales-type leases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Prepaid commission expense</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Accounts payable</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(1,475)</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Accrued expenses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(1,236)</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(3,106)</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Deferred revenue</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30"/>
        </w:trPr>
        <w:tc>
          <w:tcPr>
            <w:tcW w:w="6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Deferred rent</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Purchases of property and equipment and capitalized software</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8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Payments of public offering costs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11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1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1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104,583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1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96,146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3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paid for interest</w:t>
            </w:r>
          </w:p>
        </w:tc>
        <w:tc>
          <w:tcPr>
            <w:tcW w:w="2140" w:type="dxa"/>
            <w:vAlign w:val="bottom"/>
            <w:gridSpan w:val="2"/>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Transfer of inventory to property and equipment</w:t>
            </w:r>
          </w:p>
        </w:tc>
        <w:tc>
          <w:tcPr>
            <w:tcW w:w="214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9"/>
                <w:szCs w:val="19"/>
                <w:color w:val="auto"/>
              </w:rPr>
            </w:pPr>
          </w:p>
        </w:tc>
        <w:tc>
          <w:tcPr>
            <w:tcW w:w="1120" w:type="dxa"/>
            <w:vAlign w:val="bottom"/>
            <w:gridSpan w:val="2"/>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 of property and equipment and capitalized</w:t>
            </w: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software in accounts payable and accrued expenses</w:t>
            </w:r>
          </w:p>
        </w:tc>
        <w:tc>
          <w:tcPr>
            <w:tcW w:w="214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20"/>
                <w:szCs w:val="20"/>
                <w:color w:val="auto"/>
              </w:rPr>
            </w:pPr>
          </w:p>
        </w:tc>
        <w:tc>
          <w:tcPr>
            <w:tcW w:w="1120" w:type="dxa"/>
            <w:vAlign w:val="bottom"/>
            <w:gridSpan w:val="2"/>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initial public offering costs included</w:t>
            </w:r>
          </w:p>
        </w:tc>
        <w:tc>
          <w:tcPr>
            <w:tcW w:w="1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 accounts payable and accrued expenses</w:t>
            </w:r>
          </w:p>
        </w:tc>
        <w:tc>
          <w:tcPr>
            <w:tcW w:w="2140" w:type="dxa"/>
            <w:vAlign w:val="bottom"/>
            <w:gridSpan w:val="2"/>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6" w:name="page7"/>
    <w:bookmarkEnd w:id="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Interim Financial Statements</w:t>
      </w:r>
    </w:p>
    <w:p>
      <w:pPr>
        <w:spacing w:after="0" w:line="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8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Neuronetics, Inc., or the Company, is a commercial stage medical technology company focused on designing, developing and marketing products that improve the quality of life for patients who suffer from psychiatric disorders. The Company’s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was cleared in 2008 by the United States Food and Drug Administration, or the FDA, to treat adult patients with major depressive disorder, or MDD, who have failed to achieve satisfactory improvement from prior antidepressant medication in the current episode. The Company intends to continue to pursue development of its NeuroStar Advanced Therapy System for additional indications.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8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As of March 31, 2019, the Company had cash and cash equivalents of $96.1 million and an accumulated deficit of $228.6 million. The Company incurred negative cash flows from operating activities of $20.6 million for the year ended December 31, 2018 and $9.6 million for the three months ended March 31, 2019. The Company has incurred operating losses since its inception, and management anticipates that its operating losses will continue in the near term as the Company seeks to expand its sales and marketing initiatives to support its growth into existing and new markets and invest in additional research and development activities. The Company’s primary sources of capital to date have been proceeds from its IPO, private placements of its convertible preferred securities, borrowings under its credit facilities and revenues from sales of its products. As of March 31, 2019, the Company had $30.0 million of borrowings outstanding under its credit facility, which matures in March 2022. Management believes that the Company’s cash and cash equivalents as of March 31, 2019 and anticipated revenues from sales of its products are sufficient to fund the Company’s operations for at least the next 24 months after March 31, 2019.</w:t>
      </w:r>
    </w:p>
    <w:p>
      <w:pPr>
        <w:spacing w:after="0" w:line="114"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94"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United States generally accepted accounting principles, or GAAP. Any reference in these notes to applicable guidance is meant to refer to GAAP as found in the Accounting Standards Codification, or ASC, and Accounting Standards Updates, or ASUs, promulgated by the Financial Accounting Standards Board, or FASB.</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Financial Statements</w:t>
      </w:r>
    </w:p>
    <w:p>
      <w:pPr>
        <w:spacing w:after="0" w:line="8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financial statements have been prepared from the books and records of the Company in accordance with GAAP for interim financial information and Rule 10-01 of Regulation S-X promulgated by the United States Securities and Exchange Commission, or SEC, which permit reduced disclosures for interim periods. All adjustments, consisting only of normal recurring adjustments, necessary for a fair presentation of the accompanying balance sheets and statements of operations, changes in convertible preferred stock and stockholders’ deficit and cash flows have been made. Although these interim financial statements do not include all of the information and footnotes required for complete annual financial statements, management believes the disclosures are adequate to make the information presented not misleading. Unaudited interim results of operations and cash flows for the three months ended March 31, 2019 are not necessarily indicative of the results that may be expected for the full year. Unaudited interim financial statements and footnotes should be read in conjunction with the audited financial statements and footnotes included in the Company’s Form 10-K filed with the SEC on March 5, 2019, wherein a more complete discussion of significant accounting policies and certain other information can be found.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8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and the rules and regulations of the SEC requires the use of estimates and assumptions, based on judgments considered reasonable, which affect the reported amounts of assets and liabilities and disclosure of contingent assets and liabilities at the date of the financial statements and the reported amounts of revenues and expenses during the reporting period. The Company bases its estimates and assumptions on historical experience, known trends and events and various other factors that management believes to be reasonable under the circumstances, the results of which form the basis for making judgments about the carrying value of assets and liabilities that are not readily apparent from other sources. Although management believes its estimates and assumptions are reasonable when made, they are based upon information available at the time they are made. Management evaluates the estimates and assumptions on an ongoing basis and, if necessary, makes adjustments. Due to the risks and uncertainties involved in the Company’s business and evolving market conditions, and given the subjective element of the estimates and assumptions made, actual results may differ from estimated results. The most significant estimates and judgments impact share-based compensation prior to the initial public offering (IPO).</w:t>
      </w: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7" w:name="page8"/>
    <w:bookmarkEnd w:id="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Interim Financial Statements</w:t>
      </w:r>
    </w:p>
    <w:p>
      <w:pPr>
        <w:spacing w:after="0" w:line="225"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Company’s complete summary of significant accounting policies can be found in “Note 3. Summary of Significant Accounting Policies” in the audited financial statements included in the Company’s Form 10-K filed with the SEC on March 5, 2019.</w:t>
      </w:r>
    </w:p>
    <w:p>
      <w:pPr>
        <w:spacing w:after="0" w:line="106"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auto"/>
        </w:rPr>
        <w:t xml:space="preserve">As of January 1, 2019, the Company adopted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and ASU 2016-02, </w:t>
      </w:r>
      <w:r>
        <w:rPr>
          <w:rFonts w:ascii="Times New Roman" w:cs="Times New Roman" w:eastAsia="Times New Roman" w:hAnsi="Times New Roman"/>
          <w:sz w:val="18"/>
          <w:szCs w:val="18"/>
          <w:i w:val="1"/>
          <w:iCs w:val="1"/>
          <w:color w:val="auto"/>
        </w:rPr>
        <w:t>“Leases”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842)</w:t>
      </w:r>
      <w:r>
        <w:rPr>
          <w:rFonts w:ascii="Times New Roman" w:cs="Times New Roman" w:eastAsia="Times New Roman" w:hAnsi="Times New Roman"/>
          <w:sz w:val="18"/>
          <w:szCs w:val="18"/>
          <w:color w:val="auto"/>
        </w:rPr>
        <w:t>. The Company’s accounting policies have been modified accordingly: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ASC Topic 606, "Revenue from Contracts with Customers"</w:t>
      </w:r>
    </w:p>
    <w:p>
      <w:pPr>
        <w:spacing w:after="0" w:line="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January 1, 2019, the Company adopted Topic 606 using the modified retrospective method applying the open contract practical expedient and accounted for those contracts which were not completed as of January 1, 2019 under Topic 606. Results for reporting periods beginning after January 1, 2019 are presented under Topic 606, while prior period amounts are not adjusted and continue to be reported in accordance with the Company’s historic accounting under Topic 605.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Topic 606 on Financial Statement Line Items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adoption of ASC 606 had no impact to retained earnings or revenue as of January 1, 2019 and March 31, 2019, respectively.</w:t>
      </w:r>
    </w:p>
    <w:p>
      <w:pPr>
        <w:spacing w:after="0" w:line="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the new revenue standard requirements, the disclosure of the impact of adoption on prepaid commissions expense on the balance sheet as of March 31, 2019 and the statement of operations for the three months ended March 31, 2019 is as follows:</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86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86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Balance Without</w:t>
            </w: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 of Change</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4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4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Adoption of ASC</w:t>
            </w: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6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606</w:t>
            </w:r>
          </w:p>
        </w:tc>
        <w:tc>
          <w:tcPr>
            <w:tcW w:w="220" w:type="dxa"/>
            <w:vAlign w:val="bottom"/>
          </w:tcPr>
          <w:p>
            <w:pPr>
              <w:spacing w:after="0"/>
              <w:rPr>
                <w:sz w:val="15"/>
                <w:szCs w:val="15"/>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Higher/(Lower)</w:t>
            </w:r>
          </w:p>
        </w:tc>
        <w:tc>
          <w:tcPr>
            <w:tcW w:w="0" w:type="dxa"/>
            <w:vAlign w:val="bottom"/>
          </w:tcPr>
          <w:p>
            <w:pPr>
              <w:spacing w:after="0"/>
              <w:rPr>
                <w:sz w:val="1"/>
                <w:szCs w:val="1"/>
                <w:color w:val="auto"/>
              </w:rPr>
            </w:pPr>
          </w:p>
        </w:tc>
      </w:tr>
      <w:tr>
        <w:trPr>
          <w:trHeight w:val="142"/>
        </w:trPr>
        <w:tc>
          <w:tcPr>
            <w:tcW w:w="6080" w:type="dxa"/>
            <w:vAlign w:val="bottom"/>
            <w:tcBorders>
              <w:top w:val="single" w:sz="8" w:color="CFF0FC"/>
            </w:tcBorders>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2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2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auto"/>
            </w:tcBorders>
            <w:shd w:val="clear" w:color="auto" w:fill="CFF0FC"/>
          </w:tcPr>
          <w:p>
            <w:pPr>
              <w:spacing w:after="0"/>
              <w:rPr>
                <w:sz w:val="5"/>
                <w:szCs w:val="5"/>
                <w:color w:val="auto"/>
              </w:rPr>
            </w:pPr>
          </w:p>
        </w:tc>
        <w:tc>
          <w:tcPr>
            <w:tcW w:w="5220" w:type="dxa"/>
            <w:vAlign w:val="bottom"/>
            <w:tcBorders>
              <w:top w:val="single" w:sz="8" w:color="CFF0FC"/>
            </w:tcBorders>
            <w:shd w:val="clear" w:color="auto" w:fill="CFF0FC"/>
          </w:tcPr>
          <w:p>
            <w:pPr>
              <w:spacing w:after="0"/>
              <w:rPr>
                <w:sz w:val="5"/>
                <w:szCs w:val="5"/>
                <w:color w:val="auto"/>
              </w:rPr>
            </w:pPr>
          </w:p>
        </w:tc>
        <w:tc>
          <w:tcPr>
            <w:tcW w:w="1200" w:type="dxa"/>
            <w:vAlign w:val="bottom"/>
            <w:tcBorders>
              <w:top w:val="single" w:sz="8" w:color="CFF0FC"/>
            </w:tcBorders>
            <w:shd w:val="clear" w:color="auto" w:fill="CFF0FC"/>
          </w:tcPr>
          <w:p>
            <w:pPr>
              <w:spacing w:after="0"/>
              <w:rPr>
                <w:sz w:val="5"/>
                <w:szCs w:val="5"/>
                <w:color w:val="auto"/>
              </w:rPr>
            </w:pPr>
          </w:p>
        </w:tc>
        <w:tc>
          <w:tcPr>
            <w:tcW w:w="240" w:type="dxa"/>
            <w:vAlign w:val="bottom"/>
            <w:tcBorders>
              <w:top w:val="single" w:sz="8" w:color="CFF0FC"/>
            </w:tcBorders>
            <w:shd w:val="clear" w:color="auto" w:fill="CFF0FC"/>
          </w:tcPr>
          <w:p>
            <w:pPr>
              <w:spacing w:after="0"/>
              <w:rPr>
                <w:sz w:val="5"/>
                <w:szCs w:val="5"/>
                <w:color w:val="auto"/>
              </w:rPr>
            </w:pPr>
          </w:p>
        </w:tc>
        <w:tc>
          <w:tcPr>
            <w:tcW w:w="1220" w:type="dxa"/>
            <w:vAlign w:val="bottom"/>
            <w:tcBorders>
              <w:top w:val="single" w:sz="8" w:color="CFF0FC"/>
            </w:tcBorders>
            <w:shd w:val="clear" w:color="auto" w:fill="CFF0FC"/>
          </w:tcPr>
          <w:p>
            <w:pPr>
              <w:spacing w:after="0"/>
              <w:rPr>
                <w:sz w:val="5"/>
                <w:szCs w:val="5"/>
                <w:color w:val="auto"/>
              </w:rPr>
            </w:pPr>
          </w:p>
        </w:tc>
        <w:tc>
          <w:tcPr>
            <w:tcW w:w="220" w:type="dxa"/>
            <w:vAlign w:val="bottom"/>
            <w:tcBorders>
              <w:top w:val="single" w:sz="8" w:color="CFF0FC"/>
            </w:tcBorders>
            <w:shd w:val="clear" w:color="auto" w:fill="CFF0FC"/>
          </w:tcPr>
          <w:p>
            <w:pPr>
              <w:spacing w:after="0"/>
              <w:rPr>
                <w:sz w:val="5"/>
                <w:szCs w:val="5"/>
                <w:color w:val="auto"/>
              </w:rPr>
            </w:pPr>
          </w:p>
        </w:tc>
        <w:tc>
          <w:tcPr>
            <w:tcW w:w="12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portion of prepaid commission expense</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9"/>
                <w:szCs w:val="19"/>
                <w:color w:val="auto"/>
              </w:rPr>
            </w:pPr>
          </w:p>
        </w:tc>
        <w:tc>
          <w:tcPr>
            <w:tcW w:w="3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commission expense</w:t>
            </w: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8"/>
          </w:tcPr>
          <w:p>
            <w:pPr>
              <w:jc w:val="center"/>
              <w:ind w:left="396"/>
              <w:spacing w:after="0"/>
              <w:rPr>
                <w:sz w:val="20"/>
                <w:szCs w:val="20"/>
                <w:color w:val="auto"/>
              </w:rPr>
            </w:pPr>
            <w:r>
              <w:rPr>
                <w:rFonts w:ascii="Times New Roman" w:cs="Times New Roman" w:eastAsia="Times New Roman" w:hAnsi="Times New Roman"/>
                <w:sz w:val="14"/>
                <w:szCs w:val="14"/>
                <w:b w:val="1"/>
                <w:bCs w:val="1"/>
                <w:color w:val="auto"/>
              </w:rPr>
              <w:t>Three Months ended March 31, 2019</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Balance Without</w:t>
            </w:r>
          </w:p>
        </w:tc>
        <w:tc>
          <w:tcPr>
            <w:tcW w:w="80" w:type="dxa"/>
            <w:vAlign w:val="bottom"/>
          </w:tcPr>
          <w:p>
            <w:pPr>
              <w:spacing w:after="0"/>
              <w:rPr>
                <w:sz w:val="11"/>
                <w:szCs w:val="11"/>
                <w:color w:val="auto"/>
              </w:rPr>
            </w:pPr>
          </w:p>
        </w:tc>
        <w:tc>
          <w:tcPr>
            <w:tcW w:w="13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Effect of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00" w:type="dxa"/>
            <w:vAlign w:val="bottom"/>
          </w:tcPr>
          <w:p>
            <w:pPr>
              <w:spacing w:after="0"/>
              <w:rPr>
                <w:sz w:val="12"/>
                <w:szCs w:val="12"/>
                <w:color w:val="auto"/>
              </w:rPr>
            </w:pPr>
          </w:p>
        </w:tc>
        <w:tc>
          <w:tcPr>
            <w:tcW w:w="13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Adoption of ASC</w:t>
            </w:r>
          </w:p>
        </w:tc>
        <w:tc>
          <w:tcPr>
            <w:tcW w:w="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606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Higher/(Lower)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Borders>
              <w:top w:val="single" w:sz="8" w:color="CFF0FC"/>
            </w:tcBorders>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 Statement</w:t>
            </w:r>
          </w:p>
        </w:tc>
        <w:tc>
          <w:tcPr>
            <w:tcW w:w="13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auto"/>
            </w:tcBorders>
            <w:vMerge w:val="restart"/>
          </w:tcPr>
          <w:p>
            <w:pPr>
              <w:spacing w:after="0"/>
              <w:rPr>
                <w:sz w:val="5"/>
                <w:szCs w:val="5"/>
                <w:color w:val="auto"/>
              </w:rPr>
            </w:pPr>
          </w:p>
        </w:tc>
        <w:tc>
          <w:tcPr>
            <w:tcW w:w="1100" w:type="dxa"/>
            <w:vAlign w:val="bottom"/>
            <w:tcBorders>
              <w:top w:val="single" w:sz="8" w:color="auto"/>
            </w:tcBorders>
            <w:shd w:val="clear" w:color="auto" w:fill="CFF0FC"/>
          </w:tcPr>
          <w:p>
            <w:pPr>
              <w:spacing w:after="0"/>
              <w:rPr>
                <w:sz w:val="5"/>
                <w:szCs w:val="5"/>
                <w:color w:val="auto"/>
              </w:rPr>
            </w:pPr>
          </w:p>
        </w:tc>
        <w:tc>
          <w:tcPr>
            <w:tcW w:w="3640" w:type="dxa"/>
            <w:vAlign w:val="bottom"/>
            <w:tcBorders>
              <w:top w:val="single" w:sz="8" w:color="CFF0FC"/>
            </w:tcBorders>
            <w:shd w:val="clear" w:color="auto" w:fill="CFF0FC"/>
          </w:tcPr>
          <w:p>
            <w:pPr>
              <w:spacing w:after="0"/>
              <w:rPr>
                <w:sz w:val="5"/>
                <w:szCs w:val="5"/>
                <w:color w:val="auto"/>
              </w:rPr>
            </w:pPr>
          </w:p>
        </w:tc>
        <w:tc>
          <w:tcPr>
            <w:tcW w:w="1320" w:type="dxa"/>
            <w:vAlign w:val="bottom"/>
            <w:tcBorders>
              <w:top w:val="single" w:sz="8" w:color="CFF0FC"/>
            </w:tcBorders>
            <w:shd w:val="clear" w:color="auto" w:fill="CFF0FC"/>
          </w:tcPr>
          <w:p>
            <w:pPr>
              <w:spacing w:after="0"/>
              <w:rPr>
                <w:sz w:val="5"/>
                <w:szCs w:val="5"/>
                <w:color w:val="auto"/>
              </w:rPr>
            </w:pPr>
          </w:p>
        </w:tc>
        <w:tc>
          <w:tcPr>
            <w:tcW w:w="140" w:type="dxa"/>
            <w:vAlign w:val="bottom"/>
            <w:tcBorders>
              <w:top w:val="single" w:sz="8" w:color="CFF0FC"/>
            </w:tcBorders>
            <w:shd w:val="clear" w:color="auto" w:fill="CFF0FC"/>
          </w:tcPr>
          <w:p>
            <w:pPr>
              <w:spacing w:after="0"/>
              <w:rPr>
                <w:sz w:val="5"/>
                <w:szCs w:val="5"/>
                <w:color w:val="auto"/>
              </w:rPr>
            </w:pPr>
          </w:p>
        </w:tc>
        <w:tc>
          <w:tcPr>
            <w:tcW w:w="1060" w:type="dxa"/>
            <w:vAlign w:val="bottom"/>
            <w:tcBorders>
              <w:top w:val="single" w:sz="8" w:color="CFF0FC"/>
            </w:tcBorders>
            <w:shd w:val="clear" w:color="auto" w:fill="CFF0FC"/>
          </w:tcPr>
          <w:p>
            <w:pPr>
              <w:spacing w:after="0"/>
              <w:rPr>
                <w:sz w:val="5"/>
                <w:szCs w:val="5"/>
                <w:color w:val="auto"/>
              </w:rPr>
            </w:pPr>
          </w:p>
        </w:tc>
        <w:tc>
          <w:tcPr>
            <w:tcW w:w="14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280" w:type="dxa"/>
            <w:vAlign w:val="bottom"/>
            <w:tcBorders>
              <w:top w:val="single" w:sz="8" w:color="CFF0FC"/>
            </w:tcBorders>
            <w:shd w:val="clear" w:color="auto" w:fill="CFF0FC"/>
          </w:tcPr>
          <w:p>
            <w:pPr>
              <w:spacing w:after="0"/>
              <w:rPr>
                <w:sz w:val="5"/>
                <w:szCs w:val="5"/>
                <w:color w:val="auto"/>
              </w:rPr>
            </w:pPr>
          </w:p>
        </w:tc>
        <w:tc>
          <w:tcPr>
            <w:tcW w:w="940" w:type="dxa"/>
            <w:vAlign w:val="bottom"/>
            <w:tcBorders>
              <w:top w:val="single" w:sz="8" w:color="CFF0FC"/>
            </w:tcBorders>
            <w:shd w:val="clear" w:color="auto" w:fill="CFF0FC"/>
          </w:tcPr>
          <w:p>
            <w:pPr>
              <w:spacing w:after="0"/>
              <w:rPr>
                <w:sz w:val="5"/>
                <w:szCs w:val="5"/>
                <w:color w:val="auto"/>
              </w:rPr>
            </w:pPr>
          </w:p>
        </w:tc>
        <w:tc>
          <w:tcPr>
            <w:tcW w:w="140" w:type="dxa"/>
            <w:vAlign w:val="bottom"/>
            <w:tcBorders>
              <w:top w:val="single" w:sz="8" w:color="CFF0FC"/>
            </w:tcBorders>
            <w:shd w:val="clear" w:color="auto" w:fill="CFF0FC"/>
          </w:tcPr>
          <w:p>
            <w:pPr>
              <w:spacing w:after="0"/>
              <w:rPr>
                <w:sz w:val="5"/>
                <w:szCs w:val="5"/>
                <w:color w:val="auto"/>
              </w:rPr>
            </w:pPr>
          </w:p>
        </w:tc>
        <w:tc>
          <w:tcPr>
            <w:tcW w:w="80" w:type="dxa"/>
            <w:vAlign w:val="bottom"/>
            <w:tcBorders>
              <w:top w:val="single" w:sz="8" w:color="CFF0FC"/>
            </w:tcBorders>
            <w:shd w:val="clear" w:color="auto" w:fill="CFF0FC"/>
          </w:tcPr>
          <w:p>
            <w:pPr>
              <w:spacing w:after="0"/>
              <w:rPr>
                <w:sz w:val="5"/>
                <w:szCs w:val="5"/>
                <w:color w:val="auto"/>
              </w:rPr>
            </w:pPr>
          </w:p>
        </w:tc>
        <w:tc>
          <w:tcPr>
            <w:tcW w:w="580" w:type="dxa"/>
            <w:vAlign w:val="bottom"/>
            <w:tcBorders>
              <w:top w:val="single" w:sz="8" w:color="CFF0FC"/>
            </w:tcBorders>
            <w:shd w:val="clear" w:color="auto" w:fill="CFF0FC"/>
          </w:tcPr>
          <w:p>
            <w:pPr>
              <w:spacing w:after="0"/>
              <w:rPr>
                <w:sz w:val="5"/>
                <w:szCs w:val="5"/>
                <w:color w:val="auto"/>
              </w:rPr>
            </w:pPr>
          </w:p>
        </w:tc>
        <w:tc>
          <w:tcPr>
            <w:tcW w:w="64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9,592</w:t>
            </w:r>
          </w:p>
        </w:tc>
        <w:tc>
          <w:tcPr>
            <w:tcW w:w="140" w:type="dxa"/>
            <w:vAlign w:val="bottom"/>
          </w:tcPr>
          <w:p>
            <w:pPr>
              <w:spacing w:after="0"/>
              <w:rPr>
                <w:sz w:val="19"/>
                <w:szCs w:val="19"/>
                <w:color w:val="auto"/>
              </w:rPr>
            </w:pPr>
          </w:p>
        </w:tc>
        <w:tc>
          <w:tcPr>
            <w:tcW w:w="3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10,107</w:t>
            </w:r>
          </w:p>
        </w:tc>
        <w:tc>
          <w:tcPr>
            <w:tcW w:w="140" w:type="dxa"/>
            <w:vAlign w:val="bottom"/>
          </w:tcPr>
          <w:p>
            <w:pPr>
              <w:spacing w:after="0"/>
              <w:rPr>
                <w:sz w:val="19"/>
                <w:szCs w:val="19"/>
                <w:color w:val="auto"/>
              </w:rPr>
            </w:pPr>
          </w:p>
        </w:tc>
        <w:tc>
          <w:tcPr>
            <w:tcW w:w="66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(7,529)</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(8,044)</w:t>
            </w: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Topic 606 is principles-based and provides a five-step model to determine when and how revenue is recognized. The core principle is that an entity should recognize revenue when it transfers promised goods or services to customers in an amount that reflects the consideration to which the entity expects to be entitled in exchange for those goods or services.</w:t>
      </w:r>
    </w:p>
    <w:p>
      <w:pPr>
        <w:spacing w:after="0" w:line="16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Sales and usage-based taxes are excluded from revenues. Other than the revenue recognized under the distribution agreement disclosed below, all but an immaterial amount of the Company’s revenue is recognized at a point in time.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Formation</w:t>
      </w:r>
    </w:p>
    <w:p>
      <w:pPr>
        <w:spacing w:after="0" w:line="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accounts for a contract with a customer when there is a legally enforceable contract between the Company and the customer, the rights of the parties are identified, the contract has commercial substance, and collectability of the contract consideration is probable. For all sales, the Company uses either a signed agreement or a binding purchase order as evidence of an arrangement.</w:t>
      </w:r>
    </w:p>
    <w:p>
      <w:pPr>
        <w:spacing w:after="0" w:line="3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17" w:right="35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Interim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unit of account for Topic 606 is the performance obligation. A performance obligation is a promise in a contract to transfer a distinct good or service to the customer or a series of distinct goods or services that are substantially the same and have the same pattern of transfer. A contract’s transaction price is allocated to each performance obligation and recognized as revenue when, or as, the performance obligation is satisfied. The majority of the Company’s contracts are comprised of the following performance obligations:</w:t>
      </w:r>
    </w:p>
    <w:p>
      <w:pPr>
        <w:spacing w:after="0" w:line="45" w:lineRule="exact"/>
        <w:rPr>
          <w:sz w:val="20"/>
          <w:szCs w:val="20"/>
          <w:color w:val="auto"/>
        </w:rPr>
      </w:pPr>
    </w:p>
    <w:p>
      <w:pPr>
        <w:ind w:left="1040" w:hanging="519"/>
        <w:spacing w:after="0" w:line="289" w:lineRule="auto"/>
        <w:tabs>
          <w:tab w:leader="none" w:pos="10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NeuroStar TMS Therapy System (the “System”) which includes a chair, an electromagnet coil, a monitoring console and accessories. The various components are inputs that function together to deliver a combined output and together form one performance obligation (a NeuroStar Advanced Therapy System). Revenues from the sale of the System are satisfied at the point-in-time when delivered to the customer’s premises.</w:t>
      </w:r>
    </w:p>
    <w:p>
      <w:pPr>
        <w:spacing w:after="0" w:line="23" w:lineRule="exact"/>
        <w:rPr>
          <w:rFonts w:ascii="Times New Roman" w:cs="Times New Roman" w:eastAsia="Times New Roman" w:hAnsi="Times New Roman"/>
          <w:sz w:val="17"/>
          <w:szCs w:val="17"/>
          <w:color w:val="auto"/>
        </w:rPr>
      </w:pPr>
    </w:p>
    <w:p>
      <w:pPr>
        <w:ind w:left="1040" w:right="200" w:hanging="519"/>
        <w:spacing w:after="0" w:line="261"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NeuroStar Treatment Session (the “Treatment Session”) is a single use consumable that is delivered via an encrypted activation code and is required in order for a clinician to perform trans-cranial magnetic stimulation (“TMS”) therapy. Revenues from the sale of the Treatment Sessions are satisfied at the point-in-time when delivered to the customer. The Company determined that sales of Treatment Sessions are not part of the enforceable rights and obligations of the System sales, except when sold with System sales.</w:t>
      </w:r>
    </w:p>
    <w:p>
      <w:pPr>
        <w:spacing w:after="0" w:line="44"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Separately priced extended warranties and when-and-if-available upgrade rights are considered service-type warranties. Warranty services are considered stand-ready obligations satisfied over-time and recognized using a straight-line time-based measurement toward completion.</w:t>
      </w:r>
    </w:p>
    <w:p>
      <w:pPr>
        <w:spacing w:after="0" w:line="26" w:lineRule="exact"/>
        <w:rPr>
          <w:rFonts w:ascii="Times New Roman" w:cs="Times New Roman" w:eastAsia="Times New Roman" w:hAnsi="Times New Roman"/>
          <w:sz w:val="18"/>
          <w:szCs w:val="18"/>
          <w:color w:val="auto"/>
        </w:rPr>
      </w:pPr>
    </w:p>
    <w:p>
      <w:pPr>
        <w:ind w:left="1040" w:right="100" w:hanging="519"/>
        <w:spacing w:after="0" w:line="261"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System clinical and reimbursement training enable the clinician to provide patient treatment. The trainings are not required in order to operate the System, but are required in order to receive a certification from the Company and accordingly are not essential to the functionality of other performance obligations. Training services are recognized at a point-in-time when training is complete, typically simultaneous to or near the time of delivery of the System.</w:t>
      </w:r>
    </w:p>
    <w:p>
      <w:pPr>
        <w:spacing w:after="0" w:line="167"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addition, the Company has determined that there are various perfunctory deliverables such as installation of the System, the technical support hotline and marketing materials which the Company does not separately recognize as revenue nor does the Company accrue the estimated cost of providing these goods and services because they are not material. The Company provides a two-year warranty on all new System sales which were determined to be assurance-type warranties and thus not considered a separate performance obligation. The Company accrues the cost of providing these warranties.</w:t>
      </w:r>
    </w:p>
    <w:p>
      <w:pPr>
        <w:spacing w:after="0" w:line="167"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There is no right of return or refund for any of the Company’s products or services and the Company has elected to treat shipping and handling as a fulfillment activity and expenses the costs as incurred.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Rent-to-Own</w:t>
      </w:r>
    </w:p>
    <w:p>
      <w:pPr>
        <w:spacing w:after="0" w:line="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The System is typically purchased but the Company does offer certain customers the option to lease instead. The Company accounts for these leases under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Under Topic 842 the leases are typically accounted for as a sales-type lease which results in the derecognition of the underlying asset, the recognition of profit or loss on the sale, and the recognition of an investment in sales-type lease. The investment is periodically increased for interest earned and reduced as lease payments are received.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Agreement</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an exclusive distribution agreement with a foreign entity for a period of 7 ½ years with two 2 year renewal options. As consideration for the right to be the sole distributor of the Company’s products and use of the Company’s intellectual property in the foreign territory, the distributor is required to make certain fixed milestone payments upon contract execution and regulatory approval. In addition, the distributor is required to make variable milestone payments depending upon regulatory reimbursement rates. Furthermore, the distributor is required to make certain minimum purchases based upon sales history and forecasts subject to a ceiling and floor. The Company assessed the potential performance obligations in this contract and concluded that the contract contained the following performance obligations:</w:t>
      </w:r>
    </w:p>
    <w:p>
      <w:pPr>
        <w:spacing w:after="0" w:line="53" w:lineRule="exact"/>
        <w:rPr>
          <w:sz w:val="20"/>
          <w:szCs w:val="20"/>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distribution and intellectual property license</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NeuroStar TMS Therapy System (the “System”)</w:t>
      </w:r>
    </w:p>
    <w:p>
      <w:pPr>
        <w:spacing w:after="0" w:line="76"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NeuroStar Treatment Session (the “Treatment Session”)</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7" w:right="29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Interim Financial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distribution agreement contains pricing for the Company’s products and services. The contractual purchase prices were determined to be at the standalone selling prices based on the expected sales volumes of this customer type and thus the Company concluded that this agreement did not contain a separate performance obligation for the material right to discounted Systems and Treatments Sessions. The Company allocated the transaction price through a combination of the cost plus a margin approach and the residual method. For the System and Treatment Sessions the Company maximized the use of observable inputs by beginning with average historical contractual selling prices and adjusting on a consistent and rational basis for pricing trends, the customer type and expected sales volumes and the Company’s changing cost and margins. Since it was determined that the contractual selling prices for the Company’s products and services in the distribution agreement were at the standalone selling prices, the residual consideration which is made up of the fixed and variable milestone payments was allocated to the exclusive distribution and intellectual property license. The exclusive distribution and intellectual property rights were determined to be symbolic IP and thus recognized over time. The System and Treatment Sessions were determined to be performance obligations recognized at a point in time when delivered to the distributor.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Estimates</w:t>
      </w:r>
    </w:p>
    <w:p>
      <w:pPr>
        <w:spacing w:after="0" w:line="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Accounting for the Company’s contracts involves the use of significant judgments and estimates including determining the separate performance obligations, allocating the transaction price to the different performance obligations and determining the method to measure the entity’s performance toward satisfaction of performance obligations that most faithfully depicts when control is transferred to the customer. The Company allocates the contract’s transaction price to each performance obligation using the Company’s best estimate of the standalone selling price for each distinct good or service in the contract. The Company maximizes the use of observable inputs by beginning with average historical contractual selling prices and adjusting as necessary and on a consistent and rational basis for other inputs such as pricing trends, customer types, volumes and changing cost and margins.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7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Payment terms typically require payment upon shipment of the System and additional payments as access codes are delivered, which can span several years after the System is first delivered and installed. The timing of revenue recognition compared to billings and cash collections typically results in accounts receivable. However, sometimes customer advances and deposits might be required for certain customers and are recorded as contract liabilities. Changes in the contract asset and liability balances during the three-month period ended March 31, 2019, were not materially impacted by any other factors.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recognize approximately the following percentages of deferred revenue by year:</w:t>
      </w:r>
    </w:p>
    <w:p>
      <w:pPr>
        <w:spacing w:after="0" w:line="219"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6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Borders>
              <w:bottom w:val="single" w:sz="8" w:color="CFF0FC"/>
            </w:tcBorders>
          </w:tcPr>
          <w:p>
            <w:pPr>
              <w:spacing w:after="0"/>
              <w:rPr>
                <w:sz w:val="15"/>
                <w:szCs w:val="15"/>
                <w:color w:val="auto"/>
              </w:rPr>
            </w:pPr>
          </w:p>
        </w:tc>
        <w:tc>
          <w:tcPr>
            <w:tcW w:w="1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Revenue Recognition</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6480" w:type="dxa"/>
            <w:vAlign w:val="bottom"/>
            <w:gridSpan w:val="2"/>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gridSpan w:val="2"/>
            <w:vMerge w:val="continue"/>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6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Revenue recognized for the three-month period ended March 31, 2019 that was included in the contract liability balance at the beginning of the year was $1.1 million, and primarily represented revenue earned from separately priced extended warranties and clinical training.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ASC Topic 842, "Leases"</w:t>
      </w:r>
    </w:p>
    <w:p>
      <w:pPr>
        <w:spacing w:after="0" w:line="9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accounts for leases in accordance with ASC Topic 842, Leases, (“Topic 842”). The Company determines if an arrangement is a lease at contract inception. 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Interim Financial Statements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leases warehouse and office space, and office equipment pursuant to net operating leases. Operating leases where the Company is the lessor are included in revenue on the Statements of Operations.</w:t>
      </w:r>
    </w:p>
    <w:p>
      <w:pPr>
        <w:spacing w:after="0" w:line="14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From time to time the Company enters into sales-type lease arrangements that include a lessee obligation to purchase the leased equipment at the end of the lease term, a bargain purchase option, or provides for minimum lease payments with a present value 90% or more of the fair value of the leased equipment at the date of lease inception. Sales-type leases where the Company is the lessor are included in revenue on the Statements of Operations.</w:t>
      </w:r>
    </w:p>
    <w:p>
      <w:pPr>
        <w:spacing w:after="0" w:line="16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Operating leases where the Company is the lessee are included in operating lease right-of-use assets and operating lease liabilities on the Balance Sheets. The lease liabilities are initially and subsequently measured at the present value of the unpaid lease payments at the lease commencement date.</w:t>
      </w:r>
    </w:p>
    <w:p>
      <w:pPr>
        <w:spacing w:after="0" w:line="14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Company uses the following inputs in its lease calculations under Topic 842: (1) the discount rate the Company uses to discount the unpaid lease payments to present value, (2) lease term, and (3) lease payments.</w:t>
      </w:r>
    </w:p>
    <w:p>
      <w:pPr>
        <w:spacing w:after="0" w:line="27" w:lineRule="exact"/>
        <w:rPr>
          <w:sz w:val="20"/>
          <w:szCs w:val="20"/>
          <w:color w:val="auto"/>
        </w:rPr>
      </w:pPr>
    </w:p>
    <w:p>
      <w:pPr>
        <w:ind w:left="1040" w:right="100" w:hanging="519"/>
        <w:spacing w:after="0" w:line="256"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Topic 842 requires a lessor to discount its unpaid lease payments using the interest rate implicit in the lease and a lessee to discount its unpaid lease payments using the interest rate implicit in the lease or, if that rate cannot be readily determined, its incremental borrowing rate. As most leases where the Company is the lessee do not provide an implicit rate, the Company uses the incremental borrowing rate based on the information available at commencement date in determining the present value of lease payments. The incremental borrowing rate for a lease is the rate of interest the Company would have to pay on a collateralized basis to borrow an amount equal to the lease payments under similar terms. The Company uses the implicit rate when readily determinable.</w:t>
      </w:r>
    </w:p>
    <w:p>
      <w:pPr>
        <w:spacing w:after="0" w:line="52" w:lineRule="exact"/>
        <w:rPr>
          <w:rFonts w:ascii="Times New Roman" w:cs="Times New Roman" w:eastAsia="Times New Roman" w:hAnsi="Times New Roman"/>
          <w:sz w:val="18"/>
          <w:szCs w:val="18"/>
          <w:color w:val="auto"/>
        </w:rPr>
      </w:pPr>
    </w:p>
    <w:p>
      <w:pPr>
        <w:jc w:val="both"/>
        <w:ind w:left="1040" w:right="420" w:hanging="519"/>
        <w:spacing w:after="0" w:line="266"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term for all leases includes the noncancelable period of the lease plus any additional periods covered by either a lessee option to extend (or not to terminate) the lease that the lessee is reasonably certain to exercise, or an option to extend (or not to terminate) the lease controlled by the lessor.</w:t>
      </w:r>
    </w:p>
    <w:p>
      <w:pPr>
        <w:spacing w:after="0" w:line="41" w:lineRule="exact"/>
        <w:rPr>
          <w:rFonts w:ascii="Times New Roman" w:cs="Times New Roman" w:eastAsia="Times New Roman" w:hAnsi="Times New Roman"/>
          <w:sz w:val="18"/>
          <w:szCs w:val="18"/>
          <w:color w:val="auto"/>
        </w:rPr>
      </w:pPr>
    </w:p>
    <w:p>
      <w:pPr>
        <w:ind w:left="1040" w:right="380" w:hanging="519"/>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payments included in the measurement of the lease asset or liability comprise the following: fixed payments (including in-substance fixed payments), and the exercise price of a lessee option to purchase the underlying asset if the lessee is reasonably certain to exercise.</w:t>
      </w:r>
    </w:p>
    <w:p>
      <w:pPr>
        <w:spacing w:after="0" w:line="14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operating leases where the Company is the lessor, the Company continues recognizing the underlying asset and depreciating it over its estimated useful life. Lease income from lessees is recognized on a straight-line basis over the terms of the relevant lease agreement in revenue. Operating leases for equipment with fixed rentals and step rentals are recognized on a straight-line basis over the term of the lease, assuming no renewals, in revenue. Revenue is not recognized when collection is not reasonably assured. When collectability is not reasonably assured, the customer is placed on non-accrual status and revenue is recognized when cash payments are received.</w:t>
      </w:r>
    </w:p>
    <w:p>
      <w:pPr>
        <w:spacing w:after="0" w:line="17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lease asset for sales-type leases is initially measured as the total net investment in the lease, which comprises the initial amount of the lease receivable plus the deferred initial direct costs.</w:t>
      </w:r>
    </w:p>
    <w:p>
      <w:pPr>
        <w:spacing w:after="0" w:line="14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lease asset for sales-type leases is subsequently measured throughout the lease term at the carrying amount of the net investment in the lease which is increased by interest income and reduced by lease payments collected. The lease payments are segregated into principal and interest components similar to a loan. Equipment leasing revenues are recognized on an effective interest method over the lease term. The principal component of the lease payment is reflected as a reduction to the net investment in the lease.</w:t>
      </w:r>
    </w:p>
    <w:p>
      <w:pPr>
        <w:spacing w:after="0" w:line="1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operating leases where the Company is the lessee, the right-of-use (ROU) asset is initially measured at cost, which comprises the initial amount of the lease liability adjusted for lease payments made at or before the lease commencement date, plus any initial direct costs incurred less any lease incentives received. The ROU asset is subsequently measured 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w:t>
      </w:r>
    </w:p>
    <w:p>
      <w:pPr>
        <w:spacing w:after="0" w:line="17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Lease assets for sales-type where the Company is the lessor and ROU assets for operating leases where the Company is the lessee are periodically reduced by impairment losses. The Company uses the loans impairment guidance in ASC Subtopic 330-10, Receivables, and the long-lived assets impairment guidance in ASC Subtopic 360-10, Property, Plant, and Equipment – Overall, to determine whether a lease asset or a ROU asset, respectively, is impaired, and if so, the amount of the impairment loss to recognize. As of March 31, 2019, the Company has not encountered any impairment losses.</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Interim Financial Statements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monitors for events or changes in circumstances that require a reassessment of a lease. When a reassessment results in the remeasurement of a lease liability, a corresponding adjustment is made to the carrying amount of the corresponding ROU asset unless doing so would reduce the carrying amount of the ROU asset to an amount less than zero. In that case, the amount of the adjustment that would result in a negative ROU asset balance is recorded in profit or loss.</w:t>
      </w:r>
    </w:p>
    <w:p>
      <w:pPr>
        <w:spacing w:after="0" w:line="16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has elected not to recognize ROU assets and lease liabilities for all short-term leases that have a lease term of 12 months or less. The Company recognizes the lease payments associated with the short-term leases as an expense on a straight-line basis over the lease term. Variable lease payments associated with these leases are recognized and presented in the same manner as for all other leases. The Company has elected to exclude sales and other similar taxes from lease payments in arrangements where the Company is a lessor.</w:t>
      </w:r>
    </w:p>
    <w:p>
      <w:pPr>
        <w:spacing w:after="0" w:line="16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adopted ASU 2016-02 using a modified retrospective transition approach as of the effective date as permitted by the amendments in ASU 2018-11, which provides an alternative modified retrospective transition method. As a result, the Company was not required to adjust comparative period financial information for effects of the standard or make the new required lease disclosures for periods before the date of adoption (i.e. January 1, 2019). The Company has elected to adopt the package of transition practical expedients and, therefore, has not reassessed (1) whether existing or expired contracts contain a lease, (2) lease classification for existing or expired leases or (3) the accounting for initial direct costs that were previously capitalized. The Company did not elect the practical expedient to use hindsight for leases existing at the adoption date. Further, the Company does not expect the amendments in ASU 2018-01: Land Easement Practical Expedient to have an effect on us because the Company does not enter into land easement arrangements. There was no effect of the adoption of Topic 842 on retained earnings and other components of equity as of December 31, 2018.</w:t>
      </w:r>
    </w:p>
    <w:p>
      <w:pPr>
        <w:spacing w:after="0" w:line="127"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9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Company’s discussion of recently issued accounting pronouncements can be found in “Note 4. Recent Accounting Pronouncements” in the audited financial statements included in the Company’s Form 10-K filed with the SEC on March 5, 2019.</w:t>
      </w:r>
    </w:p>
    <w:p>
      <w:pPr>
        <w:spacing w:after="0" w:line="104"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 AND FINANCIAL INSTRUMENTS</w:t>
      </w:r>
    </w:p>
    <w:p>
      <w:pPr>
        <w:spacing w:after="0" w:line="81"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carrying values of cash equivalents, accounts receivable, prepaids and other current assets, and accounts payable on the Company’s balance sheets approximated their fair values as of March 31, 2019 and December 31, 2018 due to their short-term nature. The carrying values of the Company’s credit facility approximated its fair value as of March 31, 2019 and December 31, 2018 due to its variable interest rate.</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Certain of the Company’s financial instruments are measured at fair value using a three-level hierarchy that prioritizes the inputs used to measure fair value. This hierarchy maximizes the use of observable inputs and minimizes the use of unobservable inputs. The three levels of inputs used to measure fair value are as follows:</w:t>
      </w:r>
    </w:p>
    <w:p>
      <w:pPr>
        <w:spacing w:after="0" w:line="16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Inputs are quoted prices for identical instruments in active markets.</w:t>
      </w:r>
    </w:p>
    <w:p>
      <w:pPr>
        <w:spacing w:after="0" w:line="131" w:lineRule="exact"/>
        <w:rPr>
          <w:sz w:val="20"/>
          <w:szCs w:val="20"/>
          <w:color w:val="auto"/>
        </w:rPr>
      </w:pPr>
    </w:p>
    <w:p>
      <w:pPr>
        <w:ind w:left="920" w:right="40" w:hanging="917"/>
        <w:spacing w:after="0" w:line="282" w:lineRule="auto"/>
        <w:tabs>
          <w:tab w:leader="none" w:pos="900" w:val="left"/>
        </w:tabs>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Inputs are quoted prices for similar instruments in active markets; quoted prices for identical or similar instruments in markets that are not active; or model-derived valuations whose inputs are observable or whose significant value drivers are observable.</w:t>
      </w:r>
    </w:p>
    <w:p>
      <w:pPr>
        <w:spacing w:after="0" w:line="67" w:lineRule="exact"/>
        <w:rPr>
          <w:sz w:val="20"/>
          <w:szCs w:val="20"/>
          <w:color w:val="auto"/>
        </w:rPr>
      </w:pPr>
    </w:p>
    <w:p>
      <w:pPr>
        <w:ind w:left="920" w:right="400" w:hanging="917"/>
        <w:spacing w:after="0" w:line="282" w:lineRule="auto"/>
        <w:tabs>
          <w:tab w:leader="none" w:pos="900" w:val="left"/>
        </w:tabs>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Inputs are unobservable and reflect the Company’s own assumptions, based on the best information available, including the Company’s own data.</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carrying amounts and fair values of the Company’s financial instruments as of March 31, 2019 and December 31, 2018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80" w:type="dxa"/>
            <w:vAlign w:val="bottom"/>
            <w:tcBorders>
              <w:bottom w:val="single" w:sz="8" w:color="auto"/>
            </w:tcBorders>
            <w:gridSpan w:val="6"/>
          </w:tcPr>
          <w:p>
            <w:pPr>
              <w:jc w:val="center"/>
              <w:ind w:right="4"/>
              <w:spacing w:after="0" w:line="155" w:lineRule="exact"/>
              <w:rPr>
                <w:sz w:val="20"/>
                <w:szCs w:val="20"/>
                <w:color w:val="auto"/>
              </w:rPr>
            </w:pPr>
            <w:r>
              <w:rPr>
                <w:rFonts w:ascii="Times New Roman" w:cs="Times New Roman" w:eastAsia="Times New Roman" w:hAnsi="Times New Roman"/>
                <w:sz w:val="14"/>
                <w:szCs w:val="14"/>
                <w:b w:val="1"/>
                <w:bCs w:val="1"/>
                <w:color w:val="auto"/>
              </w:rPr>
              <w:t>Fair Value Measurement Based on</w:t>
            </w:r>
          </w:p>
        </w:tc>
        <w:tc>
          <w:tcPr>
            <w:tcW w:w="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140" w:type="dxa"/>
            <w:vAlign w:val="bottom"/>
          </w:tcPr>
          <w:p>
            <w:pPr>
              <w:spacing w:after="0"/>
              <w:rPr>
                <w:sz w:val="11"/>
                <w:szCs w:val="11"/>
                <w:color w:val="auto"/>
              </w:rPr>
            </w:pPr>
          </w:p>
        </w:tc>
        <w:tc>
          <w:tcPr>
            <w:tcW w:w="112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940" w:type="dxa"/>
            <w:vAlign w:val="bottom"/>
            <w:vMerge w:val="restart"/>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40" w:type="dxa"/>
            <w:vAlign w:val="bottom"/>
          </w:tcPr>
          <w:p>
            <w:pPr>
              <w:jc w:val="center"/>
              <w:ind w:left="4"/>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940" w:type="dxa"/>
            <w:vAlign w:val="bottom"/>
          </w:tcPr>
          <w:p>
            <w:pPr>
              <w:jc w:val="center"/>
              <w:ind w:left="24"/>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40" w:type="dxa"/>
            <w:vAlign w:val="bottom"/>
          </w:tcPr>
          <w:p>
            <w:pPr>
              <w:spacing w:after="0"/>
              <w:rPr>
                <w:sz w:val="15"/>
                <w:szCs w:val="15"/>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40" w:type="dxa"/>
            <w:vAlign w:val="bottom"/>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60" w:type="dxa"/>
            <w:vAlign w:val="bottom"/>
            <w:tcBorders>
              <w:top w:val="single" w:sz="8" w:color="CFF0FC"/>
            </w:tcBorders>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FF0FC"/>
          </w:tcPr>
          <w:p>
            <w:pPr>
              <w:spacing w:after="0" w:line="20" w:lineRule="exact"/>
              <w:rPr>
                <w:sz w:val="1"/>
                <w:szCs w:val="1"/>
                <w:color w:val="auto"/>
              </w:rPr>
            </w:pPr>
          </w:p>
        </w:tc>
        <w:tc>
          <w:tcPr>
            <w:tcW w:w="48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vMerge w:val="continue"/>
          </w:tcPr>
          <w:p>
            <w:pPr>
              <w:spacing w:after="0"/>
              <w:rPr>
                <w:sz w:val="20"/>
                <w:szCs w:val="20"/>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87,553</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87,553</w:t>
            </w:r>
          </w:p>
        </w:tc>
        <w:tc>
          <w:tcPr>
            <w:tcW w:w="240" w:type="dxa"/>
            <w:vAlign w:val="bottom"/>
          </w:tcPr>
          <w:p>
            <w:pPr>
              <w:spacing w:after="0"/>
              <w:rPr>
                <w:sz w:val="20"/>
                <w:szCs w:val="20"/>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87,553</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ind w:right="76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419"/>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Interim Financial Statements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80" w:type="dxa"/>
            <w:vAlign w:val="bottom"/>
            <w:tcBorders>
              <w:bottom w:val="single" w:sz="8" w:color="auto"/>
            </w:tcBorders>
            <w:gridSpan w:val="6"/>
          </w:tcPr>
          <w:p>
            <w:pPr>
              <w:jc w:val="center"/>
              <w:ind w:right="4"/>
              <w:spacing w:after="0" w:line="155" w:lineRule="exact"/>
              <w:rPr>
                <w:sz w:val="20"/>
                <w:szCs w:val="20"/>
                <w:color w:val="auto"/>
              </w:rPr>
            </w:pPr>
            <w:r>
              <w:rPr>
                <w:rFonts w:ascii="Times New Roman" w:cs="Times New Roman" w:eastAsia="Times New Roman" w:hAnsi="Times New Roman"/>
                <w:sz w:val="14"/>
                <w:szCs w:val="14"/>
                <w:b w:val="1"/>
                <w:bCs w:val="1"/>
                <w:color w:val="auto"/>
              </w:rPr>
              <w:t>Fair Value Measurement Based on</w:t>
            </w:r>
          </w:p>
        </w:tc>
        <w:tc>
          <w:tcPr>
            <w:tcW w:w="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140" w:type="dxa"/>
            <w:vAlign w:val="bottom"/>
          </w:tcPr>
          <w:p>
            <w:pPr>
              <w:spacing w:after="0"/>
              <w:rPr>
                <w:sz w:val="11"/>
                <w:szCs w:val="11"/>
                <w:color w:val="auto"/>
              </w:rPr>
            </w:pPr>
          </w:p>
        </w:tc>
        <w:tc>
          <w:tcPr>
            <w:tcW w:w="112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940" w:type="dxa"/>
            <w:vAlign w:val="bottom"/>
            <w:vMerge w:val="restart"/>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40" w:type="dxa"/>
            <w:vAlign w:val="bottom"/>
          </w:tcPr>
          <w:p>
            <w:pPr>
              <w:jc w:val="center"/>
              <w:ind w:left="4"/>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940" w:type="dxa"/>
            <w:vAlign w:val="bottom"/>
          </w:tcPr>
          <w:p>
            <w:pPr>
              <w:jc w:val="center"/>
              <w:ind w:left="24"/>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40" w:type="dxa"/>
            <w:vAlign w:val="bottom"/>
          </w:tcPr>
          <w:p>
            <w:pPr>
              <w:spacing w:after="0"/>
              <w:rPr>
                <w:sz w:val="15"/>
                <w:szCs w:val="15"/>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40" w:type="dxa"/>
            <w:vAlign w:val="bottom"/>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60" w:type="dxa"/>
            <w:vAlign w:val="bottom"/>
            <w:tcBorders>
              <w:top w:val="single" w:sz="8" w:color="CFF0FC"/>
            </w:tcBorders>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FF0FC"/>
          </w:tcPr>
          <w:p>
            <w:pPr>
              <w:spacing w:after="0" w:line="20" w:lineRule="exact"/>
              <w:rPr>
                <w:sz w:val="1"/>
                <w:szCs w:val="1"/>
                <w:color w:val="auto"/>
              </w:rPr>
            </w:pPr>
          </w:p>
        </w:tc>
        <w:tc>
          <w:tcPr>
            <w:tcW w:w="48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vMerge w:val="continue"/>
          </w:tcPr>
          <w:p>
            <w:pPr>
              <w:spacing w:after="0"/>
              <w:rPr>
                <w:sz w:val="20"/>
                <w:szCs w:val="20"/>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87,062</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87,062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87,062</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ind w:right="76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composition of accounts receivable, net as of March 31, 2019 and December 31, 2018 (in thousands):</w:t>
      </w:r>
    </w:p>
    <w:p>
      <w:pPr>
        <w:spacing w:after="0" w:line="20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5"/>
                <w:szCs w:val="15"/>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accounts receivable - trade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6,120</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Allowances for doubtful accounts</w:t>
            </w: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r>
      <w:tr>
        <w:trPr>
          <w:trHeight w:val="223"/>
        </w:trPr>
        <w:tc>
          <w:tcPr>
            <w:tcW w:w="54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AND CAPITALIZED SOFTWARE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composition of property and equipment, net as of March 31, 2019 and December 31, 2018 (in thousands):</w:t>
      </w:r>
    </w:p>
    <w:p>
      <w:pPr>
        <w:spacing w:after="0" w:line="20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5"/>
                <w:szCs w:val="15"/>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Rental equipment</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(2,090)</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(2,016)</w:t>
            </w:r>
          </w:p>
        </w:tc>
      </w:tr>
      <w:tr>
        <w:trPr>
          <w:trHeight w:val="223"/>
        </w:trPr>
        <w:tc>
          <w:tcPr>
            <w:tcW w:w="54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of March 31, 2019 and December 31, 2018, the Company had capitalized software costs, net of $1.2 million and $1.0 million, respectively, which are included in “Other assets” on the balance sheet.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was $0.2 million and $0.1 million for the three months ended March 31, 2019 and 2018, respectively.</w:t>
      </w:r>
    </w:p>
    <w:p>
      <w:pPr>
        <w:spacing w:after="0" w:line="167" w:lineRule="exact"/>
        <w:rPr>
          <w:sz w:val="20"/>
          <w:szCs w:val="20"/>
          <w:color w:val="auto"/>
        </w:rPr>
      </w:pPr>
    </w:p>
    <w:p>
      <w:pPr>
        <w:ind w:right="10340" w:firstLine="8"/>
        <w:spacing w:after="0" w:line="338" w:lineRule="auto"/>
        <w:tabs>
          <w:tab w:leader="none" w:pos="378"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i w:val="1"/>
          <w:iCs w:val="1"/>
          <w:color w:val="auto"/>
        </w:rPr>
        <w:t>Lessee:</w:t>
      </w:r>
    </w:p>
    <w:p>
      <w:pPr>
        <w:spacing w:after="0" w:line="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has operating leases for its corporate headquarters and office equipment, including copiers. The Company leases approximately 32,000 square foot facility in Malvern, Pennsylvania for our corporate headquarters, which includes office and warehouse space. In Q1 2019, the Company signed a lease modification for its Malvern facility that extended the lease through February 2028 and included approximately 10,000 square foot additional premises. The Company has an option to extend the lease on its combined 42,000 square foot facility for an additional five-year term; however, the Company has determined it is not reasonably certain to exercise the option at this time due to on-going personnel expansion efforts. The Company also maintains operating leases on office equipment, including copiers, which end in March 2023. The Company does not currently have any finance leases or executed leases that have not yet commenced.</w:t>
      </w:r>
    </w:p>
    <w:p>
      <w:pPr>
        <w:spacing w:after="0" w:line="13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2019 there was $0.1 million of operating lease rent expense. As of March 31, 2019 the weighted-average remaining lease term of operating leases was 9 years and the weighted-average discount rate was 6.5%.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Interim Financial Statements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supplemental cash flow information as a lessee related to leases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2019</w:t>
            </w:r>
          </w:p>
        </w:tc>
      </w:tr>
      <w:tr>
        <w:trPr>
          <w:trHeight w:val="205"/>
        </w:trPr>
        <w:tc>
          <w:tcPr>
            <w:tcW w:w="1720" w:type="dxa"/>
            <w:vAlign w:val="bottom"/>
          </w:tcPr>
          <w:p>
            <w:pPr>
              <w:spacing w:after="0"/>
              <w:rPr>
                <w:sz w:val="17"/>
                <w:szCs w:val="17"/>
                <w:color w:val="auto"/>
              </w:rPr>
            </w:pPr>
          </w:p>
        </w:tc>
        <w:tc>
          <w:tcPr>
            <w:tcW w:w="654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r>
      <w:tr>
        <w:trPr>
          <w:trHeight w:val="234"/>
        </w:trPr>
        <w:tc>
          <w:tcPr>
            <w:tcW w:w="1720" w:type="dxa"/>
            <w:vAlign w:val="bottom"/>
          </w:tcPr>
          <w:p>
            <w:pPr>
              <w:spacing w:after="0"/>
              <w:rPr>
                <w:sz w:val="20"/>
                <w:szCs w:val="20"/>
                <w:color w:val="auto"/>
              </w:rPr>
            </w:pPr>
          </w:p>
        </w:tc>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r>
      <w:tr>
        <w:trPr>
          <w:trHeight w:val="230"/>
        </w:trPr>
        <w:tc>
          <w:tcPr>
            <w:tcW w:w="1720" w:type="dxa"/>
            <w:vAlign w:val="bottom"/>
          </w:tcPr>
          <w:p>
            <w:pPr>
              <w:spacing w:after="0"/>
              <w:rPr>
                <w:sz w:val="19"/>
                <w:szCs w:val="19"/>
                <w:color w:val="auto"/>
              </w:rPr>
            </w:pPr>
          </w:p>
        </w:tc>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4"/>
        </w:trPr>
        <w:tc>
          <w:tcPr>
            <w:tcW w:w="1720" w:type="dxa"/>
            <w:vAlign w:val="bottom"/>
          </w:tcPr>
          <w:p>
            <w:pPr>
              <w:spacing w:after="0"/>
              <w:rPr>
                <w:sz w:val="20"/>
                <w:szCs w:val="20"/>
                <w:color w:val="auto"/>
              </w:rPr>
            </w:pPr>
          </w:p>
        </w:tc>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4,164</w:t>
            </w:r>
          </w:p>
        </w:tc>
        <w:tc>
          <w:tcPr>
            <w:tcW w:w="60" w:type="dxa"/>
            <w:vAlign w:val="bottom"/>
          </w:tcPr>
          <w:p>
            <w:pPr>
              <w:spacing w:after="0"/>
              <w:rPr>
                <w:sz w:val="20"/>
                <w:szCs w:val="20"/>
                <w:color w:val="auto"/>
              </w:rPr>
            </w:pPr>
          </w:p>
        </w:tc>
      </w:tr>
      <w:tr>
        <w:trPr>
          <w:trHeight w:val="414"/>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sets forth by year the required future payments of operating lease liabilities (in thousands):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0"/>
        </w:trPr>
        <w:tc>
          <w:tcPr>
            <w:tcW w:w="17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1720" w:type="dxa"/>
            <w:vAlign w:val="bottom"/>
          </w:tcPr>
          <w:p>
            <w:pPr>
              <w:spacing w:after="0"/>
              <w:rPr>
                <w:sz w:val="15"/>
                <w:szCs w:val="15"/>
                <w:color w:val="auto"/>
              </w:rPr>
            </w:pPr>
          </w:p>
        </w:tc>
        <w:tc>
          <w:tcPr>
            <w:tcW w:w="6540" w:type="dxa"/>
            <w:vAlign w:val="bottom"/>
            <w:tcBorders>
              <w:bottom w:val="single" w:sz="8" w:color="CFF0FC"/>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r>
      <w:tr>
        <w:trPr>
          <w:trHeight w:val="223"/>
        </w:trPr>
        <w:tc>
          <w:tcPr>
            <w:tcW w:w="1720" w:type="dxa"/>
            <w:vAlign w:val="bottom"/>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2019</w:t>
            </w:r>
          </w:p>
        </w:tc>
        <w:tc>
          <w:tcPr>
            <w:tcW w:w="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6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6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(1,399)</w:t>
            </w:r>
          </w:p>
        </w:tc>
      </w:tr>
      <w:tr>
        <w:trPr>
          <w:trHeight w:val="223"/>
        </w:trPr>
        <w:tc>
          <w:tcPr>
            <w:tcW w:w="1720" w:type="dxa"/>
            <w:vAlign w:val="bottom"/>
          </w:tcPr>
          <w:p>
            <w:pPr>
              <w:spacing w:after="0"/>
              <w:rPr>
                <w:sz w:val="19"/>
                <w:szCs w:val="19"/>
                <w:color w:val="auto"/>
              </w:rPr>
            </w:pPr>
          </w:p>
        </w:tc>
        <w:tc>
          <w:tcPr>
            <w:tcW w:w="654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60" w:type="dxa"/>
            <w:vAlign w:val="bottom"/>
            <w:tcBorders>
              <w:top w:val="single" w:sz="8" w:color="auto"/>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by year the minimum expected lease payments under non-cancelable operating leases (in thousands) as of December 31, 2018:</w:t>
      </w:r>
    </w:p>
    <w:p>
      <w:pPr>
        <w:spacing w:after="0" w:line="219"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23"/>
        </w:trPr>
        <w:tc>
          <w:tcPr>
            <w:tcW w:w="6560" w:type="dxa"/>
            <w:vAlign w:val="bottom"/>
            <w:tcBorders>
              <w:top w:val="single" w:sz="8" w:color="CFF0FC"/>
            </w:tcBorders>
            <w:shd w:val="clear" w:color="auto" w:fill="CFF0FC"/>
          </w:tcPr>
          <w:p>
            <w:pPr>
              <w:jc w:val="right"/>
              <w:ind w:right="6110"/>
              <w:spacing w:after="0"/>
              <w:rPr>
                <w:sz w:val="20"/>
                <w:szCs w:val="20"/>
                <w:color w:val="auto"/>
              </w:rPr>
            </w:pPr>
            <w:r>
              <w:rPr>
                <w:rFonts w:ascii="Times New Roman" w:cs="Times New Roman" w:eastAsia="Times New Roman" w:hAnsi="Times New Roman"/>
                <w:sz w:val="18"/>
                <w:szCs w:val="18"/>
                <w:color w:val="auto"/>
                <w:w w:val="94"/>
              </w:rPr>
              <w:t>2019</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6560" w:type="dxa"/>
            <w:vAlign w:val="bottom"/>
          </w:tcPr>
          <w:p>
            <w:pPr>
              <w:jc w:val="right"/>
              <w:ind w:right="6110"/>
              <w:spacing w:after="0"/>
              <w:rPr>
                <w:sz w:val="20"/>
                <w:szCs w:val="20"/>
                <w:color w:val="auto"/>
              </w:rPr>
            </w:pPr>
            <w:r>
              <w:rPr>
                <w:rFonts w:ascii="Times New Roman" w:cs="Times New Roman" w:eastAsia="Times New Roman" w:hAnsi="Times New Roman"/>
                <w:sz w:val="18"/>
                <w:szCs w:val="18"/>
                <w:color w:val="auto"/>
                <w:w w:val="94"/>
              </w:rPr>
              <w:t>2020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60" w:type="dxa"/>
            <w:vAlign w:val="bottom"/>
          </w:tcPr>
          <w:p>
            <w:pPr>
              <w:spacing w:after="0"/>
              <w:rPr>
                <w:sz w:val="19"/>
                <w:szCs w:val="19"/>
                <w:color w:val="auto"/>
              </w:rPr>
            </w:pPr>
          </w:p>
        </w:tc>
      </w:tr>
      <w:tr>
        <w:trPr>
          <w:trHeight w:val="230"/>
        </w:trPr>
        <w:tc>
          <w:tcPr>
            <w:tcW w:w="6560" w:type="dxa"/>
            <w:vAlign w:val="bottom"/>
            <w:shd w:val="clear" w:color="auto" w:fill="CFF0FC"/>
          </w:tcPr>
          <w:p>
            <w:pPr>
              <w:jc w:val="right"/>
              <w:ind w:right="6110"/>
              <w:spacing w:after="0"/>
              <w:rPr>
                <w:sz w:val="20"/>
                <w:szCs w:val="20"/>
                <w:color w:val="auto"/>
              </w:rPr>
            </w:pPr>
            <w:r>
              <w:rPr>
                <w:rFonts w:ascii="Times New Roman" w:cs="Times New Roman" w:eastAsia="Times New Roman" w:hAnsi="Times New Roman"/>
                <w:sz w:val="18"/>
                <w:szCs w:val="18"/>
                <w:color w:val="auto"/>
                <w:w w:val="94"/>
              </w:rPr>
              <w:t>2021</w:t>
            </w:r>
          </w:p>
        </w:tc>
        <w:tc>
          <w:tcPr>
            <w:tcW w:w="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shd w:val="clear" w:color="auto" w:fill="CFF0FC"/>
          </w:tcPr>
          <w:p>
            <w:pPr>
              <w:spacing w:after="0"/>
              <w:rPr>
                <w:sz w:val="19"/>
                <w:szCs w:val="19"/>
                <w:color w:val="auto"/>
              </w:rPr>
            </w:pPr>
          </w:p>
        </w:tc>
      </w:tr>
      <w:tr>
        <w:trPr>
          <w:trHeight w:val="223"/>
        </w:trPr>
        <w:tc>
          <w:tcPr>
            <w:tcW w:w="656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6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sales-type leases:</w:t>
      </w:r>
    </w:p>
    <w:p>
      <w:pPr>
        <w:spacing w:after="0" w:line="9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Certain costumers have purchased NeuroStar Advanced Therapy Systems on a rent-to-own basis. The lease term is three years with a customer option to purchase the NeuroStar Advanced Therapy System at the end of the lease.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profit recognized on sales-type leases (in thousands):</w:t>
      </w:r>
    </w:p>
    <w:p>
      <w:pPr>
        <w:spacing w:after="0" w:line="286"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230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544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17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Profit recognized at commencement, net</w:t>
            </w:r>
          </w:p>
        </w:tc>
        <w:tc>
          <w:tcPr>
            <w:tcW w:w="780" w:type="dxa"/>
            <w:vAlign w:val="bottom"/>
            <w:shd w:val="clear" w:color="auto" w:fill="CFF0FC"/>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sales-type lease income</w:t>
            </w:r>
          </w:p>
        </w:tc>
        <w:tc>
          <w:tcPr>
            <w:tcW w:w="780" w:type="dxa"/>
            <w:vAlign w:val="bottom"/>
            <w:tcBorders>
              <w:bottom w:val="single" w:sz="8" w:color="auto"/>
            </w:tcBorders>
            <w:shd w:val="clear" w:color="auto" w:fill="CFF0FC"/>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maturity analysis of the undiscounted lease receivables related to sales-type leases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3220" w:type="dxa"/>
            <w:vAlign w:val="bottom"/>
            <w:tcBorders>
              <w:bottom w:val="single" w:sz="8" w:color="CFF0FC"/>
            </w:tcBorders>
          </w:tcPr>
          <w:p>
            <w:pPr>
              <w:spacing w:after="0"/>
              <w:rPr>
                <w:sz w:val="15"/>
                <w:szCs w:val="15"/>
                <w:color w:val="auto"/>
              </w:rPr>
            </w:pPr>
          </w:p>
        </w:tc>
        <w:tc>
          <w:tcPr>
            <w:tcW w:w="33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2019</w:t>
            </w:r>
          </w:p>
        </w:tc>
        <w:tc>
          <w:tcPr>
            <w:tcW w:w="33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3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2022</w:t>
            </w:r>
          </w:p>
        </w:tc>
        <w:tc>
          <w:tcPr>
            <w:tcW w:w="33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2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sales-type lease receivables</w:t>
            </w:r>
          </w:p>
        </w:tc>
        <w:tc>
          <w:tcPr>
            <w:tcW w:w="33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340" w:type="dxa"/>
            <w:vAlign w:val="bottom"/>
            <w:vMerge w:val="restart"/>
          </w:tcPr>
          <w:p>
            <w:pPr>
              <w:jc w:val="right"/>
              <w:ind w:right="239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Interim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2019, the carrying amount of the lease receivables is $0.4 million. The Company does not have any unguaranteed residual assets.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operating leases:</w:t>
      </w:r>
    </w:p>
    <w:p>
      <w:pPr>
        <w:spacing w:after="0" w:line="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NeuroStar Advanced Therapy Systems sold on a rent-to-own basis prior to January 1, 2019 are accounted for as operating leases. For the three months ended March 31, 2019 and 2018, the Company recognized operating lease income of $0.2 million and $0.3, respectively.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maturity analysis of its undiscounted lease receivables related to operating leases:</w:t>
      </w:r>
    </w:p>
    <w:p>
      <w:pPr>
        <w:spacing w:after="0" w:line="20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5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FF0FC"/>
            </w:tcBorders>
          </w:tcPr>
          <w:p>
            <w:pPr>
              <w:spacing w:after="0"/>
              <w:rPr>
                <w:sz w:val="15"/>
                <w:szCs w:val="15"/>
                <w:color w:val="auto"/>
              </w:rPr>
            </w:pPr>
          </w:p>
        </w:tc>
      </w:tr>
      <w:tr>
        <w:trPr>
          <w:trHeight w:val="22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2019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6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6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shd w:val="clear" w:color="auto" w:fill="CFF0FC"/>
          </w:tcPr>
          <w:p>
            <w:pPr>
              <w:spacing w:after="0"/>
              <w:rPr>
                <w:sz w:val="19"/>
                <w:szCs w:val="19"/>
                <w:color w:val="auto"/>
              </w:rPr>
            </w:pPr>
          </w:p>
        </w:tc>
      </w:tr>
      <w:tr>
        <w:trPr>
          <w:trHeight w:val="223"/>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lease receivables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6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Company maintained Rental Equipment, net of $0.8 million and $0.9 million, as of March 31, 2019 and December 31, 2018, respectively, which are included in “Property and equipment, net” on the balance sheet. Rental equipment depreciation expense was $0.05 million and $0.06 million for the three months ended March 31, 2019 and 2018, respectively.</w:t>
      </w:r>
    </w:p>
    <w:p>
      <w:pPr>
        <w:spacing w:after="0" w:line="159" w:lineRule="exact"/>
        <w:rPr>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COMMISSION EXPENSE</w:t>
      </w:r>
    </w:p>
    <w:p>
      <w:pPr>
        <w:spacing w:after="0" w:line="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pays a commission on both NeuroStar Advanced Therapy System sales and Treatment Session sales. Since the commission paid for NeuroStar Advanced Therapy System sales is not commensurate with the commission paid for Treatment Sessions, the Company capitalizes commission expense associated with NeuroStar Advanced Therapy System commissions paid that is incremental to specifically anticipated future Treatment Session orders. In developing this estimate, the Company considered its historical Treatment Session sales and customer retention rates, as well as technology development life cycles and other industry factors. These costs are periodically reviewed for impairment.</w:t>
      </w:r>
    </w:p>
    <w:p>
      <w:pPr>
        <w:spacing w:after="0" w:line="17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NeuroStar Advanced Therapy System commissions are deferred and amortized on a straight-line basis over a seven year period equal to the average customer term, which the Company deems to be the expected period of benefit for these costs. As result of modified retrospective adoption method applied to open contracts only, the beginning balance as of January 1, 2019 did not include prepaid commission expense for those contracts that were substantially complete as of December 31, 2018.</w:t>
      </w:r>
    </w:p>
    <w:p>
      <w:pPr>
        <w:spacing w:after="0" w:line="16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the Company's balance sheets, the current portion of capitalized contract costs is represented by the current portion of prepaid commission expense, while the long-term portion is included prepaid commission expense. Amortization expense was $0.02 million for the three months ended March 31, 2019.</w:t>
      </w:r>
    </w:p>
    <w:p>
      <w:pPr>
        <w:spacing w:after="0" w:line="14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10.</w:t>
        <w:tab/>
        <w:t>ACCRUED EXPENSES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composition of accrued expenses as of March 31, 2019 and December 31, 2018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3280" w:type="dxa"/>
            <w:vAlign w:val="bottom"/>
            <w:tcBorders>
              <w:bottom w:val="single" w:sz="8" w:color="CFF0FC"/>
            </w:tcBorders>
          </w:tcPr>
          <w:p>
            <w:pPr>
              <w:spacing w:after="0"/>
              <w:rPr>
                <w:sz w:val="15"/>
                <w:szCs w:val="15"/>
                <w:color w:val="auto"/>
              </w:rPr>
            </w:pPr>
          </w:p>
        </w:tc>
        <w:tc>
          <w:tcPr>
            <w:tcW w:w="21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2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Consulting and professional fees</w:t>
            </w: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Warranty</w:t>
            </w:r>
          </w:p>
        </w:tc>
        <w:tc>
          <w:tcPr>
            <w:tcW w:w="2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Sales and other taxes payable</w:t>
            </w: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2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2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2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180" w:type="dxa"/>
            <w:vAlign w:val="bottom"/>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Interim Financial Statements</w:t>
      </w:r>
    </w:p>
    <w:p>
      <w:pPr>
        <w:spacing w:after="0" w:line="22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11.</w:t>
        <w:tab/>
        <w:t>DEBT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composition of debt as of March 31, 2019 and December 31, 2018 (in thousands):</w:t>
      </w:r>
    </w:p>
    <w:p>
      <w:pPr>
        <w:spacing w:after="0" w:line="20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5"/>
                <w:szCs w:val="15"/>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principal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Accrued final payment fees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debt discounts</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(1,073)</w:t>
            </w:r>
          </w:p>
        </w:tc>
      </w:tr>
      <w:tr>
        <w:trPr>
          <w:trHeight w:val="223"/>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debt, net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30,572</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30,395</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2019, the Company recognized interest expense of $0.9 million, of which $0.7 million was cash and $0.2 million was non-cash interest expense related to the amortization of deferred debt issuance costs and accrual of final payment fees. For the three months ended March 31, 2018, the Company recognized interest expense of $0.9 million, of which $0.7 million was cash and $0.2 million was non-cash interest expense related to the amortization of deferred debt issuance costs and accrual of final payment fees.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8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March 2017, the Company entered into a loan and security agreement with Oxford Finance LLC, or Oxford, for a credit facility that replaced its previous $25.0 million credit facility with Oxford and which allowed it to borrow up to $35.0 million in three tranches of term loans: a Term A Loan in the amount of $25.0 million, which was drawn down immediately upon closing in March 2017, a Term B Loan in the amount of $5.0 million, which was drawn down in December 2017, and a Term C Loan in the amount of $5.0 million, which became available to the Company upon the achievement of $45.0 million of trailing twelve month revenues during the second quarter of 2018. Upon achieving the required revenue milestone, the Company had 60 days to notify Oxford if it elected to borrow the Term C Loan. As a result of completing its IPO on July 2, 2018 and receiving the net proceeds therefrom, the Company elected not to borrow the additional $5.0 million, and it is no longer available to the Company. Each term loan accrues interest from the date of borrowing through the date of repayment at a floating per annum rate of interest, which resets monthly and is equal to the greater of (a) 8.15% or (b) the 30-day U.S. LIBOR on the last business day of the month plus 7.38%. The Company was also required to issue to Oxford at the date of each borrowing warrants to purchase its Series F or later series of convertible preferred stock with a seven-year term and in an amount equal to 3.95% of the first $5.0 million of each tranche borrowed. The credit facility matures and all amounts borrowed thereunder are due on March 1, 2022. As of March 31, 2019, the Company had borrowed and had outstanding an aggregate of $30.0 million of principal under the credit facility.</w:t>
      </w:r>
    </w:p>
    <w:p>
      <w:pPr>
        <w:spacing w:after="0" w:line="13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Term A Loan featured an interest-only period through March 2019, during which time the Company was required to make monthly interest payments, after which time the Company was required to make monthly payments of principal and interest based on a 36-month amortization schedule. However, due to the achievement of $45.0 million of revenues during fiscal year 2018, the interest-only period was extended for an additional 12 months through March 2020, after which time the Company will be required to make monthly payments of principal and interest based on a 24-month amortization schedule. In connection with the drawdown of the Term A Loan, the Company issued to Oxford a warrant to purchase shares of its Series F convertible preferred stock. On July 2, 2018, this convertible preferred stock warrant converted into a warrant to purchase 20,303 shares of the Company’s common stock at an exercise price of $9.73 per share. The warrant will expire in March 2024.</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Term B Loan featured an interest-only period through March 2019, during which time the Company was required to make monthly interest payments, after which time the Company was required to make monthly payments of principal and interest based on a 36-month amortization schedule. However, due to the achievement of $45.0 million of revenues during the fiscal year 2018, the interest-only period was extended for an additional 12 months through March 2020, after which time the Company will be required to make monthly payments of principal and interest based on a 24-month amortization schedule. In connection with the drawdown of the Term B Loan, the Company issued to Oxford a warrant to purchase shares of its Series F convertible preferred stock. On July 2, 2018, this convertible preferred stock warrant converted into a warrant to purchase 20,303 shares of the Company’s common stock at an exercise price of $9.73 per share. The warrant will expire in December 2024.</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Interim Financial Statements</w:t>
      </w:r>
    </w:p>
    <w:p>
      <w:pPr>
        <w:spacing w:after="0" w:line="39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to principal and interest payments due under the credit facility, the Company is required to make final payment fees to Oxford due upon the earlier of prepayment or maturity of each tranche, which increased as a result the extension of the interest-only period and are now equal to 8.5% and 7.5% of the principal amounts of the Term A and Term B Loans, respectively. The Company accrues the estimated final payment fees using the effective interest rate, with a charge to non-cash interest expense, over the term of borrowing for each tranche. As of December 31, 2018, the effective interest rates for the Term A and Term B Loans were 11.87% and 12.14%, respectively. As of December 31, 2017, the effective interest rates for the Term A and Term B Loans were 10.7% and 11.6%, respectively. If the Company prepays its term loans prior to their respective scheduled maturities, it will also be required to make prepayment fees to Oxford equal to 3% if prepaid on or before the first anniversary of funding, 2% if prepaid after the first and on or before the second anniversary of funding, or 1% if prepaid after the second anniversary of funding of the principal amounts borrowed.</w:t>
      </w:r>
    </w:p>
    <w:p>
      <w:pPr>
        <w:spacing w:after="0" w:line="13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Company’s obligations under the credit facility are secured by a first priority security interest in substantially all of its assets, other than its intellectual property. The Company has agreed not to pledge or otherwise encumber any of its intellectual property. The loan and security agreement related to the credit facility includes a financial maintenance covenant that requires the Company to achieve at least 75% of its trailing 12-month forecasted revenues, as measured each month in accordance with a forecast that the Company provided to Oxford upon signing the agreement and future forecasts that the Company is required to deliver to Oxford each year for the life of the credit facility, as well as customary affirmative and negative covenants. The Company was in compliance with all of the covenants under its credit facility as of March 31, 2019.</w:t>
      </w:r>
    </w:p>
    <w:p>
      <w:pPr>
        <w:spacing w:after="0" w:line="13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loan and security agreement related to the credit facility contains events of default, including, without limitation, events of default upon: (i) failure to make payment pursuant to the terms of the agreement; (ii) violation of covenants; (iii) material adverse changes to the Company’s business; (iv) attachment or levy on the Company’s assets or judicial restraint on its business; (v) insolvency; (vi) significant judgments, orders or decrees for payments by the Company not covered by insurance; (vii) incorrectness of representations and warranties; (viii) incurrence of subordinated debt; (ix) revocation of governmental approvals necessary for the Company to conduct its business; and (x) failure by the Company to maintain a valid and perfected lien on the collateral securing the borrowing.</w:t>
      </w:r>
    </w:p>
    <w:p>
      <w:pPr>
        <w:spacing w:after="0" w:line="13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Based on a 24-month amortization of the outstanding principal amounts of the Term A and Term B Loans beginning on April 1, 2020 as discussed above, the following table sets forth by year the Company’s required future principal payments (in thousands):</w:t>
      </w:r>
    </w:p>
    <w:p>
      <w:pPr>
        <w:spacing w:after="0" w:line="143"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spacing w:after="0"/>
              <w:rPr>
                <w:sz w:val="13"/>
                <w:szCs w:val="13"/>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73"/>
        </w:trPr>
        <w:tc>
          <w:tcPr>
            <w:tcW w:w="55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223"/>
        </w:trPr>
        <w:tc>
          <w:tcPr>
            <w:tcW w:w="54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principal payments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9500" w:firstLine="8"/>
        <w:spacing w:after="0" w:line="338" w:lineRule="auto"/>
        <w:tabs>
          <w:tab w:leader="none" w:pos="378"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 Common Stock</w:t>
      </w:r>
    </w:p>
    <w:p>
      <w:pPr>
        <w:spacing w:after="0" w:line="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as of March 31, 2019 authorized the issuance of 200.0 million shares of common stock, $0.01 par value per share, of which 18.2 million were issued and outstanding as of March 31, 2019.</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total number of shares of the Company’s common stock issued and reserved for issuance as of March 31, 2019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of common stock issued</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18,227</w:t>
            </w:r>
          </w:p>
        </w:tc>
        <w:tc>
          <w:tcPr>
            <w:tcW w:w="24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17,744</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reserved for issuance for:</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Common stock warrants outstanding</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available for grant under stock incentive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Shares available for sale under employee stock purchase plan</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40" w:type="dxa"/>
            <w:vAlign w:val="bottom"/>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6040" w:type="dxa"/>
            <w:vAlign w:val="bottom"/>
          </w:tcPr>
          <w:p>
            <w:pPr>
              <w:ind w:left="480"/>
              <w:spacing w:after="0" w:line="205" w:lineRule="exact"/>
              <w:rPr>
                <w:sz w:val="20"/>
                <w:szCs w:val="20"/>
                <w:color w:val="auto"/>
              </w:rPr>
            </w:pPr>
            <w:r>
              <w:rPr>
                <w:rFonts w:ascii="Times New Roman" w:cs="Times New Roman" w:eastAsia="Times New Roman" w:hAnsi="Times New Roman"/>
                <w:sz w:val="18"/>
                <w:szCs w:val="18"/>
                <w:color w:val="auto"/>
              </w:rPr>
              <w:t>Total shares of common stock issued and</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reserved for issuance</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22,746</w:t>
            </w:r>
          </w:p>
        </w:tc>
        <w:tc>
          <w:tcPr>
            <w:tcW w:w="24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22,159</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jc w:val="right"/>
              <w:ind w:right="1310"/>
              <w:spacing w:after="0"/>
              <w:rPr>
                <w:sz w:val="20"/>
                <w:szCs w:val="20"/>
                <w:color w:val="auto"/>
              </w:rPr>
            </w:pPr>
            <w:r>
              <w:rPr>
                <w:rFonts w:ascii="Times New Roman" w:cs="Times New Roman" w:eastAsia="Times New Roman" w:hAnsi="Times New Roman"/>
                <w:sz w:val="18"/>
                <w:szCs w:val="18"/>
                <w:color w:val="auto"/>
              </w:rPr>
              <w:t>17</w:t>
            </w: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20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60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7" w:name="page18"/>
    <w:bookmarkEnd w:id="1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Interim Financial Statements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 Holders of common stock are entitled to receive any dividends that the Company’s board of directors may declare out of funds legally available for that purpose on a non-cumulative basis. The Company has never paid, and for the foreseeable future does not expect to pay, a dividend on its common stock.</w:t>
      </w:r>
    </w:p>
    <w:p>
      <w:pPr>
        <w:spacing w:after="0" w:line="1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Immediately prior to the closing of the Company’s IPO on July 2, 2018, all of the Company’s outstanding shares of convertible preferred stock converted into an aggregate of 11.0 million shares of common stock, resulting in the elimination of the Company’s outstanding liquidation preferences.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common stock warrants as of March 31, 2019 and December 31, 2018:</w:t>
      </w:r>
    </w:p>
    <w:p>
      <w:pPr>
        <w:spacing w:after="0" w:line="20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60" w:type="dxa"/>
            <w:vAlign w:val="bottom"/>
            <w:gridSpan w:val="2"/>
            <w:vMerge w:val="restart"/>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9"/>
        </w:trPr>
        <w:tc>
          <w:tcPr>
            <w:tcW w:w="2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6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23"/>
        </w:trPr>
        <w:tc>
          <w:tcPr>
            <w:tcW w:w="2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380" w:type="dxa"/>
            <w:vAlign w:val="bottom"/>
            <w:tcBorders>
              <w:top w:val="single" w:sz="8" w:color="CFF0FC"/>
            </w:tcBorders>
            <w:shd w:val="clear" w:color="auto" w:fill="CFF0FC"/>
          </w:tcPr>
          <w:p>
            <w:pPr>
              <w:spacing w:after="0"/>
              <w:rPr>
                <w:sz w:val="19"/>
                <w:szCs w:val="19"/>
                <w:color w:val="auto"/>
              </w:rPr>
            </w:pPr>
          </w:p>
        </w:tc>
        <w:tc>
          <w:tcPr>
            <w:tcW w:w="24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Dec-2022</w:t>
            </w:r>
          </w:p>
        </w:tc>
        <w:tc>
          <w:tcPr>
            <w:tcW w:w="0" w:type="dxa"/>
            <w:vAlign w:val="bottom"/>
          </w:tcPr>
          <w:p>
            <w:pPr>
              <w:spacing w:after="0"/>
              <w:rPr>
                <w:sz w:val="1"/>
                <w:szCs w:val="1"/>
                <w:color w:val="auto"/>
              </w:rPr>
            </w:pPr>
          </w:p>
        </w:tc>
      </w:tr>
      <w:tr>
        <w:trPr>
          <w:trHeight w:val="230"/>
        </w:trPr>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9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38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Feb-2021</w:t>
            </w:r>
          </w:p>
        </w:tc>
        <w:tc>
          <w:tcPr>
            <w:tcW w:w="0" w:type="dxa"/>
            <w:vAlign w:val="bottom"/>
          </w:tcPr>
          <w:p>
            <w:pPr>
              <w:spacing w:after="0"/>
              <w:rPr>
                <w:sz w:val="1"/>
                <w:szCs w:val="1"/>
                <w:color w:val="auto"/>
              </w:rPr>
            </w:pPr>
          </w:p>
        </w:tc>
      </w:tr>
      <w:tr>
        <w:trPr>
          <w:trHeight w:val="230"/>
        </w:trPr>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90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380" w:type="dxa"/>
            <w:vAlign w:val="bottom"/>
            <w:shd w:val="clear" w:color="auto" w:fill="CFF0FC"/>
          </w:tcPr>
          <w:p>
            <w:pPr>
              <w:spacing w:after="0"/>
              <w:rPr>
                <w:sz w:val="19"/>
                <w:szCs w:val="19"/>
                <w:color w:val="auto"/>
              </w:rPr>
            </w:pPr>
          </w:p>
        </w:tc>
        <w:tc>
          <w:tcPr>
            <w:tcW w:w="2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Aug-2023</w:t>
            </w:r>
          </w:p>
        </w:tc>
        <w:tc>
          <w:tcPr>
            <w:tcW w:w="0" w:type="dxa"/>
            <w:vAlign w:val="bottom"/>
          </w:tcPr>
          <w:p>
            <w:pPr>
              <w:spacing w:after="0"/>
              <w:rPr>
                <w:sz w:val="1"/>
                <w:szCs w:val="1"/>
                <w:color w:val="auto"/>
              </w:rPr>
            </w:pPr>
          </w:p>
        </w:tc>
      </w:tr>
      <w:tr>
        <w:trPr>
          <w:trHeight w:val="230"/>
        </w:trPr>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9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38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Mar-2024</w:t>
            </w:r>
          </w:p>
        </w:tc>
        <w:tc>
          <w:tcPr>
            <w:tcW w:w="0" w:type="dxa"/>
            <w:vAlign w:val="bottom"/>
          </w:tcPr>
          <w:p>
            <w:pPr>
              <w:spacing w:after="0"/>
              <w:rPr>
                <w:sz w:val="1"/>
                <w:szCs w:val="1"/>
                <w:color w:val="auto"/>
              </w:rPr>
            </w:pPr>
          </w:p>
        </w:tc>
      </w:tr>
      <w:tr>
        <w:trPr>
          <w:trHeight w:val="230"/>
        </w:trPr>
        <w:tc>
          <w:tcPr>
            <w:tcW w:w="2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90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380" w:type="dxa"/>
            <w:vAlign w:val="bottom"/>
            <w:shd w:val="clear" w:color="auto" w:fill="CFF0FC"/>
          </w:tcPr>
          <w:p>
            <w:pPr>
              <w:spacing w:after="0"/>
              <w:rPr>
                <w:sz w:val="19"/>
                <w:szCs w:val="19"/>
                <w:color w:val="auto"/>
              </w:rPr>
            </w:pPr>
          </w:p>
        </w:tc>
        <w:tc>
          <w:tcPr>
            <w:tcW w:w="2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Dec-2024</w:t>
            </w:r>
          </w:p>
        </w:tc>
        <w:tc>
          <w:tcPr>
            <w:tcW w:w="0" w:type="dxa"/>
            <w:vAlign w:val="bottom"/>
          </w:tcPr>
          <w:p>
            <w:pPr>
              <w:spacing w:after="0"/>
              <w:rPr>
                <w:sz w:val="1"/>
                <w:szCs w:val="1"/>
                <w:color w:val="auto"/>
              </w:rPr>
            </w:pPr>
          </w:p>
        </w:tc>
      </w:tr>
      <w:tr>
        <w:trPr>
          <w:trHeight w:val="223"/>
        </w:trPr>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13.</w:t>
        <w:tab/>
        <w:t>LOSS PER SHARE</w:t>
      </w:r>
    </w:p>
    <w:p>
      <w:pPr>
        <w:spacing w:after="0" w:line="8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Company’s basic loss per common share is computed by dividing the net loss by the weighted-average number of shares of common stock outstanding during the period. The Company’s restricted stock awards (non-vested shares) are issued and outstanding at the time of grant but are excluded from the Company’s computation of weighted-average shares outstanding in the determination of basic loss per share until vesting occurs.</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 net loss cannot be diluted, so when the Company is in a net loss position, basic and diluted loss per common share are the same. If in the future the Company achieves profitability, the denominator of a diluted earnings per common share calculation will include both the weighted-average number of shares outstanding and the number of common stock equivalents, if the inclusion of such common stock equivalents would be dilutive. Dilutive common stock equivalents potentially include warrants, stock options and non-vested restricted stock awards and units using the treasury stock method, along with the effect, if any, from the potential conversion of outstanding securities, such as convertible preferred stock.</w:t>
      </w:r>
    </w:p>
    <w:p>
      <w:pPr>
        <w:spacing w:after="0" w:line="13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outstanding as of March 31, 2019 and 2018 have been excluded from the denominator of the diluted loss per share of common stock outstanding calculation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58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56"/>
        </w:trPr>
        <w:tc>
          <w:tcPr>
            <w:tcW w:w="1720" w:type="dxa"/>
            <w:vAlign w:val="bottom"/>
          </w:tcPr>
          <w:p>
            <w:pPr>
              <w:spacing w:after="0"/>
              <w:rPr>
                <w:sz w:val="13"/>
                <w:szCs w:val="13"/>
                <w:color w:val="auto"/>
              </w:rPr>
            </w:pPr>
          </w:p>
        </w:tc>
        <w:tc>
          <w:tcPr>
            <w:tcW w:w="3840" w:type="dxa"/>
            <w:vAlign w:val="bottom"/>
            <w:tcBorders>
              <w:bottom w:val="single" w:sz="8" w:color="CFF0FC"/>
            </w:tcBorders>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32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1740" w:type="dxa"/>
            <w:vAlign w:val="bottom"/>
          </w:tcPr>
          <w:p>
            <w:pPr>
              <w:spacing w:after="0"/>
              <w:rPr>
                <w:sz w:val="13"/>
                <w:szCs w:val="13"/>
                <w:color w:val="auto"/>
              </w:rPr>
            </w:pPr>
          </w:p>
        </w:tc>
      </w:tr>
      <w:tr>
        <w:trPr>
          <w:trHeight w:val="223"/>
        </w:trPr>
        <w:tc>
          <w:tcPr>
            <w:tcW w:w="17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6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Non-vested restricted stock awards</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restricted stock units</w:t>
            </w:r>
          </w:p>
        </w:tc>
        <w:tc>
          <w:tcPr>
            <w:tcW w:w="2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 warrants</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2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4"/>
        </w:trPr>
        <w:tc>
          <w:tcPr>
            <w:tcW w:w="172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Shares of convertible preferred stock “as-converted”</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10,994</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630"/>
        </w:trPr>
        <w:tc>
          <w:tcPr>
            <w:tcW w:w="17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18</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8" w:name="page19"/>
    <w:bookmarkEnd w:id="1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Interim Financial Statements</w:t>
      </w:r>
    </w:p>
    <w:p>
      <w:pPr>
        <w:spacing w:after="0" w:line="22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share-based compensation expense recognized by the Company by location in its statements of operations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2019 and 2018 is as follows (in thousands):</w:t>
      </w:r>
    </w:p>
    <w:p>
      <w:pPr>
        <w:spacing w:after="0" w:line="268"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252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6"/>
        </w:trPr>
        <w:tc>
          <w:tcPr>
            <w:tcW w:w="5460" w:type="dxa"/>
            <w:vAlign w:val="bottom"/>
            <w:tcBorders>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80" w:type="dxa"/>
            <w:vAlign w:val="bottom"/>
            <w:shd w:val="clear" w:color="auto" w:fill="CFF0FC"/>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shd w:val="clear" w:color="auto" w:fill="CFF0FC"/>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Equity Incentive Plan</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June 2018, the Company adopted the 2018 Equity Incentive Plan, or 2018 Plan, which authorized the issuance of up to 1.4 million shares, subject to an annual 4% evergreen increase, in the form of restricted stock, stock appreciation rights and stock options to the Company’s directors, employees and consultants. The amount and terms of grants are determined by the Company’s board of directors. To date, the Company has granted restricted stock units to one member of senior management and to an independent member of its board of directors as compensation for board service. All stock options granted to date have had exercise prices equal to the fair value, as determined by the closing price as reported by the Nasdaq Global Market, of the underlying common stock on the date of grant. The contractual term of stock options is up to 10 years, and stock options are exercisable in cash or as otherwise determined by the board of directors. Generally, stock options vest 25% upon the first anniversary of the date of grant and the remainder ratably monthly thereafter for 36 months. As of March 31, 2019, there were 1.5 million shares available for future issuance under the 2018 plan.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three months ended March 31, 2019:</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1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14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4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 under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80" w:type="dxa"/>
            <w:vAlign w:val="bottom"/>
          </w:tcPr>
          <w:p>
            <w:pPr>
              <w:spacing w:after="0"/>
              <w:rPr>
                <w:sz w:val="12"/>
                <w:szCs w:val="12"/>
                <w:color w:val="auto"/>
              </w:rPr>
            </w:pPr>
          </w:p>
        </w:tc>
        <w:tc>
          <w:tcPr>
            <w:tcW w:w="12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14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 Option</w:t>
            </w:r>
          </w:p>
        </w:tc>
        <w:tc>
          <w:tcPr>
            <w:tcW w:w="11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20" w:type="dxa"/>
            <w:vAlign w:val="bottom"/>
          </w:tcPr>
          <w:p>
            <w:pPr>
              <w:spacing w:after="0"/>
              <w:rPr>
                <w:sz w:val="15"/>
                <w:szCs w:val="15"/>
                <w:color w:val="auto"/>
              </w:rPr>
            </w:pPr>
          </w:p>
        </w:tc>
        <w:tc>
          <w:tcPr>
            <w:tcW w:w="1160" w:type="dxa"/>
            <w:vAlign w:val="bottom"/>
            <w:gridSpan w:val="2"/>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2019</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26,014</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March 31, 2019</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0" w:type="dxa"/>
            <w:vAlign w:val="bottom"/>
          </w:tcPr>
          <w:p>
            <w:pPr>
              <w:spacing w:after="0" w:line="20" w:lineRule="exact"/>
              <w:rPr>
                <w:sz w:val="1"/>
                <w:szCs w:val="1"/>
                <w:color w:val="auto"/>
              </w:rPr>
            </w:pPr>
          </w:p>
        </w:tc>
        <w:tc>
          <w:tcPr>
            <w:tcW w:w="1140" w:type="dxa"/>
            <w:vAlign w:val="bottom"/>
            <w:vMerge w:val="restart"/>
          </w:tcPr>
          <w:p>
            <w:pPr>
              <w:jc w:val="right"/>
              <w:ind w:right="41"/>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ind w:right="39"/>
              <w:spacing w:after="0"/>
              <w:rPr>
                <w:sz w:val="20"/>
                <w:szCs w:val="20"/>
                <w:color w:val="auto"/>
              </w:rPr>
            </w:pPr>
            <w:r>
              <w:rPr>
                <w:rFonts w:ascii="Times New Roman" w:cs="Times New Roman" w:eastAsia="Times New Roman" w:hAnsi="Times New Roman"/>
                <w:sz w:val="18"/>
                <w:szCs w:val="18"/>
                <w:color w:val="auto"/>
              </w:rPr>
              <w:t>16,859</w:t>
            </w: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4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gridSpan w:val="2"/>
            <w:vMerge w:val="continue"/>
          </w:tcPr>
          <w:p>
            <w:pPr>
              <w:spacing w:after="0"/>
              <w:rPr>
                <w:sz w:val="21"/>
                <w:szCs w:val="21"/>
                <w:color w:val="auto"/>
              </w:rPr>
            </w:pPr>
          </w:p>
        </w:tc>
        <w:tc>
          <w:tcPr>
            <w:tcW w:w="94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140" w:type="dxa"/>
            <w:vAlign w:val="bottom"/>
            <w:tcBorders>
              <w:bottom w:val="single" w:sz="8" w:color="CFF0FC"/>
            </w:tcBorders>
            <w:vMerge w:val="continue"/>
          </w:tcPr>
          <w:p>
            <w:pPr>
              <w:spacing w:after="0"/>
              <w:rPr>
                <w:sz w:val="21"/>
                <w:szCs w:val="21"/>
                <w:color w:val="auto"/>
              </w:rPr>
            </w:pPr>
          </w:p>
        </w:tc>
        <w:tc>
          <w:tcPr>
            <w:tcW w:w="260" w:type="dxa"/>
            <w:vAlign w:val="bottom"/>
            <w:tcBorders>
              <w:bottom w:val="single" w:sz="8" w:color="CFF0FC"/>
            </w:tcBorders>
            <w:gridSpan w:val="2"/>
            <w:vMerge w:val="continue"/>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at March 31, 2019</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26,014</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recognized share-based compensation expense related to stock options of $0.4 million and $0.1 million for the three months ended March 31, 2019 and March 31, 2018, respectively. As of March 31, 2019, there was $6.8 million of total unrecognized compensation cost related to non-vested stock options which the Company expects to recognize over a weighted-average period of 3.5 years. The weighted-average grant-date fair value of stock options granted during the three months ended March 31, 2019 was estimated at $8.93 per option. The total intrinsic value of stock options exercised during the three months ended March 31, 2019 was $6.8 million.</w:t>
      </w:r>
    </w:p>
    <w:p>
      <w:pPr>
        <w:spacing w:after="0" w:line="1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17" w:right="3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Interim Financial Statements</w:t>
      </w:r>
    </w:p>
    <w:p>
      <w:pPr>
        <w:spacing w:after="0" w:line="39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2019, the grant-date fair value of stock options was estimated at the time of grant using the following weighted-average inputs and assumptions in the Black-Scholes option pricing model:</w:t>
      </w:r>
    </w:p>
    <w:p>
      <w:pPr>
        <w:spacing w:after="0" w:line="167"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fair value of common stock</w:t>
            </w:r>
          </w:p>
        </w:tc>
        <w:tc>
          <w:tcPr>
            <w:tcW w:w="180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16.49</w:t>
            </w: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8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8"/>
                <w:szCs w:val="18"/>
                <w:color w:val="auto"/>
              </w:rPr>
              <w:t>16.49</w:t>
            </w:r>
          </w:p>
        </w:tc>
      </w:tr>
      <w:tr>
        <w:trPr>
          <w:trHeight w:val="230"/>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8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58"/>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Awards and Restricted Stock Units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award and restricted stock unit activity for the three months ended March 31, 2019:</w:t>
      </w:r>
    </w:p>
    <w:p>
      <w:pPr>
        <w:spacing w:after="0" w:line="20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Non-vested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Non-vested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960" w:type="dxa"/>
            <w:vAlign w:val="bottom"/>
            <w:gridSpan w:val="3"/>
          </w:tcPr>
          <w:p>
            <w:pPr>
              <w:jc w:val="center"/>
              <w:ind w:left="776"/>
              <w:spacing w:after="0" w:line="149" w:lineRule="exact"/>
              <w:rPr>
                <w:sz w:val="20"/>
                <w:szCs w:val="20"/>
                <w:color w:val="auto"/>
              </w:rPr>
            </w:pPr>
            <w:r>
              <w:rPr>
                <w:rFonts w:ascii="Times New Roman" w:cs="Times New Roman" w:eastAsia="Times New Roman" w:hAnsi="Times New Roman"/>
                <w:sz w:val="14"/>
                <w:szCs w:val="14"/>
                <w:b w:val="1"/>
                <w:bCs w:val="1"/>
                <w:color w:val="auto"/>
              </w:rPr>
              <w:t>Stock Awards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Units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2018</w:t>
            </w:r>
          </w:p>
        </w:tc>
        <w:tc>
          <w:tcPr>
            <w:tcW w:w="9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9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Non-vested at March 31, 2019</w:t>
            </w:r>
          </w:p>
        </w:tc>
        <w:tc>
          <w:tcPr>
            <w:tcW w:w="9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recognized approximately $0.1 million and minimal in share-based compensation expense related to restricted stock awards and restricted stock units during the three months ended March 31, 2019 and 2018, respectively. As of March 31, 2019, there was $2.8 million of unrecognized compensation cost related to non-vested restricted stock awards and restricted stock units, which the Company expects to recognize over a weighted-average period of 3.1 years. The total fair value at the vesting date of restricted stock awards and restricted stock units vested during the three months ended March 31, 2019 was $0.1 million.</w:t>
      </w:r>
    </w:p>
    <w:p>
      <w:pPr>
        <w:spacing w:after="0" w:line="126" w:lineRule="exact"/>
        <w:rPr>
          <w:sz w:val="20"/>
          <w:szCs w:val="20"/>
          <w:color w:val="auto"/>
        </w:rPr>
      </w:pPr>
    </w:p>
    <w:p>
      <w:pPr>
        <w:ind w:right="8540" w:firstLine="8"/>
        <w:spacing w:after="0" w:line="331" w:lineRule="auto"/>
        <w:tabs>
          <w:tab w:leader="none" w:pos="378"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 401(k) Defined Contribution Plan</w:t>
      </w: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maintains a 401(k) defined contribution retirement plan which covers all of its employees. Employees are eligible to participate on the first of the month following their date of hire. Under the 401(k) plan, participating employees may defer up to 100% of their pre-tax salary but not more than statutory limits. There is currently no employer matching of employee contributions and employee contributions vest immediately.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Employee Stock Purchase Plan</w:t>
      </w:r>
    </w:p>
    <w:p>
      <w:pPr>
        <w:spacing w:after="0" w:line="94"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In July 2018, the Company adopted the 2018 Employee Stock Purchase Plan, or 2018 ESPP, with an initial 0.2 million share reserve, subject to automatic annual increases on January 1st of each year for a period of up to ten years, as defined in the plan document. The purpose of the 2018 ESPP is to enhance employee interest in the success and progress of the Company by encouraging employee ownership of common stock of the Company. The 2018 ESPP provides the opportunity to purchase the Company’s common stock at a 15% discount to the market price through payroll deductions or lump sum cash investments. As of March 31, 2019, the Company had not yet approved any offering under the 2018 ESPP.</w:t>
      </w:r>
    </w:p>
    <w:p>
      <w:pPr>
        <w:spacing w:after="0" w:line="126" w:lineRule="exact"/>
        <w:rPr>
          <w:sz w:val="20"/>
          <w:szCs w:val="20"/>
          <w:color w:val="auto"/>
        </w:rPr>
      </w:pPr>
    </w:p>
    <w:p>
      <w:pPr>
        <w:ind w:right="7580" w:firstLine="8"/>
        <w:spacing w:after="0" w:line="331" w:lineRule="auto"/>
        <w:tabs>
          <w:tab w:leader="none" w:pos="378"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Executive Employment Agreements</w:t>
      </w: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has entered into an employment agreement and offer letters with certain key executives, providing for compensation and severance in certain circumstances, as defined in the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9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is subject from time to time to various claims and legal actions arising during the ordinary course of its business. Management believes that there are currently no claims or legal actions that would reasonably be expected to have a material adverse effect on the Company’s results of operations, financial condition, or cash flows.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Interim Financial Statements</w:t>
      </w:r>
    </w:p>
    <w:p>
      <w:pPr>
        <w:spacing w:after="0" w:line="200" w:lineRule="exact"/>
        <w:rPr>
          <w:sz w:val="20"/>
          <w:szCs w:val="20"/>
          <w:color w:val="auto"/>
        </w:rPr>
      </w:pPr>
    </w:p>
    <w:p>
      <w:pPr>
        <w:spacing w:after="0" w:line="22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GEOGRAPHICAL SEGMENT INFORMATION</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currently operates in one business segment as it is managed and operated as one business. A single management team that reports to the chief operating decision maker comprehensively manages the entire business. The Company does not operate any material separate lines of business or separate business entities with respect to its products or product development.</w:t>
      </w:r>
    </w:p>
    <w:p>
      <w:pPr>
        <w:spacing w:after="0" w:line="13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following geographic data includes revenue generated from the Company’s third-party distributors. The Company’s revenue was generated in the following geographic regions and by product line for the years indicated (in thousands):</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40" w:type="dxa"/>
            <w:vAlign w:val="bottom"/>
            <w:gridSpan w:val="7"/>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Revenues by Geography</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7"/>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9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9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vMerge w:val="restart"/>
          </w:tcPr>
          <w:p>
            <w:pPr>
              <w:spacing w:after="0"/>
              <w:rPr>
                <w:sz w:val="11"/>
                <w:szCs w:val="11"/>
                <w:color w:val="auto"/>
              </w:rPr>
            </w:pPr>
          </w:p>
        </w:tc>
        <w:tc>
          <w:tcPr>
            <w:tcW w:w="9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920" w:type="dxa"/>
            <w:vAlign w:val="bottom"/>
          </w:tcPr>
          <w:p>
            <w:pPr>
              <w:jc w:val="center"/>
              <w:ind w:right="56"/>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80" w:type="dxa"/>
            <w:vAlign w:val="bottom"/>
            <w:tcBorders>
              <w:bottom w:val="single" w:sz="8" w:color="CFF0FC"/>
            </w:tcBorders>
          </w:tcPr>
          <w:p>
            <w:pPr>
              <w:spacing w:after="0"/>
              <w:rPr>
                <w:sz w:val="15"/>
                <w:szCs w:val="15"/>
                <w:color w:val="auto"/>
              </w:rPr>
            </w:pPr>
          </w:p>
        </w:tc>
        <w:tc>
          <w:tcPr>
            <w:tcW w:w="1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FF0FC"/>
            </w:tcBorders>
            <w:vMerge w:val="continue"/>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FF0FC"/>
            </w:tcBorders>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12,546</w:t>
            </w:r>
          </w:p>
        </w:tc>
        <w:tc>
          <w:tcPr>
            <w:tcW w:w="26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398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26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80" w:type="dxa"/>
            <w:vAlign w:val="bottom"/>
            <w:vMerge w:val="continue"/>
            <w:shd w:val="clear" w:color="auto" w:fill="CFF0FC"/>
          </w:tcPr>
          <w:p>
            <w:pPr>
              <w:spacing w:after="0"/>
              <w:rPr>
                <w:sz w:val="19"/>
                <w:szCs w:val="19"/>
                <w:color w:val="auto"/>
              </w:rPr>
            </w:pPr>
          </w:p>
        </w:tc>
        <w:tc>
          <w:tcPr>
            <w:tcW w:w="126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12,728</w:t>
            </w:r>
          </w:p>
        </w:tc>
        <w:tc>
          <w:tcPr>
            <w:tcW w:w="26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98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7"/>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U.S. Revenues by Product Category</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7"/>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9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9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Pr>
          <w:p>
            <w:pPr>
              <w:jc w:val="center"/>
              <w:ind w:right="56"/>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56"/>
        </w:trPr>
        <w:tc>
          <w:tcPr>
            <w:tcW w:w="3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640" w:type="dxa"/>
            <w:vAlign w:val="bottom"/>
            <w:tcBorders>
              <w:top w:val="single" w:sz="8" w:color="auto"/>
            </w:tcBorders>
            <w:gridSpan w:val="7"/>
          </w:tcPr>
          <w:p>
            <w:pPr>
              <w:jc w:val="center"/>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9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NeuroStar Advanced Therapy System</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26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Treatment sessions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2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6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9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Total U.S. revenues</w:t>
            </w:r>
          </w:p>
        </w:tc>
        <w:tc>
          <w:tcPr>
            <w:tcW w:w="12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8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12,546</w:t>
            </w:r>
          </w:p>
        </w:tc>
        <w:tc>
          <w:tcPr>
            <w:tcW w:w="2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80" w:type="dxa"/>
            <w:vAlign w:val="bottom"/>
            <w:gridSpan w:val="9"/>
          </w:tcPr>
          <w:p>
            <w:pPr>
              <w:jc w:val="center"/>
              <w:ind w:left="657"/>
              <w:spacing w:after="0"/>
              <w:rPr>
                <w:sz w:val="20"/>
                <w:szCs w:val="20"/>
                <w:color w:val="auto"/>
              </w:rPr>
            </w:pPr>
            <w:r>
              <w:rPr>
                <w:rFonts w:ascii="Times New Roman" w:cs="Times New Roman" w:eastAsia="Times New Roman" w:hAnsi="Times New Roman"/>
                <w:sz w:val="14"/>
                <w:szCs w:val="14"/>
                <w:b w:val="1"/>
                <w:bCs w:val="1"/>
                <w:color w:val="auto"/>
              </w:rPr>
              <w:t>International Revenues by Product Category</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7"/>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9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9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Pr>
          <w:p>
            <w:pPr>
              <w:jc w:val="center"/>
              <w:ind w:right="56"/>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56"/>
        </w:trPr>
        <w:tc>
          <w:tcPr>
            <w:tcW w:w="3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640" w:type="dxa"/>
            <w:vAlign w:val="bottom"/>
            <w:tcBorders>
              <w:top w:val="single" w:sz="8" w:color="auto"/>
            </w:tcBorders>
            <w:gridSpan w:val="7"/>
          </w:tcPr>
          <w:p>
            <w:pPr>
              <w:jc w:val="center"/>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9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NeuroStar Advanced Therapy System</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Treatment sessions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39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Total International revenues</w:t>
            </w:r>
          </w:p>
        </w:tc>
        <w:tc>
          <w:tcPr>
            <w:tcW w:w="12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8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21" w:name="page22"/>
    <w:bookmarkEnd w:id="21"/>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as well as other sections in this Quarterly Report on Form 10-Q, should be read in conjunction with our unaudited interim financial statements and related notes thereto included elsewhere herein. In addition to historical financial information, some of the information contained in the following discussion and analysis contains forward-looking statements within the meaning of Section 27A of the Securities Act of 1933, as amended, and Section 21E of the Securities Exchange Act of 1934, as amended. All statements other than statements of historical facts, including statements regarding our future results of operations and financial position, business strategy, current and prospective products, product approvals, research and development costs, current and prospective collaborations, timing and likelihood of success, plans and objectives of management for future operations and future results of current and anticipated products, are forward-looking statements.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w:t>
      </w:r>
    </w:p>
    <w:p>
      <w:pPr>
        <w:spacing w:after="0" w:line="13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risks, uncertainties and assumptions described in “Risk Factors” and “Management’s Discussion and Analysis of Financial Condition and Results of Operations” in our Annual Report on Form 10-K filed with the Securities and Exchange Commission, or SEC, on March 5, 2019.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us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are a commercial stage medical technology company focused on designing, developing and marketing products that improve the quality of life for patients who suffer from psychiatric disorders. Our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is cleared by the United States Food and Drug Administration, or FDA, to treat adult patients with major depressive disorder, or MDD, that have failed to achieve satisfactory improvement from prior antidepressant medication in the current MDD episode. NeuroStar Advanced Therapy is safe, clinically effective, reproducible and precise and we believe is supported by the largest clinical data set of any competing TMS system. We believe we are the market leader in TMS therapy based on our U.S. installed base of 931 active NeuroStar Advanced Therapy Systems in approximately 737 psychiatrist offices as of March 31, 2019 and the estimated 63,900 patients treated with approximately 2.3 million of our treatment sessions through such date. We generated revenues of $12.7 million and $10.2 million for the three months ended March 31, 2019 and March 31, 2018 respectively.</w:t>
      </w:r>
    </w:p>
    <w:p>
      <w:pPr>
        <w:spacing w:after="0" w:line="13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designed the NeuroStar Advanced Therapy System as a non-invasive therapeutic alternative to treat patients who suffer from MDD and to address many of the key limitations of existing treatment options. We generate revenues from initial capital sales of our systems, recurring treatment sessions and service and repair and extended warranty contracts. We derive the majority of our revenues from recurring treatment sessions. For the three months ended March 31, 2019, revenues from sales of our treatment sessions and NeuroStar Advanced Therapy Systems represented 70% and 27% of our U.S. revenues, respectively. For the three months ended March 31, 2018, revenues from sales of our treatment sessions and NeuroStar Advanced Therapy Systems represented 73% and 24% of our U.S. revenues, respectively.</w:t>
      </w:r>
    </w:p>
    <w:p>
      <w:pPr>
        <w:spacing w:after="0" w:line="13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currently sell our NeuroStar Advanced Therapy System and recurring treatment sessions in the United States with the collaborative support of our 206 employees as of March 31, 2019. Our sales force primarily targets 15,100 psychiatrists at 3,600 high-decile psychiatric practices that we estimate, based on data from Symphony Health and our own internal estimates, treat approximately 33% of the total MDD patients in the United States who meet our labeled indication and are insured. We expect to continue to expand our direct sales and customer support team to further penetrate the market by demonstrating the benefits of our NeuroStar Advanced Therapy to psychiatrists and their MDD patients. Some of our customers have and may purchase more than one NeuroStar Advanced Therapy System. Based on our commercial data, we believe psychiatrists can recoup their initial capital investment in our system by providing a standard course of treatment to approximately 12 patients. We believe psychiatrists can generate approximately $7,500 to $10,000 of revenue per patient for a standard course of treatment, which may provide meaningful incremental income to their practices. We have a diverse customer base of psychiatrists in group psychiatric practices in the United States. No single customer accounted for more than 10% of our revenues for three months ended March 31, 2019. Patients are reimbursed by Medicare and the vast majority of commercial payors in the United States for treatment sessions utilizing our NeuroStar Advanced Therapy System.</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2" w:name="page23"/>
    <w:bookmarkEnd w:id="22"/>
    <w:p>
      <w:pPr>
        <w:ind w:right="100"/>
        <w:spacing w:after="0" w:line="256" w:lineRule="auto"/>
        <w:rPr>
          <w:sz w:val="20"/>
          <w:szCs w:val="20"/>
          <w:color w:val="auto"/>
        </w:rPr>
      </w:pPr>
      <w:r>
        <w:rPr>
          <w:rFonts w:ascii="Times New Roman" w:cs="Times New Roman" w:eastAsia="Times New Roman" w:hAnsi="Times New Roman"/>
          <w:sz w:val="18"/>
          <w:szCs w:val="18"/>
          <w:color w:val="auto"/>
        </w:rPr>
        <w:t>We market our products in a few select markets outside the United States through independent distributors. International revenues represented 1% and 2% of our total revenues for both the three months ended March 31, 2019 and March 31, 2018, respectively. In October 2017, we entered into an exclusive distribution agreement with Teijin Pharma Limited, or Teijin, for the distribution of our NeuroStar Advanced Therapy Systems and treatment sessions to customers who will treat patients with MDD in Japan. We received regulatory approval for our system in Japan in September 2017, and we expect the initial reimbursement of JPY 12,000 per treatment session to go into effect on or about June 1, 2019. We expect our international revenues to increase as a percentage of our total revenues as we grow our presence in Japan.</w:t>
      </w:r>
    </w:p>
    <w:p>
      <w:pPr>
        <w:spacing w:after="0" w:line="13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research and development efforts are focused on the following: hardware and software product developments and enhancements of our NeuroStar Advanced Therapy System and clinical development relating to additional indications, which may include bipolar depression and post-traumatic stress disorder. We outsource the manufacture of components of our NeuroStar Advanced Therapy Systems that are produced to our specifications, and individual components are either shipped directly from our third-party contract manufacturers to our customers or consolidated into pallets at our Malvern, Pennsylvania facility prior to shipment. Final installation of these systems occurs at the customer site.</w:t>
      </w:r>
    </w:p>
    <w:p>
      <w:pPr>
        <w:spacing w:after="0" w:line="13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total revenues increased by $2.6 million, or 25%, from $10.2 million for the three months ended March 31, 2018 to $12.7 million for the three months ended March 31, 2019. For the three months ended March 31, 2019, our U.S. revenues were $12.5 million and compared to $10.0 million for the three months ended March 31, 2018, respectively, which represent an increase of 26% period over period. Due to the seasonality of our sales, during the first quarter of each year, we typically experience reduced revenues compared to our other quarters. We incurred net losses of $7.5 million for the three months ended March 31, 2019 compared to net losses of $5.5 million for the three months ended March 31, 2018, respectively. We expect to continue to incur losses for the next several years as we expand our commercial organization to support our planned sales growth and while continuing to invest in our pipeline indications. As of March 31, 2019, we had an accumulated deficit of $228.6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9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To date, we have generated revenues primarily from the capital portion of our business and related sales and rentals of the NeuroStar Advanced Therapy System and the recurring revenues from our sale of treatment sessions in the United States.</w:t>
      </w:r>
    </w:p>
    <w:p>
      <w:pPr>
        <w:spacing w:after="0" w:line="10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NeuroStar Advanced Therapy System Revenues</w:t>
      </w:r>
      <w:r>
        <w:rPr>
          <w:rFonts w:ascii="Times New Roman" w:cs="Times New Roman" w:eastAsia="Times New Roman" w:hAnsi="Times New Roman"/>
          <w:sz w:val="18"/>
          <w:szCs w:val="18"/>
          <w:color w:val="auto"/>
        </w:rPr>
        <w:t>. NeuroStar Advanced Therapy System revenues consist primarily of sales or rentals of a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component, including upgrades to the equipment attributable to the initial sale of the system. NeuroStar Advanced Therapy Systems can be purchased outright or on a rent-to-own basis by certain customers. We had an installed base of 931and 781 active NeuroStar Advanced Therapy Systems as of March 31, 2019 and 2018, respectively.</w:t>
      </w:r>
    </w:p>
    <w:p>
      <w:pPr>
        <w:spacing w:after="0" w:line="12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Treatment Session Revenues</w:t>
      </w:r>
      <w:r>
        <w:rPr>
          <w:rFonts w:ascii="Times New Roman" w:cs="Times New Roman" w:eastAsia="Times New Roman" w:hAnsi="Times New Roman"/>
          <w:sz w:val="18"/>
          <w:szCs w:val="18"/>
          <w:color w:val="auto"/>
        </w:rPr>
        <w:t>. Treatment session revenues primarily include sales of NeuroStar Treatment Sessions and SenStar treatment links.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NeuroStar Treatment Sessions are access codes that are delivered electronically in the United States. The SenStar treatment links are disposable units containing single-use access codes that are sold and used outside the United States. Access codes are purchased separately by our customers, primarily on an as-needed basis, and are required by the NeuroStar Advanced Therapy System in order to deliver treatment sessions.</w:t>
      </w:r>
    </w:p>
    <w:p>
      <w:pPr>
        <w:spacing w:after="0" w:line="123"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Other Revenues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Other revenues are derived primarily from service and repair and extended warranty contracts with our existing customers.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refer you to the section titled “Critical Accounting Policies and Use of Estimates—Revenue Recognition” appearing in our Form 10-K filed with the SEC on March 5, 2019 and “Note 4. Summary of Significant Accounting Policies” appearing in this quarterly report on this form 10-Q for additional information regarding how we account for revenues.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and Gross Margin</w:t>
      </w:r>
    </w:p>
    <w:p>
      <w:pPr>
        <w:spacing w:after="0" w:line="7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Cost of revenues primarily consists of the costs of components and products purchased from our third-party contract manufacturers of our NeuroStar Advanced Therapy Systems as well as the cost of treatment packs for individual treatment sessions. We use third-party contract manufacturing partners to produce the components for and assemble the completed NeuroStar Advanced Therapy Systems. Cost of revenues also includes costs related to personnel, royalties, warranty, shipping, and our operations and field service departments. We expect our cost of revenues to increase in absolute dollars as and to the extent our revenues grow.</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23" w:name="page24"/>
    <w:bookmarkEnd w:id="23"/>
    <w:p>
      <w:pPr>
        <w:ind w:right="20"/>
        <w:spacing w:after="0" w:line="258" w:lineRule="auto"/>
        <w:rPr>
          <w:sz w:val="20"/>
          <w:szCs w:val="20"/>
          <w:color w:val="auto"/>
        </w:rPr>
      </w:pPr>
      <w:r>
        <w:rPr>
          <w:rFonts w:ascii="Times New Roman" w:cs="Times New Roman" w:eastAsia="Times New Roman" w:hAnsi="Times New Roman"/>
          <w:sz w:val="18"/>
          <w:szCs w:val="18"/>
          <w:color w:val="auto"/>
        </w:rPr>
        <w:t>Our gross profit is calculated by subtracting our cost of revenues from our revenues. We calculate our gross margin as our gross profit divided by our revenues. Our gross margin has been and will continue to be affected by a variety of factors, primarily product sales mix, pricing and third-party contract manufacturing costs. Our gross margins on revenues from sales of NeuroStar Advanced Therapy Systems are lower than our gross margins on revenues from sales of treatment sessions and, as a result, the sales mix between NeuroStar Advanced Therapy Systems and treatment sessions can affect the gross margin in any reporting period.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7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of market research and commercial activities related to the sale of our NeuroStar Advanced Therapy Systems and treatment sessions and salaries and related benefits, sales commissions and share-based compensation for employees focused on these efforts. Other significant sales and marketing costs included conferences and trade shows, promotional and marketing activities, including direct and online marketing, practice support programs, television and radio media campaigns, travel and training expenses.</w:t>
      </w:r>
    </w:p>
    <w:p>
      <w:pPr>
        <w:spacing w:after="0" w:line="12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anticipate a significant increase in headcount in our commercial organization and in expenses in executing on our growth initiatives as we continue to expand our business in the United States and internationally. As a result, we expect our sales and marketing expenses to continue to increase in absolute dollars.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expenses, including salaries and related benefits, share-based compensation and travel expenses, for employees in executive, finance, information technology, legal and human resource functions. General and administrative expenses also include the cost of insurance, outside legal fees, accounting and other consulting services, audit fees from our independent registered public accounting firm, board of directors’ fees and other administrative costs, such as corporate facility costs, including rent, utilities, depreciation and maintenance not otherwise included in cost of revenues.</w:t>
      </w:r>
    </w:p>
    <w:p>
      <w:pPr>
        <w:spacing w:after="0" w:line="13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absolute dollars because of an expanded infrastructure and an increased headcount. We anticipate higher corporate infrastructure costs including, but not limited to, accounting, legal, human resources, consulting and investor relations fees, listing fees on the Nasdaq Global Market, costs associated with SEC reporting and compliance, as well as increased director and officer insurance premiums, as a result of our current status as a public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7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expenses, including salaries and related benefits and share-based compensation for employees in clinical development, product development, regulatory and quality assurance functions, as well as expenses associated with outsourced professional scientific development services and costs of investigative sites and consultants that conduct our preclinical and clinical development programs. We typically use our employee, consultant and infrastructure resources across our research and development programs.</w:t>
      </w:r>
    </w:p>
    <w:p>
      <w:pPr>
        <w:spacing w:after="0" w:line="12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plan to incur research and development expenses for the near future as we expect to continue our development of TMS Therapy for the treatment of additional patient populations and new indications, which may include bipolar depression, post-traumatic stress disorder and potential other clinical indications yet to be determined, as well as for various hardware and software development projects. As a result, we expect our research and development expenses to continue to increase in absolute dollars.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7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Interest expense consists of cash interest payable under our credit facility and non-cash interest attributable to the accrual of final payment fees and the amortization of deferred financing costs related to our indebtedness.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9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Other expense (income), net consists primarily of the revaluation related to our convertible preferred stock warrants, which were accounted for as a liability prior to their conversion into common stock warrants on July 2, 2018 and marked-to-market at each reporting period, as well as interest income earned on our money market account balances, and non-utilization fees paid to Oxford related to our decision not to borrow the Term C Loan. Upon the closing of our IPO on July 2, 2018, all of our outstanding convertible preferred stock warrants converted into warrants to acquire an aggregate of 0.1 million shares of our common stock, resulting in the reclassification of the convertible preferred stock warrant liability into additional paid-in capital.</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2019</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40" w:type="dxa"/>
            <w:vAlign w:val="bottom"/>
            <w:gridSpan w:val="7"/>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00" w:type="dxa"/>
            <w:vAlign w:val="bottom"/>
            <w:gridSpan w:val="5"/>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7"/>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center"/>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gridSpan w:val="3"/>
          </w:tcPr>
          <w:p>
            <w:pPr>
              <w:jc w:val="center"/>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Dollars</w:t>
            </w:r>
          </w:p>
        </w:tc>
        <w:tc>
          <w:tcPr>
            <w:tcW w:w="940" w:type="dxa"/>
            <w:vAlign w:val="bottom"/>
            <w:tcBorders>
              <w:top w:val="single" w:sz="8" w:color="auto"/>
              <w:bottom w:val="single" w:sz="8" w:color="auto"/>
            </w:tcBorders>
          </w:tcPr>
          <w:p>
            <w:pPr>
              <w:jc w:val="center"/>
              <w:ind w:right="34"/>
              <w:spacing w:after="0" w:line="155"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60" w:type="dxa"/>
            <w:vAlign w:val="bottom"/>
            <w:gridSpan w:val="8"/>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460" w:type="dxa"/>
            <w:vAlign w:val="bottom"/>
            <w:gridSpan w:val="3"/>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10,152</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Gross Profit</w:t>
            </w:r>
          </w:p>
        </w:tc>
        <w:tc>
          <w:tcPr>
            <w:tcW w:w="1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74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1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78%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76%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auto"/>
              </w:rPr>
              <w:t>Loss from Operations</w:t>
            </w:r>
          </w:p>
        </w:tc>
        <w:tc>
          <w:tcPr>
            <w:tcW w:w="1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w:t>
            </w:r>
          </w:p>
        </w:tc>
        <w:tc>
          <w:tcPr>
            <w:tcW w:w="8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(7,529)</w:t>
            </w:r>
          </w:p>
        </w:tc>
        <w:tc>
          <w:tcPr>
            <w:tcW w:w="8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2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gridSpan w:val="7"/>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Revenues by Geography</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7"/>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5"/>
          </w:tcPr>
          <w:p>
            <w:pPr>
              <w:jc w:val="right"/>
              <w:ind w:right="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9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left="65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9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36"/>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Pr>
          <w:p>
            <w:pPr>
              <w:jc w:val="center"/>
              <w:ind w:right="34"/>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gridSpan w:val="7"/>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9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300" w:type="dxa"/>
            <w:vAlign w:val="bottom"/>
            <w:gridSpan w:val="2"/>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shd w:val="clear" w:color="auto" w:fill="CFF0FC"/>
          </w:tcPr>
          <w:p>
            <w:pPr>
              <w:spacing w:after="0"/>
              <w:rPr>
                <w:sz w:val="19"/>
                <w:szCs w:val="19"/>
                <w:color w:val="auto"/>
              </w:rPr>
            </w:pPr>
          </w:p>
        </w:tc>
        <w:tc>
          <w:tcPr>
            <w:tcW w:w="130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12,728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FF0FC"/>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U.S. Revenues by Product Category</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7"/>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5"/>
          </w:tcPr>
          <w:p>
            <w:pPr>
              <w:jc w:val="right"/>
              <w:ind w:right="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9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left="65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9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36"/>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Pr>
          <w:p>
            <w:pPr>
              <w:jc w:val="center"/>
              <w:ind w:right="34"/>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580" w:type="dxa"/>
            <w:vAlign w:val="bottom"/>
            <w:tcBorders>
              <w:top w:val="single" w:sz="8" w:color="auto"/>
            </w:tcBorders>
            <w:gridSpan w:val="7"/>
          </w:tcPr>
          <w:p>
            <w:pPr>
              <w:jc w:val="center"/>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9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NeuroStar Advanced Therapy System</w:t>
            </w:r>
          </w:p>
        </w:tc>
        <w:tc>
          <w:tcPr>
            <w:tcW w:w="14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Treatment sessions</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Total U.S. revenues</w:t>
            </w:r>
          </w:p>
        </w:tc>
        <w:tc>
          <w:tcPr>
            <w:tcW w:w="1300" w:type="dxa"/>
            <w:vAlign w:val="bottom"/>
            <w:gridSpan w:val="2"/>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Total revenues increased by $2.6 million, or 25%, from $10.2 million for the three months ended March 31, 2018 to $12.7 million for the three months ended March 31, 2019. Revenues in the United States increased by $2.6 million for the three months ended March 31, 2019 compared to the three months ended March 31, 2018 due to higher unit sales of both NeuroStar Advanced Therapy Systems and treatment sessions. International revenues were consistent for the three months ended March 31, 2019 compared to the three months ended March 31, 2018.</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Revenues in the United States increased by $2.6 million, or 26%, from $10.0 million for the three months ended March 31, 2018 to $12.5 million for the three months ended March 31, 2019. NeuroStar Advanced Therapy System revenues in the United States grew by $1.0 million, or 41%, in the three months ended March 31, 2019 compared to the three months ended March 31, 2018. The increase in U.S. NeuroStar revenue was primarily driven by higher capital and rent-to-own revenue. Capital units sold increased 42% and average selling price declined 8% as compared to the prior period. On a sequential quarterly basis, average selling prices for capital sales were up approximately one-half of a percentage point.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5" w:right="259" w:bottom="1440" w:gutter="0" w:footer="0" w:header="0"/>
        </w:sectPr>
      </w:pPr>
    </w:p>
    <w:bookmarkStart w:id="25" w:name="page26"/>
    <w:bookmarkEnd w:id="25"/>
    <w:p>
      <w:pPr>
        <w:ind w:right="20"/>
        <w:spacing w:after="0" w:line="261" w:lineRule="auto"/>
        <w:rPr>
          <w:sz w:val="20"/>
          <w:szCs w:val="20"/>
          <w:color w:val="auto"/>
        </w:rPr>
      </w:pPr>
      <w:r>
        <w:rPr>
          <w:rFonts w:ascii="Times New Roman" w:cs="Times New Roman" w:eastAsia="Times New Roman" w:hAnsi="Times New Roman"/>
          <w:sz w:val="18"/>
          <w:szCs w:val="18"/>
          <w:color w:val="auto"/>
        </w:rPr>
        <w:t>NeuroStar Advanced Therapy System revenues represented 27% and 24% of U.S. revenues for the three months ended March 31, 2019 and March 31, 2018, respectively. We believe the growth in NeuroStar Advanced Therapy System revenues between these two periods was the result of the efforts of our expanded commercial organization and increased marketing efforts. As of March 31, 2019, we had an installed base of 931 active systems in the United States, compared to 781 as of March 31, 2018.</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Treatment session revenues in the United States represented 70% and 73% of total revenues in the United States for the three months ended March 31, 2019 and March 31, 2018, respectively, and increased by 21% from $7.2 million for the three months ended March 31, 2018 to $8.8 million for the three months ended March 31, 2019. The increase in United States treatment session revenues was primarily the result of an approximate 18% increase in the number of treatment sessions sold. This was offset by an approximate 3% decline in average selling price due to pre-determined volume pricing discounts within our existing customer base, which are triggered when those customers surpass certain high volume thresholds, plus an increase in other treatment session revenue.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and Gross Margin</w:t>
      </w:r>
    </w:p>
    <w:p>
      <w:pPr>
        <w:spacing w:after="0" w:line="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Cost of revenues increased by $0.4 million, or 14%, from $2.5 million for the three months ended March 31, 2018 to $2.8 million for the three months ended March 31, 2019. The increase was primarily due to increased costs associated with increased NeuroStar Advanced Therapy System sales volumes. Gross margin increased from 75.8% for the three months ended March 31, 2018 to 77.9% for the three months ended March 31, 2019. The majority of the increase in gross margin was the result of increased leverage on our service and operations costs as a result of higher sales compared to the prior year period.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by $1.5 million, or 18%, from $8.1 million for the three months ended March 31, 2018 to $9.6 million for the three months ended March 31, 2019. The increase was primarily due to increased personnel costs as a result of our sales expansion activities, as well as marketing expenses, consistent with our growth in revenues. Sales commissions were favorably impacted by $0.5 million for the three months ended March 31, 2019 due to the Company’s Topic 606 implementation as compared to the three months ended March 31, 2018.</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$2.0 million, or 74%, from $2.6 million for the three months ended March 31, 2018 to $4.6 million for the three months ended March 31, 2019. The increase was primarily due to an increase in personnel and legal, accounting and other professional services expenses required to support the growth of our business and the infrastructure for public company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7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$1.2 million, or 79%, from $1.6 million for the three months ended March 31, 2018 to $2.8 million for the three months ended March 31, 2019. The increase was primarily due to higher product development costs related to the launch of the next generation of our NeuroStar Advanced Therapy System and TrakStar practice management system, as well as increased spending in clinical development.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remained flat at $0.9 million for the three months ended March 31, 2019 and March 31, 2018.</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Other expense (income), net increased by $0.4 million, from $0.03 million for the three months ended March 31, 2018 to $(0.4) million for the three months ended March 31, 2019, primarily as a result of increased interest income earned on the Company’s money market accounts.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9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July 2, 2018, we closed our initial public offering (IPO), in which we issued and sold 6.325 million shares of our common stock, which included shares sold pursuant to an option granted to the underwriters to purchase additional shares, at a public offering price of $17.00 per share. We received net proceeds of $96.5 million after deducting underwriting discounts, commissions, and other offering expenses paid by us. Our common stock is listed on the Nasdaq Global Market under the trading symbol “STIM.”</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26" w:name="page27"/>
    <w:bookmarkEnd w:id="26"/>
    <w:p>
      <w:pPr>
        <w:ind w:right="140"/>
        <w:spacing w:after="0" w:line="255" w:lineRule="auto"/>
        <w:rPr>
          <w:sz w:val="20"/>
          <w:szCs w:val="20"/>
          <w:color w:val="auto"/>
        </w:rPr>
      </w:pPr>
      <w:r>
        <w:rPr>
          <w:rFonts w:ascii="Times New Roman" w:cs="Times New Roman" w:eastAsia="Times New Roman" w:hAnsi="Times New Roman"/>
          <w:sz w:val="18"/>
          <w:szCs w:val="18"/>
          <w:color w:val="auto"/>
        </w:rPr>
        <w:t>As of March 31, 2019, we had cash and cash equivalents of $96.1 million and an accumulated deficit of $228.6 million, compared to cash and cash equivalents of $104.6 million and an accumulated deficit of $221.0 million as of December 31, 2018. We incurred negative cash flows from operating activities of $9.6 million and $8.3 million for the three months ended March 31, 2019 and March 31, 2018, respectively. We have incurred operating losses since our inception, and we anticipate that our operating losses will continue in the near term as we seek to expand our sales and marketing initiatives to support our growth in existing and new markets, invest funds in additional research and development activities and utilize cash for other corporate purposes. Our primary sources of capital to date have been from our IPO, private placements of our convertible preferred securities, borrowings under our credit facilities and sales of our products. As of March 31, 2019, we had $30.0 million of borrowings outstanding under our credit facility, which matures in March 2022.</w:t>
      </w:r>
    </w:p>
    <w:p>
      <w:pPr>
        <w:spacing w:after="0" w:line="1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expect our revenues and expenses to increase in connection with our on-going activities, particularly as we continue to execute on our growth strategy, including expansion of our sales and customer support teams. We also expect to incur additional costs now that we are a public company. Based on our current business plan, we believe that our cash and cash equivalents as of March 31, 2019 and anticipated revenues from sales of our products will be sufficient to meet our anticipated cash requirements for at least the next 24 months after March 31, 2019. However, if these sources are insufficient to satisfy our liquidity requirements, we may seek to sell additional common or preferred equity or debt securities, or enter into a new credit facility or another form of third-party funding or seek other debt financing. If we raise additional funds by issuing equity or equity-linked securities, our stockholders would experience dilution and any new equity securities could have rights, preferences and privileges superior to those of holders of our common stock. Debt financing, if available, may involve covenants restricting our operations or our ability to incur additional debt. We cannot be assured that additional equity, equity-linked or debt financing will be available on terms favorable to us or our stockholders, or at all. It is also possible that we may allocate significant amounts of capital towards products or technologies for which market demand is lower than expected and, as a result, abandon such efforts. If we are unable to obtain adequate financing when we require it, or if we obtain financing on terms which are not favorable to us, or if we expend capital on products or technologies that are unsuccessful, our ability to continue to support our business growth and to respond to business challenges could be significantly limited, or we may be required to delay the development, commercialization and marketing of our products.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current and future funding requirements will depend on many factors, including:</w:t>
      </w:r>
    </w:p>
    <w:p>
      <w:pPr>
        <w:spacing w:after="0" w:line="77" w:lineRule="exact"/>
        <w:rPr>
          <w:sz w:val="20"/>
          <w:szCs w:val="20"/>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revenue growth and improve operating margins;</w:t>
      </w:r>
    </w:p>
    <w:p>
      <w:pPr>
        <w:spacing w:after="0" w:line="76"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operations and offerings, including our sales and marketing efforts;</w:t>
      </w:r>
    </w:p>
    <w:p>
      <w:pPr>
        <w:spacing w:after="0" w:line="76"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or maintain coverage and reimbursement arrangements with domestic third-party and government payors;</w:t>
      </w:r>
    </w:p>
    <w:p>
      <w:pPr>
        <w:spacing w:after="0" w:line="76" w:lineRule="exact"/>
        <w:rPr>
          <w:rFonts w:ascii="Times New Roman" w:cs="Times New Roman" w:eastAsia="Times New Roman" w:hAnsi="Times New Roman"/>
          <w:sz w:val="18"/>
          <w:szCs w:val="18"/>
          <w:color w:val="auto"/>
        </w:rPr>
      </w:pPr>
    </w:p>
    <w:p>
      <w:pPr>
        <w:ind w:left="1040" w:right="500" w:hanging="519"/>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establishing coverage and reimbursement arrangements from international commercial third-party and government payors, particularly in Japan;</w:t>
      </w:r>
    </w:p>
    <w:p>
      <w:pPr>
        <w:spacing w:after="0" w:line="13" w:lineRule="exact"/>
        <w:rPr>
          <w:rFonts w:ascii="Times New Roman" w:cs="Times New Roman" w:eastAsia="Times New Roman" w:hAnsi="Times New Roman"/>
          <w:sz w:val="18"/>
          <w:szCs w:val="18"/>
          <w:color w:val="auto"/>
        </w:rPr>
      </w:pPr>
    </w:p>
    <w:p>
      <w:pPr>
        <w:ind w:left="1040" w:right="180" w:hanging="519"/>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the sales and marketing activities associated with, establishing adoption of our products and maintaining or improving our sales to our current customers;</w:t>
      </w:r>
    </w:p>
    <w:p>
      <w:pPr>
        <w:spacing w:after="0" w:line="13" w:lineRule="exact"/>
        <w:rPr>
          <w:rFonts w:ascii="Times New Roman" w:cs="Times New Roman" w:eastAsia="Times New Roman" w:hAnsi="Times New Roman"/>
          <w:sz w:val="18"/>
          <w:szCs w:val="18"/>
          <w:color w:val="auto"/>
        </w:rPr>
      </w:pPr>
    </w:p>
    <w:p>
      <w:pPr>
        <w:ind w:left="1040" w:right="500" w:hanging="519"/>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research and development activities, including research and development relating to additional indications, which may include bipolar depression and PTSD;</w:t>
      </w:r>
    </w:p>
    <w:p>
      <w:pPr>
        <w:spacing w:after="0" w:line="1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76"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international expansion; and</w:t>
      </w:r>
    </w:p>
    <w:p>
      <w:pPr>
        <w:spacing w:after="0" w:line="76"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 of and delays in product development as a result of any regulatory oversight applicable to our products.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three months ended March 31, 2019 and 2018:</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(9,570)</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(8,297)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(274)</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5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(8,437)</w:t>
            </w: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(8,793)</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580" w:type="dxa"/>
            <w:vAlign w:val="bottom"/>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99" w:right="2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2019 was $9.6 million, consisting primarily of a net loss of $7.5 million and a decrease in net operating liabilities of $3.0 million, partially offset by non-cash charges of $0.9 million. The decrease in net operating liabilities was primarily due to a decrease in accounts payable and accrued expenses as a result of timing and the first quarter 2019 payments of 2018 incentive compensation and commissions accrued as of December 31, 2018. Non-cash charges consisted of depreciation and amortization, non-cash interest expense, share-based compensation, and the cost of rental units purchased by customers.</w:t>
      </w:r>
    </w:p>
    <w:p>
      <w:pPr>
        <w:spacing w:after="0" w:line="1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2018 was $8.3 million, consisting primarily of a net loss of $5.5 million and a decrease in net operating liabilities of $3.4 million, partially offset by non-cash charges of $0.6 million. The decrease in net operating liabilities was primarily due to a decrease in accrued expenses as a result of the first quarter 2018 payments of 2017 incentive compensation and commissions accrued as of December 31, 2017. Non-cash charges consisted of depreciation and amortization, non-cash interest expense, share-based compensation, the cost of rental units purchased by customers and the change in the fair value of the liability related to our then-outstanding convertible preferred stock warrants.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9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2019 was $0.3 million, compared to net cash used in investing activities for the three months ended March 31, 2018 of $0.3 million, in each case attributable to purchases of property and equipment and capitalized software costs.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7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activates for the three months ended March 31, 2019 was $1.4 million, consisting primarily of cash proceeds related to stock option exercises. Net cash used in financing activities for the three months ended March 31, 2018 was $0.2 million, consisting of $0.2 million of payments of public offering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9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In March 2017, we entered into a loan and security agreement with Oxford Finance LLC, or Oxford, for a credit facility that replaced its previous $25.0 million credit facility with Oxford and which allowed it to borrow up to $35.0 million in three tranches of term loans: a Term A Loan in the amount of $25.0 million, which was drawn down immediately upon closing in March 2017, a Term B Loan in the amount of $5.0 million, which was drawn down in December 2017, and a Term C Loan in the amount of $5.0 million, which became available to us upon the achievement of $45.0 million of trailing twelve month revenues during the second quarter of 2018. Upon achieving the required revenue milestone, we had 60 days to notify Oxford if we elected to borrow the Term C Loan. As a result of completing our IPO on July 2, 2018 and receiving the net proceeds therefrom, we elected not to borrow the additional $5.0 million, and it is no longer available to us. Each term loan accrues interest from the date of borrowing through the date of repayment at a floating per annum rate of interest, which resets monthly and is equal to the greater of (a) 8.15% or (b) the 30-day U.S. LIBOR on the last business day of the month plus 7.38%. We were also required to issue to Oxford at the date of each borrowing warrants to purchase its Series F or later series of convertible preferred stock with a seven-year term and in an amount equal to 3.95% of the first $5.0 million of each tranche borrowed. The credit facility matures and all amounts borrowed thereunder are due on March 1, 2022. As of March 31, 2019, we had borrowed and had outstanding an aggregate of $30.0 million of principal under the credit facility.</w:t>
      </w:r>
    </w:p>
    <w:p>
      <w:pPr>
        <w:spacing w:after="0" w:line="12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Term A Loan featured an interest-only period through March 2019, during which time we were required to make monthly interest payments, after which time we were required to make monthly payments of principal and interest based on a 36-month amortization schedule. However, due to the achievement of $45.0 million of revenues during fiscal year 2018, the interest-only period was extended for an additional 12 months through March 2020, after which time we will be required to make monthly payments of principal and interest based on a 24-month amortization schedule. In connection with the drawdown of the Term A Loan, we issued to Oxford a warrant to purchase shares of its Series F convertible preferred stock. On July 2, 2018, this convertible preferred stock warrant converted into a warrant to purchase 20,303 shares of our common stock at an exercise price of $9.73 per share. The warrant will expire in March 2024.</w:t>
      </w:r>
    </w:p>
    <w:p>
      <w:pPr>
        <w:spacing w:after="0" w:line="12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Term B Loan featured an interest-only period through March 2019, during which time we were required to make monthly interest payments, after which time we were required to make monthly payments of principal and interest based on a 36-month amortization schedule. However, due to the achievement of $45.0 million of revenues during the fiscal year 2018, the interest-only period was extended for an additional 12 months through March 2020, after which time we will be required to make monthly payments of principal and interest based on a 24-month amortization schedule. In connection with the drawdown of the Term B Loan, we issued to Oxford a warrant to purchase shares of our Series F convertible preferred stock. On July 2, 2018, this convertible preferred stock warrant converted into a warrant to purchase 20,303 shares of our common stock at an exercise price of $9.73 per share. The warrant will expire in December 2024.</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28" w:name="page29"/>
    <w:bookmarkEnd w:id="28"/>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to principal and interest payments due under the credit facility, we are required to make final payment fees to Oxford due upon the earlier of prepayment or maturity of each tranche, which increased as a result the extension of the interest-only period and are now equal to 8.5% and 7.5% of the principal amounts of the Term A and Term B Loans, respectively. We accrued the estimated final payment fees using the effective interest rate, with a charge to non-cash interest expense, over the term of borrowing for each tranche. As of December 31, 2018, the effective interest rates for the Term A and Term B Loans were 11.87% and 12.14%, respectively. As of December 31, 2017, the effective interest rates for the Term A and Term B Loans were 10.7% and 11.6%, respectively. If we prepay our term loans prior to their respective scheduled maturities, we will also be required to make prepayment fees to Oxford equal to 3% if prepaid on or before the first anniversary of funding, 2% if prepaid after the first and on or before the second anniversary of funding, or 1% if prepaid after the second anniversary of funding of the principal amounts borrowed.</w:t>
      </w:r>
    </w:p>
    <w:p>
      <w:pPr>
        <w:spacing w:after="0" w:line="131"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Our obligations under the credit facility are secured by a first priority security interest in substantially all of its assets, other than our intellectual property. We agreed not to pledge or otherwise encumber any of its intellectual property. The loan and security agreement related to the credit facility includes a financial maintenance covenant that requires us to achieve at least 75% of its trailing 12-month forecasted revenues, as measured each month in accordance with a forecast that we provided to Oxford upon signing the agreement and future forecasts that we are required to deliver to Oxford each year for the life of the credit facility, as well as customary affirmative and negative covenants. We were in compliance with all of the covenants under its credit facility as of March 31, 2019.</w:t>
      </w:r>
    </w:p>
    <w:p>
      <w:pPr>
        <w:spacing w:after="0" w:line="11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loan and security agreement related to the credit facility contains events of default, including, without limitation, events of default upon: (i) failure to make payment pursuant to the terms of the agreement; (ii) violation of covenants; (iii) material adverse changes to we’s business; (iv) attachment or levy on our assets or judicial restraint on its business; (v) insolvency; (vi) significant judgments, orders or decrees for payments by we not covered by insurance; (vii) incorrectness of representations and warranties; (viii) incurrence of subordinated debt; (ix) revocation of governmental approvals necessary for we to conduct its business; and (x) failure by we to maintain a valid and perfected lien on the collateral securing the borrowing. Based on a 24-month amortization of the outstanding principal amounts of the Term A and Term B Loans beginning on April 1, 2019 as discussed above, the following table sets forth by year our required future principal payments (in thousands):</w:t>
      </w:r>
    </w:p>
    <w:p>
      <w:pPr>
        <w:spacing w:after="0" w:line="17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spacing w:after="0"/>
              <w:rPr>
                <w:sz w:val="13"/>
                <w:szCs w:val="13"/>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73"/>
        </w:trPr>
        <w:tc>
          <w:tcPr>
            <w:tcW w:w="55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223"/>
        </w:trPr>
        <w:tc>
          <w:tcPr>
            <w:tcW w:w="54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principal payments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Non-Cash Interest Expense</w:t>
      </w:r>
    </w:p>
    <w:p>
      <w:pPr>
        <w:spacing w:after="0" w:line="7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2019, we recognized interest expense of $0.9 million, of which $0.7 million was cash and $0.2 million was non-cash interest expense related to the amortization of deferred financing costs and accrual of final payment fees. For the three months ended March 31, 2018, we recognized interest expense of $0.9 million, of which $0.7 million was cash and $0.2 million was non-cash interest expense related to the amortization of deferred financing costs and accrual of final payment fees.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do not maintain any off-balance sheet arrangements, partnerships or other relationships with unconsolidated entities, often referred to as structured finance or special-purpose entities, which are established for the purpose of facilitating off-balance sheet arrangements or other contractually narrow or limited purposes.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Contractual Obligations</w:t>
      </w:r>
    </w:p>
    <w:p>
      <w:pPr>
        <w:spacing w:after="0" w:line="8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March 31, 2019, there was one significant change to our commitments and future minimum contractual obligations as set forth in our Form 10-K, filed with the SEC on March 5, 2019. We refer you to “Note 8. Leases” in this Quarterly Report on Form 10-Q for information regarding our lease agreements.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JOBS Act, and are eligible to take advantage of certain exemptions from various reporting requirements that are applicable to other public companies that are not emerging growth companies. Section 107 of the JOBS Act provides that an emerging growth company can take advantage of the extended transition period provided in Section 7(a)(2)(B) of the Securities Act of 1933, or Securities Act, for complying with new or revised accounting standards issued subsequent to the enactment of the JOBS Act until such time as those standards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Section 107 of the JOBS Act provides that we can elect to opt out of the extended transition period at any time, which election is irrevocable.</w:t>
      </w:r>
    </w:p>
    <w:p>
      <w:pPr>
        <w:spacing w:after="0" w:line="13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Subject to certain conditions, as an emerging growth company, we may rely on certain of these exemptions, including without limitation (i) providing an auditor’s attestation report on our system of internal controls over financial reporting pursuant to Section 404(b) of the Sarbanes-Oxley Act and</w:t>
      </w:r>
    </w:p>
    <w:p>
      <w:pPr>
        <w:ind w:firstLine="8"/>
        <w:spacing w:after="0" w:line="252" w:lineRule="auto"/>
        <w:tabs>
          <w:tab w:leader="none" w:pos="2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We will remain an emerging growth company until the earlier of (a) the last day of the fiscal year in which we have total annual gross revenue of $1.07 billion or more; (b) the last day of the fiscal year following the fifth anniversary of the date of the completion of this offering; (c) the date on which we have issued more than $1.0 billion in nonconvertible debt during the previous six years; or (d) the date on which we are deemed to be a large accelerated filer under the rules of the SEC.</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refer you to “Note 4. Recent Accounting Pronouncements” in “Notes to Interim Financial Statements” located in “Part I – FINANCIAL INFORMATION, Item 1. Financial Statements”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5" w:right="259" w:bottom="1440" w:gutter="0" w:footer="0" w:header="0"/>
        </w:sectPr>
      </w:pPr>
    </w:p>
    <w:bookmarkStart w:id="30" w:name="page31"/>
    <w:bookmarkEnd w:id="30"/>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8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cash is held on deposit in demand accounts at a large financial institution in amounts in excess of the Federal Deposit Insurance Corporation, or FDIC, insurance coverage limit of $250,000 per depositor, per FDIC-insured bank, per ownership category. We have reviewed the financial statements of this institution and believe it has sufficient assets and liquidity to conduct its operations in the ordinary course of business with little or no credit risk to us.</w:t>
      </w:r>
    </w:p>
    <w:p>
      <w:pPr>
        <w:spacing w:after="0" w:line="12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principally consist of cash equivalents and accounts receivable. We limit our credit risk associated with cash equivalents by placing investments in highly-rated money market funds. We limit our credit risk with respect to accounts receivable by performing credit evaluations when deemed necessary, but we do not require collateral to secure amounts owed to us by our customers.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discussed above in the “Management’s Discussion and Analysis of Financial Condition and Results of Operations – Liquidity and Capital Resources - Indebtedness” section of this Quarterly Report on Form 10-Q, our credit facility bears interest at a floating per annum rate of interest, which resets monthly and is equal to the greater of (a) 8.15% or (b) the 30 day U.S. LIBOR on the last business day of the month plus 7.38%. As a result, we are exposed to risks from changes in interest rates. We believe that a one point increase in interest rates would have resulted in an approximate $0.3 million increase to our interest expense for the year ended December 31, 2018.</w:t>
      </w:r>
    </w:p>
    <w:p>
      <w:pPr>
        <w:spacing w:after="0" w:line="13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Inflationary factors, such as increases in our cost of revenues and operating expenses, may adversely affect our operating results. Although we do not believe inflation has had a material impact on our financial condition, results of operations or cash flows to date, a high rate of inflation in the future may have an adverse effect on our ability to maintain and increase our gross margin or decrease our operating expenses as a percentage of our revenues if our selling prices of our products do not increase as much or more than our costs increase.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currently have any exposure to foreign currency fluctuations and do not engage in any hedging activities as part of our normal course of business.</w:t>
      </w:r>
    </w:p>
    <w:p>
      <w:pPr>
        <w:spacing w:after="0" w:line="16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8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of the Securities Exchange Act of 1934, as amended, or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 As required by Rules 13a-15(b) and 15d-15(b) of the Exchange Act, our management, with the participation of our Chief Executive Officer and Chief Financial Officer, evaluated the effectiveness of our disclosure controls and procedures as of the end of the period covered by this Quarterly Report on Form 10-Q. Based on that evaluation, our Chief Executive Officer and our Chief Financial Officer concluded that our disclosure controls and procedures were effective at the reasonable assurance level as of March 31, 2019.</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1" w:name="page32"/>
    <w:bookmarkEnd w:id="31"/>
    <w:p>
      <w:pPr>
        <w:ind w:right="60"/>
        <w:spacing w:after="0" w:line="256" w:lineRule="auto"/>
        <w:rPr>
          <w:sz w:val="20"/>
          <w:szCs w:val="20"/>
          <w:color w:val="auto"/>
        </w:rPr>
      </w:pPr>
      <w:r>
        <w:rPr>
          <w:rFonts w:ascii="Times New Roman" w:cs="Times New Roman" w:eastAsia="Times New Roman" w:hAnsi="Times New Roman"/>
          <w:sz w:val="18"/>
          <w:szCs w:val="18"/>
          <w:color w:val="auto"/>
        </w:rPr>
        <w:t>As a result of becoming a public company, we will be required, under Section 404 of the Sarbanes-Oxley Act, to furnish a report by management on, among other things, the effectiveness of our internal control over financial reporting beginning with our Annual Report on Form 10-K for the year ended December 31, 2019. This assessment will need to include disclosure of any material weaknesses identified by our management in our internal control over financial reporting. The SEC defines a material weakness as a deficiency, or combination of deficiencies, in internal control over financial reporting such that there is a reasonable possibility that a material misstatement of a company’s annual or interim financial statements will not be detected or prevented on a timely basis.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 and Procedures</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Internal control over financial reporting may not prevent or detect all errors and all fraud. A control system, no matter how well conceived and operated, can provide only reasonable, not absolute, assurance that the objectives of the control system are achieved. Further, the design of a control system must be balanced against resource constraints, and therefore the benefits of controls must be considered relative to their costs. Given the inherent limitations in all systems of controls, no evaluation of controls can provide absolute assurance all control issues and instances of fraud, if any, within a company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Accordingly, given the inherent limitations in a cost-effective system of internal control, financial statement misstatements due to error or fraud may occur and may not be detected. Our disclosure controls and procedures are designed to provide reasonable, not absolute, assurance of achieving their objectives. We conduct periodic evaluations of our systems of controls to enhance, where necessary, our control policies and procedures.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2019, there were no changes in our internal control over financial reporting (as defined in Rule 13a-15(f) of the Exchange Act) which materially affected, or are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32" w:name="page33"/>
    <w:bookmarkEnd w:id="3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subject from time to time to various claims and legal actions arising during the ordinary course of our business. We believe that there are currently no claims or legal actions that would reasonably be expected to have a material adverse effect on our results of operations, financial condition, or cash flows.</w:t>
      </w:r>
    </w:p>
    <w:p>
      <w:pPr>
        <w:spacing w:after="0" w:line="10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carefully consider the information described in the “Risk Factors” section of the Company’s Form 10-K filed with the SEC on March 5,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described therein.</w:t>
      </w:r>
    </w:p>
    <w:p>
      <w:pPr>
        <w:spacing w:after="0" w:line="14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Issuances of Unregistered Securities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3" w:right="339" w:bottom="1440" w:gutter="0" w:footer="0" w:header="0"/>
        </w:sectPr>
      </w:pPr>
    </w:p>
    <w:bookmarkStart w:id="33" w:name="page34"/>
    <w:bookmarkEnd w:id="33"/>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8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is a list of exhibits filed as part of this Quarterly Report on Form 10-Q. Where so indicated, exhibits that were previously filed are incorporated by reference. For exhibits incorporated by reference, the location of the exhibit in the previous filing is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9960" w:type="dxa"/>
            <w:vAlign w:val="bottom"/>
            <w:gridSpan w:val="5"/>
            <w:vMerge w:val="restart"/>
          </w:tcPr>
          <w:p>
            <w:pPr>
              <w:ind w:left="4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5"/>
                <w:szCs w:val="15"/>
                <w:color w:val="auto"/>
              </w:rPr>
            </w:pPr>
          </w:p>
        </w:tc>
        <w:tc>
          <w:tcPr>
            <w:tcW w:w="996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tcBorders>
              <w:top w:val="single" w:sz="8" w:color="auto"/>
            </w:tcBorders>
          </w:tcPr>
          <w:p>
            <w:pPr>
              <w:jc w:val="center"/>
              <w:ind w:right="162"/>
              <w:spacing w:after="0" w:line="182" w:lineRule="exact"/>
              <w:rPr>
                <w:sz w:val="20"/>
                <w:szCs w:val="20"/>
                <w:color w:val="auto"/>
              </w:rPr>
            </w:pPr>
            <w:r>
              <w:rPr>
                <w:rFonts w:ascii="Times New Roman" w:cs="Times New Roman" w:eastAsia="Times New Roman" w:hAnsi="Times New Roman"/>
                <w:sz w:val="18"/>
                <w:szCs w:val="18"/>
                <w:color w:val="auto"/>
                <w:w w:val="98"/>
              </w:rPr>
              <w:t>31.1*</w:t>
            </w:r>
          </w:p>
        </w:tc>
        <w:tc>
          <w:tcPr>
            <w:tcW w:w="220" w:type="dxa"/>
            <w:vAlign w:val="bottom"/>
          </w:tcPr>
          <w:p>
            <w:pPr>
              <w:spacing w:after="0"/>
              <w:rPr>
                <w:sz w:val="15"/>
                <w:szCs w:val="15"/>
                <w:color w:val="auto"/>
              </w:rPr>
            </w:pPr>
          </w:p>
        </w:tc>
        <w:tc>
          <w:tcPr>
            <w:tcW w:w="10380" w:type="dxa"/>
            <w:vAlign w:val="bottom"/>
            <w:tcBorders>
              <w:top w:val="single" w:sz="8" w:color="auto"/>
            </w:tcBorders>
            <w:gridSpan w:val="6"/>
          </w:tcPr>
          <w:p>
            <w:pPr>
              <w:spacing w:after="0" w:line="182"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210"/>
        </w:trPr>
        <w:tc>
          <w:tcPr>
            <w:tcW w:w="820" w:type="dxa"/>
            <w:vAlign w:val="bottom"/>
            <w:gridSpan w:val="2"/>
          </w:tcPr>
          <w:p>
            <w:pPr>
              <w:jc w:val="center"/>
              <w:ind w:right="142"/>
              <w:spacing w:after="0"/>
              <w:rPr>
                <w:sz w:val="20"/>
                <w:szCs w:val="20"/>
                <w:color w:val="auto"/>
              </w:rPr>
            </w:pPr>
            <w:r>
              <w:rPr>
                <w:rFonts w:ascii="Times New Roman" w:cs="Times New Roman" w:eastAsia="Times New Roman" w:hAnsi="Times New Roman"/>
                <w:sz w:val="18"/>
                <w:szCs w:val="18"/>
                <w:color w:val="auto"/>
                <w:w w:val="98"/>
              </w:rPr>
              <w:t>31.2*</w:t>
            </w:r>
          </w:p>
        </w:tc>
        <w:tc>
          <w:tcPr>
            <w:tcW w:w="220" w:type="dxa"/>
            <w:vAlign w:val="bottom"/>
          </w:tcPr>
          <w:p>
            <w:pPr>
              <w:spacing w:after="0"/>
              <w:rPr>
                <w:sz w:val="18"/>
                <w:szCs w:val="18"/>
                <w:color w:val="auto"/>
              </w:rPr>
            </w:pPr>
          </w:p>
        </w:tc>
        <w:tc>
          <w:tcPr>
            <w:tcW w:w="72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Certification of Chief Financial Officer Pursuant to Section 302 of the Sarbanes-Oxley Act of 2002.</w:t>
              </w:r>
            </w:hyperlink>
          </w:p>
        </w:tc>
        <w:tc>
          <w:tcPr>
            <w:tcW w:w="40" w:type="dxa"/>
            <w:vAlign w:val="bottom"/>
            <w:tcBorders>
              <w:top w:val="single" w:sz="8" w:color="0000EE"/>
            </w:tcBorders>
          </w:tcPr>
          <w:p>
            <w:pPr>
              <w:spacing w:after="0"/>
              <w:rPr>
                <w:sz w:val="18"/>
                <w:szCs w:val="18"/>
                <w:color w:val="auto"/>
              </w:rPr>
            </w:pPr>
          </w:p>
        </w:tc>
        <w:tc>
          <w:tcPr>
            <w:tcW w:w="31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gridSpan w:val="2"/>
          </w:tcPr>
          <w:p>
            <w:pPr>
              <w:jc w:val="center"/>
              <w:ind w:right="42"/>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8"/>
                <w:szCs w:val="18"/>
                <w:color w:val="auto"/>
              </w:rPr>
            </w:pPr>
          </w:p>
        </w:tc>
        <w:tc>
          <w:tcPr>
            <w:tcW w:w="10380" w:type="dxa"/>
            <w:vAlign w:val="bottom"/>
            <w:gridSpan w:val="6"/>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Certification of Chief Executive Officer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38">
              <w:r>
                <w:rPr>
                  <w:rFonts w:ascii="Times New Roman" w:cs="Times New Roman" w:eastAsia="Times New Roman" w:hAnsi="Times New Roman"/>
                  <w:sz w:val="18"/>
                  <w:szCs w:val="18"/>
                  <w:color w:val="0000EE"/>
                  <w:w w:val="98"/>
                </w:rPr>
                <w:t>2002.</w:t>
              </w:r>
            </w:hyperlink>
          </w:p>
        </w:tc>
        <w:tc>
          <w:tcPr>
            <w:tcW w:w="67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0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0" w:type="dxa"/>
            <w:vAlign w:val="bottom"/>
            <w:gridSpan w:val="2"/>
          </w:tcPr>
          <w:p>
            <w:pPr>
              <w:jc w:val="center"/>
              <w:ind w:right="42"/>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18"/>
                <w:szCs w:val="18"/>
                <w:color w:val="auto"/>
              </w:rPr>
            </w:pPr>
          </w:p>
        </w:tc>
        <w:tc>
          <w:tcPr>
            <w:tcW w:w="10380" w:type="dxa"/>
            <w:vAlign w:val="bottom"/>
            <w:gridSpan w:val="6"/>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Certification of Chief Financial Officer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39">
              <w:r>
                <w:rPr>
                  <w:rFonts w:ascii="Times New Roman" w:cs="Times New Roman" w:eastAsia="Times New Roman" w:hAnsi="Times New Roman"/>
                  <w:sz w:val="18"/>
                  <w:szCs w:val="18"/>
                  <w:color w:val="0000EE"/>
                  <w:w w:val="98"/>
                </w:rPr>
                <w:t>2002.</w:t>
              </w:r>
            </w:hyperlink>
          </w:p>
        </w:tc>
        <w:tc>
          <w:tcPr>
            <w:tcW w:w="67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0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0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101.INS</w:t>
            </w:r>
          </w:p>
        </w:tc>
        <w:tc>
          <w:tcPr>
            <w:tcW w:w="10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30"/>
        </w:trPr>
        <w:tc>
          <w:tcPr>
            <w:tcW w:w="10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rPr>
              <w:t>101.SCH</w:t>
            </w:r>
          </w:p>
        </w:tc>
        <w:tc>
          <w:tcPr>
            <w:tcW w:w="10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10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rPr>
              <w:t>101.CAL</w:t>
            </w:r>
          </w:p>
        </w:tc>
        <w:tc>
          <w:tcPr>
            <w:tcW w:w="10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10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101.DEF</w:t>
            </w:r>
          </w:p>
        </w:tc>
        <w:tc>
          <w:tcPr>
            <w:tcW w:w="10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30"/>
        </w:trPr>
        <w:tc>
          <w:tcPr>
            <w:tcW w:w="10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rPr>
              <w:t>101.LAB</w:t>
            </w:r>
          </w:p>
        </w:tc>
        <w:tc>
          <w:tcPr>
            <w:tcW w:w="10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34"/>
        </w:trPr>
        <w:tc>
          <w:tcPr>
            <w:tcW w:w="10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101.PRE</w:t>
            </w:r>
          </w:p>
        </w:tc>
        <w:tc>
          <w:tcPr>
            <w:tcW w:w="10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690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78"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ind w:left="380" w:right="60" w:hanging="372"/>
        <w:spacing w:after="0" w:line="261"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00" w:type="dxa"/>
            <w:vAlign w:val="bottom"/>
          </w:tcPr>
          <w:p>
            <w:pPr>
              <w:spacing w:after="0"/>
              <w:rPr>
                <w:sz w:val="19"/>
                <w:szCs w:val="19"/>
                <w:color w:val="auto"/>
              </w:rPr>
            </w:pPr>
          </w:p>
        </w:tc>
        <w:tc>
          <w:tcPr>
            <w:tcW w:w="792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NEURONETICS, INC.</w:t>
            </w:r>
          </w:p>
        </w:tc>
      </w:tr>
      <w:tr>
        <w:trPr>
          <w:trHeight w:val="234"/>
        </w:trPr>
        <w:tc>
          <w:tcPr>
            <w:tcW w:w="3500" w:type="dxa"/>
            <w:vAlign w:val="bottom"/>
          </w:tcPr>
          <w:p>
            <w:pPr>
              <w:spacing w:after="0"/>
              <w:rPr>
                <w:sz w:val="20"/>
                <w:szCs w:val="20"/>
                <w:color w:val="auto"/>
              </w:rPr>
            </w:pPr>
          </w:p>
        </w:tc>
        <w:tc>
          <w:tcPr>
            <w:tcW w:w="3740" w:type="dxa"/>
            <w:vAlign w:val="bottom"/>
          </w:tcPr>
          <w:p>
            <w:pPr>
              <w:ind w:left="2860"/>
              <w:spacing w:after="0"/>
              <w:rPr>
                <w:sz w:val="20"/>
                <w:szCs w:val="20"/>
                <w:color w:val="auto"/>
              </w:rPr>
            </w:pPr>
            <w:r>
              <w:rPr>
                <w:rFonts w:ascii="Times New Roman" w:cs="Times New Roman" w:eastAsia="Times New Roman" w:hAnsi="Times New Roman"/>
                <w:sz w:val="18"/>
                <w:szCs w:val="18"/>
                <w:color w:val="auto"/>
                <w:w w:val="99"/>
              </w:rPr>
              <w:t>(Registrant)</w:t>
            </w:r>
          </w:p>
        </w:tc>
        <w:tc>
          <w:tcPr>
            <w:tcW w:w="418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2019</w:t>
            </w:r>
          </w:p>
        </w:tc>
        <w:tc>
          <w:tcPr>
            <w:tcW w:w="374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Thatcher</w:t>
            </w:r>
          </w:p>
        </w:tc>
      </w:tr>
      <w:tr>
        <w:trPr>
          <w:trHeight w:val="191"/>
        </w:trPr>
        <w:tc>
          <w:tcPr>
            <w:tcW w:w="3500" w:type="dxa"/>
            <w:vAlign w:val="bottom"/>
          </w:tcPr>
          <w:p>
            <w:pPr>
              <w:spacing w:after="0"/>
              <w:rPr>
                <w:sz w:val="16"/>
                <w:szCs w:val="16"/>
                <w:color w:val="auto"/>
              </w:rPr>
            </w:pPr>
          </w:p>
        </w:tc>
        <w:tc>
          <w:tcPr>
            <w:tcW w:w="3740" w:type="dxa"/>
            <w:vAlign w:val="bottom"/>
          </w:tcPr>
          <w:p>
            <w:pPr>
              <w:ind w:left="28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Thatcher</w:t>
            </w:r>
          </w:p>
        </w:tc>
      </w:tr>
      <w:tr>
        <w:trPr>
          <w:trHeight w:val="216"/>
        </w:trPr>
        <w:tc>
          <w:tcPr>
            <w:tcW w:w="3500" w:type="dxa"/>
            <w:vAlign w:val="bottom"/>
          </w:tcPr>
          <w:p>
            <w:pPr>
              <w:spacing w:after="0"/>
              <w:rPr>
                <w:sz w:val="18"/>
                <w:szCs w:val="18"/>
                <w:color w:val="auto"/>
              </w:rPr>
            </w:pPr>
          </w:p>
        </w:tc>
        <w:tc>
          <w:tcPr>
            <w:tcW w:w="374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5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2019</w:t>
            </w:r>
          </w:p>
        </w:tc>
        <w:tc>
          <w:tcPr>
            <w:tcW w:w="374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Donato</w:t>
            </w:r>
          </w:p>
        </w:tc>
      </w:tr>
      <w:tr>
        <w:trPr>
          <w:trHeight w:val="191"/>
        </w:trPr>
        <w:tc>
          <w:tcPr>
            <w:tcW w:w="3500" w:type="dxa"/>
            <w:vAlign w:val="bottom"/>
          </w:tcPr>
          <w:p>
            <w:pPr>
              <w:spacing w:after="0"/>
              <w:rPr>
                <w:sz w:val="16"/>
                <w:szCs w:val="16"/>
                <w:color w:val="auto"/>
              </w:rPr>
            </w:pPr>
          </w:p>
        </w:tc>
        <w:tc>
          <w:tcPr>
            <w:tcW w:w="3740" w:type="dxa"/>
            <w:vAlign w:val="bottom"/>
          </w:tcPr>
          <w:p>
            <w:pPr>
              <w:ind w:left="28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Donato</w:t>
            </w:r>
          </w:p>
        </w:tc>
      </w:tr>
      <w:tr>
        <w:trPr>
          <w:trHeight w:val="216"/>
        </w:trPr>
        <w:tc>
          <w:tcPr>
            <w:tcW w:w="3500" w:type="dxa"/>
            <w:vAlign w:val="bottom"/>
          </w:tcPr>
          <w:p>
            <w:pPr>
              <w:spacing w:after="0"/>
              <w:rPr>
                <w:sz w:val="18"/>
                <w:szCs w:val="18"/>
                <w:color w:val="auto"/>
              </w:rPr>
            </w:pPr>
          </w:p>
        </w:tc>
        <w:tc>
          <w:tcPr>
            <w:tcW w:w="374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VP, Finance and Chief Financial Officer</w:t>
            </w:r>
          </w:p>
        </w:tc>
      </w:tr>
      <w:tr>
        <w:trPr>
          <w:trHeight w:val="234"/>
        </w:trPr>
        <w:tc>
          <w:tcPr>
            <w:tcW w:w="35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35"/>
        </w:trPr>
        <w:tc>
          <w:tcPr>
            <w:tcW w:w="3500" w:type="dxa"/>
            <w:vAlign w:val="bottom"/>
          </w:tcPr>
          <w:p>
            <w:pPr>
              <w:spacing w:after="0"/>
              <w:rPr>
                <w:sz w:val="24"/>
                <w:szCs w:val="24"/>
                <w:color w:val="auto"/>
              </w:rPr>
            </w:pPr>
          </w:p>
        </w:tc>
        <w:tc>
          <w:tcPr>
            <w:tcW w:w="37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35</w:t>
            </w:r>
          </w:p>
        </w:tc>
        <w:tc>
          <w:tcPr>
            <w:tcW w:w="418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Thatcher, certify that:</w:t>
      </w:r>
    </w:p>
    <w:p>
      <w:pPr>
        <w:spacing w:after="0" w:line="225" w:lineRule="exact"/>
        <w:rPr>
          <w:sz w:val="20"/>
          <w:szCs w:val="20"/>
          <w:color w:val="auto"/>
        </w:rPr>
      </w:pPr>
    </w:p>
    <w:p>
      <w:pPr>
        <w:ind w:left="620" w:hanging="612"/>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March 31, 2019 of Neuronetics, Inc.;</w:t>
      </w:r>
    </w:p>
    <w:p>
      <w:pPr>
        <w:spacing w:after="0" w:line="225" w:lineRule="exact"/>
        <w:rPr>
          <w:rFonts w:ascii="Times New Roman" w:cs="Times New Roman" w:eastAsia="Times New Roman" w:hAnsi="Times New Roman"/>
          <w:sz w:val="18"/>
          <w:szCs w:val="18"/>
          <w:color w:val="auto"/>
        </w:rPr>
      </w:pPr>
    </w:p>
    <w:p>
      <w:pPr>
        <w:jc w:val="both"/>
        <w:ind w:left="620" w:right="340" w:hanging="612"/>
        <w:spacing w:after="0" w:line="266" w:lineRule="auto"/>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20" w:right="300" w:hanging="612"/>
        <w:spacing w:after="0" w:line="282" w:lineRule="auto"/>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20" w:right="540" w:hanging="612"/>
        <w:spacing w:after="0" w:line="282" w:lineRule="auto"/>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220" w:right="160" w:hanging="604"/>
        <w:spacing w:after="0" w:line="266" w:lineRule="auto"/>
        <w:tabs>
          <w:tab w:leader="none" w:pos="12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220" w:right="460" w:hanging="604"/>
        <w:spacing w:after="0" w:line="282" w:lineRule="auto"/>
        <w:tabs>
          <w:tab w:leader="none" w:pos="12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220" w:right="20" w:hanging="604"/>
        <w:spacing w:after="0" w:line="266" w:lineRule="auto"/>
        <w:tabs>
          <w:tab w:leader="none" w:pos="12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20" w:right="240" w:hanging="612"/>
        <w:spacing w:after="0" w:line="282" w:lineRule="auto"/>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220" w:right="700" w:hanging="604"/>
        <w:spacing w:after="0" w:line="282" w:lineRule="auto"/>
        <w:tabs>
          <w:tab w:leader="none" w:pos="12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220" w:right="420" w:hanging="604"/>
        <w:spacing w:after="0" w:line="282" w:lineRule="auto"/>
        <w:tabs>
          <w:tab w:leader="none" w:pos="12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2019</w:t>
            </w:r>
          </w:p>
        </w:tc>
        <w:tc>
          <w:tcPr>
            <w:tcW w:w="26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Thatcher</w:t>
            </w:r>
          </w:p>
        </w:tc>
      </w:tr>
      <w:tr>
        <w:trPr>
          <w:trHeight w:val="191"/>
        </w:trPr>
        <w:tc>
          <w:tcPr>
            <w:tcW w:w="3260" w:type="dxa"/>
            <w:vAlign w:val="bottom"/>
          </w:tcPr>
          <w:p>
            <w:pPr>
              <w:spacing w:after="0"/>
              <w:rPr>
                <w:sz w:val="16"/>
                <w:szCs w:val="16"/>
                <w:color w:val="auto"/>
              </w:rPr>
            </w:pPr>
          </w:p>
        </w:tc>
        <w:tc>
          <w:tcPr>
            <w:tcW w:w="2640" w:type="dxa"/>
            <w:vAlign w:val="bottom"/>
          </w:tcPr>
          <w:p>
            <w:pPr>
              <w:ind w:left="19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Thatcher</w:t>
            </w:r>
          </w:p>
        </w:tc>
      </w:tr>
      <w:tr>
        <w:trPr>
          <w:trHeight w:val="216"/>
        </w:trPr>
        <w:tc>
          <w:tcPr>
            <w:tcW w:w="3260" w:type="dxa"/>
            <w:vAlign w:val="bottom"/>
          </w:tcPr>
          <w:p>
            <w:pPr>
              <w:spacing w:after="0"/>
              <w:rPr>
                <w:sz w:val="18"/>
                <w:szCs w:val="18"/>
                <w:color w:val="auto"/>
              </w:rPr>
            </w:pPr>
          </w:p>
        </w:tc>
        <w:tc>
          <w:tcPr>
            <w:tcW w:w="26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2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117"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Donato, certify that:</w:t>
      </w:r>
    </w:p>
    <w:p>
      <w:pPr>
        <w:spacing w:after="0" w:line="225" w:lineRule="exact"/>
        <w:rPr>
          <w:sz w:val="20"/>
          <w:szCs w:val="20"/>
          <w:color w:val="auto"/>
        </w:rPr>
      </w:pPr>
    </w:p>
    <w:p>
      <w:pPr>
        <w:ind w:left="620" w:hanging="612"/>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March 31, 2019 of Neuronetics, Inc.;</w:t>
      </w:r>
    </w:p>
    <w:p>
      <w:pPr>
        <w:spacing w:after="0" w:line="225" w:lineRule="exact"/>
        <w:rPr>
          <w:rFonts w:ascii="Times New Roman" w:cs="Times New Roman" w:eastAsia="Times New Roman" w:hAnsi="Times New Roman"/>
          <w:sz w:val="18"/>
          <w:szCs w:val="18"/>
          <w:color w:val="auto"/>
        </w:rPr>
      </w:pPr>
    </w:p>
    <w:p>
      <w:pPr>
        <w:jc w:val="both"/>
        <w:ind w:left="620" w:right="340" w:hanging="612"/>
        <w:spacing w:after="0" w:line="266" w:lineRule="auto"/>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20" w:right="300" w:hanging="612"/>
        <w:spacing w:after="0" w:line="282" w:lineRule="auto"/>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20" w:right="540" w:hanging="612"/>
        <w:spacing w:after="0" w:line="282" w:lineRule="auto"/>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220" w:right="160" w:hanging="604"/>
        <w:spacing w:after="0" w:line="266" w:lineRule="auto"/>
        <w:tabs>
          <w:tab w:leader="none" w:pos="12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220" w:right="460" w:hanging="604"/>
        <w:spacing w:after="0" w:line="282" w:lineRule="auto"/>
        <w:tabs>
          <w:tab w:leader="none" w:pos="12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220" w:right="20" w:hanging="604"/>
        <w:spacing w:after="0" w:line="266" w:lineRule="auto"/>
        <w:tabs>
          <w:tab w:leader="none" w:pos="12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20" w:right="240" w:hanging="612"/>
        <w:spacing w:after="0" w:line="282" w:lineRule="auto"/>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220" w:right="700" w:hanging="604"/>
        <w:spacing w:after="0" w:line="282" w:lineRule="auto"/>
        <w:tabs>
          <w:tab w:leader="none" w:pos="12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220" w:right="420" w:hanging="604"/>
        <w:spacing w:after="0" w:line="282" w:lineRule="auto"/>
        <w:tabs>
          <w:tab w:leader="none" w:pos="12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2019</w:t>
            </w:r>
          </w:p>
        </w:tc>
        <w:tc>
          <w:tcPr>
            <w:tcW w:w="26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Donato</w:t>
            </w:r>
          </w:p>
        </w:tc>
      </w:tr>
      <w:tr>
        <w:trPr>
          <w:trHeight w:val="191"/>
        </w:trPr>
        <w:tc>
          <w:tcPr>
            <w:tcW w:w="3260" w:type="dxa"/>
            <w:vAlign w:val="bottom"/>
          </w:tcPr>
          <w:p>
            <w:pPr>
              <w:spacing w:after="0"/>
              <w:rPr>
                <w:sz w:val="16"/>
                <w:szCs w:val="16"/>
                <w:color w:val="auto"/>
              </w:rPr>
            </w:pPr>
          </w:p>
        </w:tc>
        <w:tc>
          <w:tcPr>
            <w:tcW w:w="2640" w:type="dxa"/>
            <w:vAlign w:val="bottom"/>
          </w:tcPr>
          <w:p>
            <w:pPr>
              <w:ind w:left="19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Peter Donato</w:t>
            </w:r>
          </w:p>
        </w:tc>
      </w:tr>
      <w:tr>
        <w:trPr>
          <w:trHeight w:val="216"/>
        </w:trPr>
        <w:tc>
          <w:tcPr>
            <w:tcW w:w="3260" w:type="dxa"/>
            <w:vAlign w:val="bottom"/>
          </w:tcPr>
          <w:p>
            <w:pPr>
              <w:spacing w:after="0"/>
              <w:rPr>
                <w:sz w:val="18"/>
                <w:szCs w:val="18"/>
                <w:color w:val="auto"/>
              </w:rPr>
            </w:pPr>
          </w:p>
        </w:tc>
        <w:tc>
          <w:tcPr>
            <w:tcW w:w="26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VP, Finance and Chief Financial Officer</w:t>
            </w:r>
          </w:p>
        </w:tc>
      </w:tr>
      <w:tr>
        <w:trPr>
          <w:trHeight w:val="234"/>
        </w:trPr>
        <w:tc>
          <w:tcPr>
            <w:tcW w:w="32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420"/>
          </w:cols>
          <w:pgMar w:left="240" w:top="117"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60" w:firstLine="877"/>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Neuronetics, Inc. (the “Company”) for the fiscal quarter ended March 31, 2019 as filed with the Securities and Exchange Commission on the date hereof (the “Report”), I certify, pursuant to 18 U.S.C. Section 1350, as adopted pursuant to Section 906 of the Sarbanes-Oxley Act of 2002, that:</w:t>
      </w:r>
    </w:p>
    <w:p>
      <w:pPr>
        <w:spacing w:after="0" w:line="176" w:lineRule="exact"/>
        <w:rPr>
          <w:sz w:val="20"/>
          <w:szCs w:val="20"/>
          <w:color w:val="auto"/>
        </w:rPr>
      </w:pPr>
    </w:p>
    <w:p>
      <w:pPr>
        <w:ind w:left="1300" w:hanging="428"/>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580" w:hanging="428"/>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2019</w:t>
            </w:r>
          </w:p>
        </w:tc>
        <w:tc>
          <w:tcPr>
            <w:tcW w:w="338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Thatcher</w:t>
            </w:r>
          </w:p>
        </w:tc>
      </w:tr>
      <w:tr>
        <w:trPr>
          <w:trHeight w:val="191"/>
        </w:trPr>
        <w:tc>
          <w:tcPr>
            <w:tcW w:w="3860" w:type="dxa"/>
            <w:vAlign w:val="bottom"/>
          </w:tcPr>
          <w:p>
            <w:pPr>
              <w:spacing w:after="0"/>
              <w:rPr>
                <w:sz w:val="16"/>
                <w:szCs w:val="16"/>
                <w:color w:val="auto"/>
              </w:rPr>
            </w:pPr>
          </w:p>
        </w:tc>
        <w:tc>
          <w:tcPr>
            <w:tcW w:w="3380" w:type="dxa"/>
            <w:vAlign w:val="bottom"/>
          </w:tcPr>
          <w:p>
            <w:pPr>
              <w:ind w:left="25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Thatcher</w:t>
            </w:r>
          </w:p>
        </w:tc>
      </w:tr>
      <w:tr>
        <w:trPr>
          <w:trHeight w:val="216"/>
        </w:trPr>
        <w:tc>
          <w:tcPr>
            <w:tcW w:w="3860" w:type="dxa"/>
            <w:vAlign w:val="bottom"/>
          </w:tcPr>
          <w:p>
            <w:pPr>
              <w:spacing w:after="0"/>
              <w:rPr>
                <w:sz w:val="18"/>
                <w:szCs w:val="18"/>
                <w:color w:val="auto"/>
              </w:rPr>
            </w:pPr>
          </w:p>
        </w:tc>
        <w:tc>
          <w:tcPr>
            <w:tcW w:w="338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8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347"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60" w:firstLine="877"/>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Neuronetics, Inc. (the “Company”) for the fiscal quarter ended March 31, 2019 as filed with the Securities and Exchange Commission on the date hereof (the “Report”), I certify, pursuant to 18 U.S.C. Section 1350, as adopted pursuant to Section 906 of the Sarbanes-Oxley Act of 2002, that:</w:t>
      </w:r>
    </w:p>
    <w:p>
      <w:pPr>
        <w:spacing w:after="0" w:line="176" w:lineRule="exact"/>
        <w:rPr>
          <w:sz w:val="20"/>
          <w:szCs w:val="20"/>
          <w:color w:val="auto"/>
        </w:rPr>
      </w:pPr>
    </w:p>
    <w:p>
      <w:pPr>
        <w:ind w:left="1300" w:hanging="428"/>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580" w:hanging="428"/>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2019</w:t>
            </w:r>
          </w:p>
        </w:tc>
        <w:tc>
          <w:tcPr>
            <w:tcW w:w="338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Donato</w:t>
            </w:r>
          </w:p>
        </w:tc>
      </w:tr>
      <w:tr>
        <w:trPr>
          <w:trHeight w:val="191"/>
        </w:trPr>
        <w:tc>
          <w:tcPr>
            <w:tcW w:w="3860" w:type="dxa"/>
            <w:vAlign w:val="bottom"/>
          </w:tcPr>
          <w:p>
            <w:pPr>
              <w:spacing w:after="0"/>
              <w:rPr>
                <w:sz w:val="16"/>
                <w:szCs w:val="16"/>
                <w:color w:val="auto"/>
              </w:rPr>
            </w:pPr>
          </w:p>
        </w:tc>
        <w:tc>
          <w:tcPr>
            <w:tcW w:w="3380" w:type="dxa"/>
            <w:vAlign w:val="bottom"/>
          </w:tcPr>
          <w:p>
            <w:pPr>
              <w:ind w:left="25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Donato</w:t>
            </w:r>
          </w:p>
        </w:tc>
      </w:tr>
      <w:tr>
        <w:trPr>
          <w:trHeight w:val="216"/>
        </w:trPr>
        <w:tc>
          <w:tcPr>
            <w:tcW w:w="3860" w:type="dxa"/>
            <w:vAlign w:val="bottom"/>
          </w:tcPr>
          <w:p>
            <w:pPr>
              <w:spacing w:after="0"/>
              <w:rPr>
                <w:sz w:val="18"/>
                <w:szCs w:val="18"/>
                <w:color w:val="auto"/>
              </w:rPr>
            </w:pPr>
          </w:p>
        </w:tc>
        <w:tc>
          <w:tcPr>
            <w:tcW w:w="338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VP, Finance and Chief Financial Officer</w:t>
            </w:r>
          </w:p>
        </w:tc>
      </w:tr>
      <w:tr>
        <w:trPr>
          <w:trHeight w:val="234"/>
        </w:trPr>
        <w:tc>
          <w:tcPr>
            <w:tcW w:w="38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420"/>
      </w:cols>
      <w:pgMar w:left="240" w:top="3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upperLetter"/>
      <w:start w:val="24"/>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4"/>
    </w:lvl>
  </w:abstractNum>
  <w:abstractNum w:abstractNumId="9">
    <w:nsid w:val="519B500D"/>
    <w:multiLevelType w:val="hybridMultilevel"/>
    <w:lvl w:ilvl="0">
      <w:lvlJc w:val="left"/>
      <w:lvlText w:val="%1."/>
      <w:numFmt w:val="decimal"/>
      <w:start w:val="5"/>
    </w:lvl>
  </w:abstractNum>
  <w:abstractNum w:abstractNumId="10">
    <w:nsid w:val="431BD7B7"/>
    <w:multiLevelType w:val="hybridMultilevel"/>
    <w:lvl w:ilvl="0">
      <w:lvlJc w:val="left"/>
      <w:lvlText w:val="%1."/>
      <w:numFmt w:val="decimal"/>
      <w:start w:val="6"/>
    </w:lvl>
  </w:abstractNum>
  <w:abstractNum w:abstractNumId="11">
    <w:nsid w:val="3F2DBA31"/>
    <w:multiLevelType w:val="hybridMultilevel"/>
    <w:lvl w:ilvl="0">
      <w:lvlJc w:val="left"/>
      <w:lvlText w:val="%1."/>
      <w:numFmt w:val="decimal"/>
      <w:start w:val="7"/>
    </w:lvl>
  </w:abstractNum>
  <w:abstractNum w:abstractNumId="12">
    <w:nsid w:val="7C83E458"/>
    <w:multiLevelType w:val="hybridMultilevel"/>
    <w:lvl w:ilvl="0">
      <w:lvlJc w:val="left"/>
      <w:lvlText w:val="%1."/>
      <w:numFmt w:val="decimal"/>
      <w:start w:val="8"/>
    </w:lvl>
  </w:abstractNum>
  <w:abstractNum w:abstractNumId="13">
    <w:nsid w:val="257130A3"/>
    <w:multiLevelType w:val="hybridMultilevel"/>
    <w:lvl w:ilvl="0">
      <w:lvlJc w:val="left"/>
      <w:lvlText w:val="%1."/>
      <w:numFmt w:val="decimal"/>
      <w:start w:val="9"/>
    </w:lvl>
  </w:abstractNum>
  <w:abstractNum w:abstractNumId="14">
    <w:nsid w:val="62BBD95A"/>
    <w:multiLevelType w:val="hybridMultilevel"/>
    <w:lvl w:ilvl="0">
      <w:lvlJc w:val="left"/>
      <w:lvlText w:val="%1."/>
      <w:numFmt w:val="decimal"/>
      <w:start w:val="12"/>
    </w:lvl>
  </w:abstractNum>
  <w:abstractNum w:abstractNumId="15">
    <w:nsid w:val="436C6125"/>
    <w:multiLevelType w:val="hybridMultilevel"/>
    <w:lvl w:ilvl="0">
      <w:lvlJc w:val="left"/>
      <w:lvlText w:val="%1."/>
      <w:numFmt w:val="decimal"/>
      <w:start w:val="15"/>
    </w:lvl>
  </w:abstractNum>
  <w:abstractNum w:abstractNumId="16">
    <w:nsid w:val="628C895D"/>
    <w:multiLevelType w:val="hybridMultilevel"/>
    <w:lvl w:ilvl="0">
      <w:lvlJc w:val="left"/>
      <w:lvlText w:val="%1."/>
      <w:numFmt w:val="decimal"/>
      <w:start w:val="16"/>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lowerRoman"/>
      <w:start w:val="2"/>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2019-12-28T12:49:01Z</dcterms:created>
  <dcterms:modified xsi:type="dcterms:W3CDTF">2019-12-28T12:49:01Z</dcterms:modified>
</cp:coreProperties>
</file>