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-130175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4"/>
          <w:szCs w:val="24"/>
          <w:color w:val="auto"/>
        </w:rPr>
      </w:pPr>
    </w:p>
    <w:p>
      <w:pPr>
        <w:ind w:left="4080" w:right="2180" w:hanging="4072"/>
        <w:spacing w:after="0" w:line="261" w:lineRule="auto"/>
        <w:tabs>
          <w:tab w:leader="none" w:pos="52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2018</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3880" w:right="2160" w:hanging="3872"/>
        <w:spacing w:after="0" w:line="277" w:lineRule="auto"/>
        <w:tabs>
          <w:tab w:leader="none" w:pos="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 to 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NEURONETICS,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6" w:lineRule="exact"/>
        <w:rPr>
          <w:sz w:val="24"/>
          <w:szCs w:val="24"/>
          <w:color w:val="auto"/>
        </w:rPr>
      </w:pPr>
    </w:p>
    <w:tbl>
      <w:tblPr>
        <w:tblLayout w:type="fixed"/>
        <w:tblInd w:w="1460" w:type="dxa"/>
        <w:tblCellMar>
          <w:top w:w="0" w:type="dxa"/>
          <w:left w:w="0" w:type="dxa"/>
          <w:bottom w:w="0" w:type="dxa"/>
          <w:right w:w="0" w:type="dxa"/>
        </w:tblCellMar>
      </w:tblPr>
      <w:tr>
        <w:trPr>
          <w:trHeight w:val="216"/>
        </w:trPr>
        <w:tc>
          <w:tcPr>
            <w:tcW w:w="5920" w:type="dxa"/>
            <w:vAlign w:val="bottom"/>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jc w:val="right"/>
              <w:ind w:right="539"/>
              <w:spacing w:after="0"/>
              <w:rPr>
                <w:sz w:val="20"/>
                <w:szCs w:val="20"/>
                <w:color w:val="auto"/>
              </w:rPr>
            </w:pPr>
            <w:r>
              <w:rPr>
                <w:rFonts w:ascii="Arial" w:cs="Arial" w:eastAsia="Arial" w:hAnsi="Arial"/>
                <w:sz w:val="18"/>
                <w:szCs w:val="18"/>
                <w:b w:val="1"/>
                <w:bCs w:val="1"/>
                <w:color w:val="auto"/>
              </w:rPr>
              <w:t>33-1051425</w:t>
            </w:r>
          </w:p>
        </w:tc>
      </w:tr>
      <w:tr>
        <w:trPr>
          <w:trHeight w:val="149"/>
        </w:trPr>
        <w:tc>
          <w:tcPr>
            <w:tcW w:w="5920" w:type="dxa"/>
            <w:vAlign w:val="bottom"/>
          </w:tcPr>
          <w:p>
            <w:pPr>
              <w:jc w:val="center"/>
              <w:ind w:right="3040"/>
              <w:spacing w:after="0" w:line="149" w:lineRule="exact"/>
              <w:rPr>
                <w:sz w:val="20"/>
                <w:szCs w:val="20"/>
                <w:color w:val="auto"/>
              </w:rPr>
            </w:pPr>
            <w:r>
              <w:rPr>
                <w:rFonts w:ascii="Arial" w:cs="Arial" w:eastAsia="Arial" w:hAnsi="Arial"/>
                <w:sz w:val="14"/>
                <w:szCs w:val="14"/>
                <w:color w:val="auto"/>
                <w:w w:val="95"/>
              </w:rPr>
              <w:t>(State or other jurisdiction of</w:t>
            </w:r>
          </w:p>
        </w:tc>
        <w:tc>
          <w:tcPr>
            <w:tcW w:w="2240" w:type="dxa"/>
            <w:vAlign w:val="bottom"/>
          </w:tcPr>
          <w:p>
            <w:pPr>
              <w:jc w:val="center"/>
              <w:ind w:left="5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5920" w:type="dxa"/>
            <w:vAlign w:val="bottom"/>
          </w:tcPr>
          <w:p>
            <w:pPr>
              <w:jc w:val="center"/>
              <w:ind w:right="3020"/>
              <w:spacing w:after="0"/>
              <w:rPr>
                <w:sz w:val="20"/>
                <w:szCs w:val="20"/>
                <w:color w:val="auto"/>
              </w:rPr>
            </w:pPr>
            <w:r>
              <w:rPr>
                <w:rFonts w:ascii="Arial" w:cs="Arial" w:eastAsia="Arial" w:hAnsi="Arial"/>
                <w:sz w:val="14"/>
                <w:szCs w:val="14"/>
                <w:color w:val="auto"/>
                <w:w w:val="95"/>
              </w:rPr>
              <w:t>incorporation or organization)</w:t>
            </w:r>
          </w:p>
        </w:tc>
        <w:tc>
          <w:tcPr>
            <w:tcW w:w="2240" w:type="dxa"/>
            <w:vAlign w:val="bottom"/>
          </w:tcPr>
          <w:p>
            <w:pPr>
              <w:spacing w:after="0"/>
              <w:rPr>
                <w:sz w:val="15"/>
                <w:szCs w:val="15"/>
                <w:color w:val="auto"/>
              </w:rPr>
            </w:pPr>
          </w:p>
        </w:tc>
      </w:tr>
      <w:tr>
        <w:trPr>
          <w:trHeight w:val="398"/>
        </w:trPr>
        <w:tc>
          <w:tcPr>
            <w:tcW w:w="5920" w:type="dxa"/>
            <w:vAlign w:val="bottom"/>
          </w:tcPr>
          <w:p>
            <w:pPr>
              <w:jc w:val="center"/>
              <w:ind w:right="3040"/>
              <w:spacing w:after="0"/>
              <w:rPr>
                <w:sz w:val="20"/>
                <w:szCs w:val="20"/>
                <w:color w:val="auto"/>
              </w:rPr>
            </w:pPr>
            <w:r>
              <w:rPr>
                <w:rFonts w:ascii="Arial" w:cs="Arial" w:eastAsia="Arial" w:hAnsi="Arial"/>
                <w:sz w:val="18"/>
                <w:szCs w:val="18"/>
                <w:b w:val="1"/>
                <w:bCs w:val="1"/>
                <w:color w:val="auto"/>
                <w:w w:val="91"/>
              </w:rPr>
              <w:t>3222 Phoenixville Pike, Malvern, PA</w:t>
            </w:r>
          </w:p>
        </w:tc>
        <w:tc>
          <w:tcPr>
            <w:tcW w:w="2240" w:type="dxa"/>
            <w:vAlign w:val="bottom"/>
          </w:tcPr>
          <w:p>
            <w:pPr>
              <w:jc w:val="right"/>
              <w:ind w:right="739"/>
              <w:spacing w:after="0"/>
              <w:rPr>
                <w:sz w:val="20"/>
                <w:szCs w:val="20"/>
                <w:color w:val="auto"/>
              </w:rPr>
            </w:pPr>
            <w:r>
              <w:rPr>
                <w:rFonts w:ascii="Arial" w:cs="Arial" w:eastAsia="Arial" w:hAnsi="Arial"/>
                <w:sz w:val="18"/>
                <w:szCs w:val="18"/>
                <w:b w:val="1"/>
                <w:bCs w:val="1"/>
                <w:color w:val="auto"/>
              </w:rPr>
              <w:t>19355</w:t>
            </w:r>
          </w:p>
        </w:tc>
      </w:tr>
      <w:tr>
        <w:trPr>
          <w:trHeight w:val="182"/>
        </w:trPr>
        <w:tc>
          <w:tcPr>
            <w:tcW w:w="5920" w:type="dxa"/>
            <w:vAlign w:val="bottom"/>
          </w:tcPr>
          <w:p>
            <w:pPr>
              <w:jc w:val="center"/>
              <w:ind w:right="3040"/>
              <w:spacing w:after="0"/>
              <w:rPr>
                <w:sz w:val="20"/>
                <w:szCs w:val="20"/>
                <w:color w:val="auto"/>
              </w:rPr>
            </w:pPr>
            <w:r>
              <w:rPr>
                <w:rFonts w:ascii="Arial" w:cs="Arial" w:eastAsia="Arial" w:hAnsi="Arial"/>
                <w:sz w:val="14"/>
                <w:szCs w:val="14"/>
                <w:color w:val="auto"/>
                <w:w w:val="95"/>
              </w:rPr>
              <w:t>(Address of principal executive offices)</w:t>
            </w:r>
          </w:p>
        </w:tc>
        <w:tc>
          <w:tcPr>
            <w:tcW w:w="2240" w:type="dxa"/>
            <w:vAlign w:val="bottom"/>
          </w:tcPr>
          <w:p>
            <w:pPr>
              <w:jc w:val="center"/>
              <w:ind w:left="59"/>
              <w:spacing w:after="0"/>
              <w:rPr>
                <w:sz w:val="20"/>
                <w:szCs w:val="20"/>
                <w:color w:val="auto"/>
              </w:rPr>
            </w:pPr>
            <w:r>
              <w:rPr>
                <w:rFonts w:ascii="Arial" w:cs="Arial" w:eastAsia="Arial" w:hAnsi="Arial"/>
                <w:sz w:val="14"/>
                <w:szCs w:val="14"/>
                <w:color w:val="auto"/>
                <w:w w:val="93"/>
              </w:rPr>
              <w:t>(Zip Code)</w:t>
            </w:r>
          </w:p>
        </w:tc>
      </w:tr>
      <w:tr>
        <w:trPr>
          <w:trHeight w:val="290"/>
        </w:trPr>
        <w:tc>
          <w:tcPr>
            <w:tcW w:w="5920" w:type="dxa"/>
            <w:vAlign w:val="bottom"/>
          </w:tcPr>
          <w:p>
            <w:pPr>
              <w:jc w:val="right"/>
              <w:ind w:right="1020"/>
              <w:spacing w:after="0"/>
              <w:rPr>
                <w:sz w:val="20"/>
                <w:szCs w:val="20"/>
                <w:color w:val="auto"/>
              </w:rPr>
            </w:pPr>
            <w:r>
              <w:rPr>
                <w:rFonts w:ascii="Arial" w:cs="Arial" w:eastAsia="Arial" w:hAnsi="Arial"/>
                <w:sz w:val="18"/>
                <w:szCs w:val="18"/>
                <w:b w:val="1"/>
                <w:bCs w:val="1"/>
                <w:color w:val="auto"/>
              </w:rPr>
              <w:t>(610) 640-4202</w:t>
            </w:r>
          </w:p>
        </w:tc>
        <w:tc>
          <w:tcPr>
            <w:tcW w:w="2240" w:type="dxa"/>
            <w:vAlign w:val="bottom"/>
          </w:tcPr>
          <w:p>
            <w:pPr>
              <w:spacing w:after="0"/>
              <w:rPr>
                <w:sz w:val="24"/>
                <w:szCs w:val="24"/>
                <w:color w:val="auto"/>
              </w:rPr>
            </w:pPr>
          </w:p>
        </w:tc>
      </w:tr>
      <w:tr>
        <w:trPr>
          <w:trHeight w:val="182"/>
        </w:trPr>
        <w:tc>
          <w:tcPr>
            <w:tcW w:w="5920" w:type="dxa"/>
            <w:vAlign w:val="bottom"/>
          </w:tcPr>
          <w:p>
            <w:pPr>
              <w:jc w:val="center"/>
              <w:ind w:left="2520"/>
              <w:spacing w:after="0"/>
              <w:rPr>
                <w:sz w:val="20"/>
                <w:szCs w:val="20"/>
                <w:color w:val="auto"/>
              </w:rPr>
            </w:pPr>
            <w:r>
              <w:rPr>
                <w:rFonts w:ascii="Arial" w:cs="Arial" w:eastAsia="Arial" w:hAnsi="Arial"/>
                <w:sz w:val="14"/>
                <w:szCs w:val="14"/>
                <w:color w:val="auto"/>
                <w:w w:val="92"/>
              </w:rPr>
              <w:t>(Registrant’s telephone number, including area code)</w:t>
            </w:r>
          </w:p>
        </w:tc>
        <w:tc>
          <w:tcPr>
            <w:tcW w:w="2240" w:type="dxa"/>
            <w:vAlign w:val="bottom"/>
          </w:tcPr>
          <w:p>
            <w:pPr>
              <w:spacing w:after="0"/>
              <w:rPr>
                <w:sz w:val="15"/>
                <w:szCs w:val="15"/>
                <w:color w:val="auto"/>
              </w:rPr>
            </w:pP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0"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7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80" w:type="dxa"/>
            <w:vAlign w:val="bottom"/>
          </w:tcPr>
          <w:p>
            <w:pPr>
              <w:ind w:left="340"/>
              <w:spacing w:after="0"/>
              <w:rPr>
                <w:sz w:val="20"/>
                <w:szCs w:val="20"/>
                <w:color w:val="auto"/>
              </w:rPr>
            </w:pPr>
            <w:r>
              <w:rPr>
                <w:rFonts w:ascii="Arial" w:cs="Arial" w:eastAsia="Arial" w:hAnsi="Arial"/>
                <w:sz w:val="18"/>
                <w:szCs w:val="18"/>
                <w:color w:val="auto"/>
              </w:rPr>
              <w:t>[  ]</w:t>
            </w:r>
          </w:p>
        </w:tc>
        <w:tc>
          <w:tcPr>
            <w:tcW w:w="3520" w:type="dxa"/>
            <w:vAlign w:val="bottom"/>
          </w:tcPr>
          <w:p>
            <w:pPr>
              <w:ind w:left="12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280" w:type="dxa"/>
            <w:vAlign w:val="bottom"/>
          </w:tcPr>
          <w:p>
            <w:pPr>
              <w:ind w:left="340"/>
              <w:spacing w:after="0"/>
              <w:rPr>
                <w:sz w:val="20"/>
                <w:szCs w:val="20"/>
                <w:color w:val="auto"/>
              </w:rPr>
            </w:pPr>
            <w:r>
              <w:rPr>
                <w:rFonts w:ascii="Arial" w:cs="Arial" w:eastAsia="Arial" w:hAnsi="Arial"/>
                <w:sz w:val="18"/>
                <w:szCs w:val="18"/>
                <w:color w:val="auto"/>
              </w:rPr>
              <w:t>[X] (Do not check if a smaller reporting company)</w:t>
            </w:r>
          </w:p>
        </w:tc>
        <w:tc>
          <w:tcPr>
            <w:tcW w:w="3520" w:type="dxa"/>
            <w:vAlign w:val="bottom"/>
          </w:tcPr>
          <w:p>
            <w:pPr>
              <w:ind w:left="12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9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520" w:type="dxa"/>
            <w:vAlign w:val="bottom"/>
          </w:tcPr>
          <w:p>
            <w:pPr>
              <w:ind w:left="1220"/>
              <w:spacing w:after="0"/>
              <w:rPr>
                <w:sz w:val="20"/>
                <w:szCs w:val="20"/>
                <w:color w:val="auto"/>
              </w:rPr>
            </w:pPr>
            <w:r>
              <w:rPr>
                <w:rFonts w:ascii="Arial" w:cs="Arial" w:eastAsia="Arial" w:hAnsi="Arial"/>
                <w:sz w:val="18"/>
                <w:szCs w:val="18"/>
                <w:color w:val="auto"/>
              </w:rPr>
              <w:t>Emerging growth company</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[X]</w:t>
            </w:r>
          </w:p>
        </w:tc>
      </w:tr>
    </w:tbl>
    <w:p>
      <w:pPr>
        <w:spacing w:after="0" w:line="10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2" w:lineRule="exact"/>
        <w:rPr>
          <w:sz w:val="24"/>
          <w:szCs w:val="24"/>
          <w:color w:val="auto"/>
        </w:rPr>
      </w:pPr>
    </w:p>
    <w:p>
      <w:pPr>
        <w:ind w:right="186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 There were 17,577,047 shares of the registrant’s common stock outstanding as of July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quarterly period ended June 30, 2018</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0" w:type="dxa"/>
            <w:vAlign w:val="bottom"/>
            <w:gridSpan w:val="12"/>
            <w:vMerge w:val="restart"/>
          </w:tcPr>
          <w:p>
            <w:pPr>
              <w:jc w:val="center"/>
              <w:ind w:right="3500"/>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0" w:type="dxa"/>
            <w:vAlign w:val="bottom"/>
            <w:gridSpan w:val="12"/>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line="194" w:lineRule="exact"/>
              <w:rPr>
                <w:sz w:val="20"/>
                <w:szCs w:val="20"/>
                <w:color w:val="auto"/>
              </w:rPr>
            </w:pPr>
            <w:r>
              <w:rPr>
                <w:rFonts w:ascii="Arial" w:cs="Arial" w:eastAsia="Arial" w:hAnsi="Arial"/>
                <w:sz w:val="18"/>
                <w:szCs w:val="18"/>
                <w:b w:val="1"/>
                <w:bCs w:val="1"/>
                <w:color w:val="auto"/>
              </w:rPr>
              <w:t>Item 1.</w:t>
            </w:r>
          </w:p>
        </w:tc>
        <w:tc>
          <w:tcPr>
            <w:tcW w:w="440" w:type="dxa"/>
            <w:vAlign w:val="bottom"/>
          </w:tcPr>
          <w:p>
            <w:pPr>
              <w:spacing w:after="0"/>
              <w:rPr>
                <w:sz w:val="16"/>
                <w:szCs w:val="16"/>
                <w:color w:val="auto"/>
              </w:rPr>
            </w:pPr>
          </w:p>
        </w:tc>
        <w:tc>
          <w:tcPr>
            <w:tcW w:w="8960" w:type="dxa"/>
            <w:vAlign w:val="bottom"/>
            <w:gridSpan w:val="20"/>
          </w:tcPr>
          <w:p>
            <w:pPr>
              <w:spacing w:after="0" w:line="194"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92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Balance Sheets as of June 30, 2018 and December 31, 2017</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Operations for the Three and Six Months ended June 30, 2018 and 2017</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 of Changes in Convertible Preferred Stock and Stockholders’ Deficit for the Six Months ended June 30, 2018</w:t>
              </w:r>
            </w:hyperlink>
          </w:p>
        </w:tc>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Statements of Cash Flows for the Six Months ended June 30, 2018 and 2017</w:t>
              </w:r>
            </w:hyperlink>
          </w:p>
        </w:tc>
        <w:tc>
          <w:tcPr>
            <w:tcW w:w="3240" w:type="dxa"/>
            <w:vAlign w:val="bottom"/>
            <w:gridSpan w:val="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Financial Statements</w:t>
              </w:r>
            </w:hyperlink>
          </w:p>
        </w:tc>
        <w:tc>
          <w:tcPr>
            <w:tcW w:w="6020" w:type="dxa"/>
            <w:vAlign w:val="bottom"/>
            <w:gridSpan w:val="10"/>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40" w:type="dxa"/>
            <w:vAlign w:val="bottom"/>
          </w:tcPr>
          <w:p>
            <w:pPr>
              <w:spacing w:after="0"/>
              <w:rPr>
                <w:sz w:val="24"/>
                <w:szCs w:val="24"/>
                <w:color w:val="auto"/>
              </w:rPr>
            </w:pPr>
          </w:p>
        </w:tc>
        <w:tc>
          <w:tcPr>
            <w:tcW w:w="6880" w:type="dxa"/>
            <w:vAlign w:val="bottom"/>
            <w:tcBorders>
              <w:bottom w:val="single" w:sz="8" w:color="0000EE"/>
            </w:tcBorders>
            <w:gridSpan w:val="18"/>
          </w:tcPr>
          <w:p>
            <w:pPr>
              <w:spacing w:after="0"/>
              <w:rPr>
                <w:rFonts w:ascii="Arial" w:cs="Arial" w:eastAsia="Arial" w:hAnsi="Arial"/>
                <w:sz w:val="18"/>
                <w:szCs w:val="18"/>
                <w:b w:val="1"/>
                <w:bCs w:val="1"/>
                <w:color w:val="0000EE"/>
                <w:w w:val="89"/>
              </w:rPr>
            </w:pPr>
            <w:hyperlink w:anchor="page20">
              <w:r>
                <w:rPr>
                  <w:rFonts w:ascii="Arial" w:cs="Arial" w:eastAsia="Arial" w:hAnsi="Arial"/>
                  <w:sz w:val="18"/>
                  <w:szCs w:val="18"/>
                  <w:b w:val="1"/>
                  <w:bCs w:val="1"/>
                  <w:color w:val="0000EE"/>
                  <w:w w:val="89"/>
                </w:rPr>
                <w:t>Management’s Discussion and Analysis of Financial Condition and Results of Operations.</w:t>
              </w:r>
            </w:hyperlink>
          </w:p>
        </w:tc>
        <w:tc>
          <w:tcPr>
            <w:tcW w:w="208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440" w:type="dxa"/>
            <w:vAlign w:val="bottom"/>
          </w:tcPr>
          <w:p>
            <w:pPr>
              <w:spacing w:after="0"/>
              <w:rPr>
                <w:sz w:val="24"/>
                <w:szCs w:val="24"/>
                <w:color w:val="auto"/>
              </w:rPr>
            </w:pPr>
          </w:p>
        </w:tc>
        <w:tc>
          <w:tcPr>
            <w:tcW w:w="8960" w:type="dxa"/>
            <w:vAlign w:val="bottom"/>
            <w:gridSpan w:val="20"/>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Quantitative and Qualitative Disclosures About Market Risk.</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440" w:type="dxa"/>
            <w:vAlign w:val="bottom"/>
          </w:tcPr>
          <w:p>
            <w:pPr>
              <w:spacing w:after="0"/>
              <w:rPr>
                <w:sz w:val="24"/>
                <w:szCs w:val="24"/>
                <w:color w:val="auto"/>
              </w:rPr>
            </w:pPr>
          </w:p>
        </w:tc>
        <w:tc>
          <w:tcPr>
            <w:tcW w:w="470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Controls and Procedures.</w:t>
              </w:r>
            </w:hyperlink>
          </w:p>
        </w:tc>
        <w:tc>
          <w:tcPr>
            <w:tcW w:w="4260" w:type="dxa"/>
            <w:vAlign w:val="bottom"/>
            <w:gridSpan w:val="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0" w:type="dxa"/>
            <w:vAlign w:val="bottom"/>
            <w:gridSpan w:val="12"/>
          </w:tcPr>
          <w:p>
            <w:pPr>
              <w:jc w:val="center"/>
              <w:ind w:right="350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440" w:type="dxa"/>
            <w:vAlign w:val="bottom"/>
          </w:tcPr>
          <w:p>
            <w:pPr>
              <w:spacing w:after="0"/>
              <w:rPr>
                <w:sz w:val="24"/>
                <w:szCs w:val="24"/>
                <w:color w:val="auto"/>
              </w:rPr>
            </w:pPr>
          </w:p>
        </w:tc>
        <w:tc>
          <w:tcPr>
            <w:tcW w:w="896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Legal Proceedings.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440" w:type="dxa"/>
            <w:vAlign w:val="bottom"/>
          </w:tcPr>
          <w:p>
            <w:pPr>
              <w:spacing w:after="0"/>
              <w:rPr>
                <w:sz w:val="24"/>
                <w:szCs w:val="24"/>
                <w:color w:val="auto"/>
              </w:rPr>
            </w:pPr>
          </w:p>
        </w:tc>
        <w:tc>
          <w:tcPr>
            <w:tcW w:w="10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7520" w:type="dxa"/>
            <w:vAlign w:val="bottom"/>
            <w:gridSpan w:val="1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40" w:type="dxa"/>
            <w:vAlign w:val="bottom"/>
          </w:tcPr>
          <w:p>
            <w:pPr>
              <w:spacing w:after="0"/>
              <w:rPr>
                <w:sz w:val="24"/>
                <w:szCs w:val="24"/>
                <w:color w:val="auto"/>
              </w:rPr>
            </w:pPr>
          </w:p>
        </w:tc>
        <w:tc>
          <w:tcPr>
            <w:tcW w:w="462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33">
              <w:r>
                <w:rPr>
                  <w:rFonts w:ascii="Arial" w:cs="Arial" w:eastAsia="Arial" w:hAnsi="Arial"/>
                  <w:sz w:val="18"/>
                  <w:szCs w:val="18"/>
                  <w:b w:val="1"/>
                  <w:bCs w:val="1"/>
                  <w:color w:val="0000EE"/>
                  <w:w w:val="87"/>
                </w:rPr>
                <w:t>Unregistered Sales of Equity Securities and Use of Proceeds.</w:t>
              </w:r>
            </w:hyperlink>
          </w:p>
        </w:tc>
        <w:tc>
          <w:tcPr>
            <w:tcW w:w="434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440" w:type="dxa"/>
            <w:vAlign w:val="bottom"/>
          </w:tcPr>
          <w:p>
            <w:pPr>
              <w:spacing w:after="0"/>
              <w:rPr>
                <w:sz w:val="24"/>
                <w:szCs w:val="24"/>
                <w:color w:val="auto"/>
              </w:rPr>
            </w:pPr>
          </w:p>
        </w:tc>
        <w:tc>
          <w:tcPr>
            <w:tcW w:w="896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Defaults Upon Senior Securities.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440" w:type="dxa"/>
            <w:vAlign w:val="bottom"/>
          </w:tcPr>
          <w:p>
            <w:pPr>
              <w:spacing w:after="0"/>
              <w:rPr>
                <w:sz w:val="24"/>
                <w:szCs w:val="24"/>
                <w:color w:val="auto"/>
              </w:rPr>
            </w:pPr>
          </w:p>
        </w:tc>
        <w:tc>
          <w:tcPr>
            <w:tcW w:w="896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Mine Safety Disclosures.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440" w:type="dxa"/>
            <w:vAlign w:val="bottom"/>
          </w:tcPr>
          <w:p>
            <w:pPr>
              <w:spacing w:after="0"/>
              <w:rPr>
                <w:sz w:val="24"/>
                <w:szCs w:val="24"/>
                <w:color w:val="auto"/>
              </w:rPr>
            </w:pPr>
          </w:p>
        </w:tc>
        <w:tc>
          <w:tcPr>
            <w:tcW w:w="186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7100" w:type="dxa"/>
            <w:vAlign w:val="bottom"/>
            <w:gridSpan w:val="1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440" w:type="dxa"/>
            <w:vAlign w:val="bottom"/>
          </w:tcPr>
          <w:p>
            <w:pPr>
              <w:spacing w:after="0"/>
              <w:rPr>
                <w:sz w:val="24"/>
                <w:szCs w:val="24"/>
                <w:color w:val="auto"/>
              </w:rPr>
            </w:pPr>
          </w:p>
        </w:tc>
        <w:tc>
          <w:tcPr>
            <w:tcW w:w="148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Exhibits.</w:t>
              </w:r>
            </w:hyperlink>
          </w:p>
        </w:tc>
        <w:tc>
          <w:tcPr>
            <w:tcW w:w="7480" w:type="dxa"/>
            <w:vAlign w:val="bottom"/>
            <w:gridSpan w:val="1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60" w:type="dxa"/>
            <w:vAlign w:val="bottom"/>
            <w:gridSpan w:val="9"/>
          </w:tcPr>
          <w:p>
            <w:pPr>
              <w:jc w:val="right"/>
              <w:ind w:right="4760"/>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SIGNATURES</w:t>
              </w:r>
            </w:hyperlink>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1120" w:type="dxa"/>
            <w:vAlign w:val="bottom"/>
          </w:tcPr>
          <w:p>
            <w:pPr>
              <w:spacing w:after="0"/>
              <w:rPr>
                <w:sz w:val="24"/>
                <w:szCs w:val="24"/>
                <w:color w:val="auto"/>
              </w:rPr>
            </w:pPr>
          </w:p>
        </w:tc>
        <w:tc>
          <w:tcPr>
            <w:tcW w:w="3540" w:type="dxa"/>
            <w:vAlign w:val="bottom"/>
            <w:gridSpan w:val="12"/>
          </w:tcPr>
          <w:p>
            <w:pPr>
              <w:spacing w:after="0"/>
              <w:rPr>
                <w:sz w:val="24"/>
                <w:szCs w:val="24"/>
                <w:color w:val="auto"/>
              </w:rPr>
            </w:pPr>
          </w:p>
        </w:tc>
        <w:tc>
          <w:tcPr>
            <w:tcW w:w="11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0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gridSpan w:val="2"/>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0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rPr>
              <w:t>NEURONETICS, INC.</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700" w:type="dxa"/>
            <w:vAlign w:val="bottom"/>
          </w:tcPr>
          <w:p>
            <w:pPr>
              <w:jc w:val="center"/>
              <w:ind w:right="1270"/>
              <w:spacing w:after="0"/>
              <w:rPr>
                <w:sz w:val="20"/>
                <w:szCs w:val="20"/>
                <w:color w:val="auto"/>
              </w:rPr>
            </w:pPr>
            <w:r>
              <w:rPr>
                <w:rFonts w:ascii="Arial" w:cs="Arial" w:eastAsia="Arial" w:hAnsi="Arial"/>
                <w:sz w:val="18"/>
                <w:szCs w:val="18"/>
                <w:b w:val="1"/>
                <w:bCs w:val="1"/>
                <w:color w:val="auto"/>
                <w:w w:val="85"/>
              </w:rPr>
              <w:t>Balance Sheets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0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400" w:type="dxa"/>
            <w:vAlign w:val="bottom"/>
            <w:tcBorders>
              <w:bottom w:val="single" w:sz="8" w:color="CFF0FC"/>
            </w:tcBorders>
          </w:tcPr>
          <w:p>
            <w:pPr>
              <w:spacing w:after="0"/>
              <w:rPr>
                <w:sz w:val="14"/>
                <w:szCs w:val="14"/>
                <w:color w:val="auto"/>
              </w:rPr>
            </w:pPr>
          </w:p>
        </w:tc>
        <w:tc>
          <w:tcPr>
            <w:tcW w:w="27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440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5"/>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710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20" w:type="dxa"/>
            <w:vAlign w:val="bottom"/>
            <w:tcBorders>
              <w:bottom w:val="single" w:sz="8" w:color="auto"/>
            </w:tcBorders>
            <w:gridSpan w:val="3"/>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90"/>
              </w:rPr>
              <w:t>Liabilities, Convertible Preferred Stock and Stockholders’ Deficit</w:t>
            </w:r>
          </w:p>
        </w:tc>
        <w:tc>
          <w:tcPr>
            <w:tcW w:w="27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5"/>
          </w:tcPr>
          <w:p>
            <w:pPr>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Convertible preferred stock warrant liability</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10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Convertible preferred stock, $0.01 par value: 308,593 shares authorized, issuable in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4"/>
          </w:tcPr>
          <w:p>
            <w:pPr>
              <w:ind w:left="120"/>
              <w:spacing w:after="0"/>
              <w:rPr>
                <w:sz w:val="20"/>
                <w:szCs w:val="20"/>
                <w:color w:val="auto"/>
              </w:rPr>
            </w:pPr>
            <w:r>
              <w:rPr>
                <w:rFonts w:ascii="Arial" w:cs="Arial" w:eastAsia="Arial" w:hAnsi="Arial"/>
                <w:sz w:val="18"/>
                <w:szCs w:val="18"/>
                <w:color w:val="auto"/>
              </w:rPr>
              <w:t>series; 304,958 shares issued and outstanding at June 30, 2018 and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Borders>
              <w:bottom w:val="single" w:sz="8" w:color="CFF0FC"/>
            </w:tcBorders>
            <w:gridSpan w:val="4"/>
          </w:tcPr>
          <w:p>
            <w:pPr>
              <w:ind w:left="120"/>
              <w:spacing w:after="0"/>
              <w:rPr>
                <w:sz w:val="20"/>
                <w:szCs w:val="20"/>
                <w:color w:val="auto"/>
              </w:rPr>
            </w:pPr>
            <w:r>
              <w:rPr>
                <w:rFonts w:ascii="Arial" w:cs="Arial" w:eastAsia="Arial" w:hAnsi="Arial"/>
                <w:sz w:val="18"/>
                <w:szCs w:val="18"/>
                <w:color w:val="auto"/>
              </w:rPr>
              <w:t>December 31, 2017; aggregate liquidation value of $108,324 at June 30, 2018</w:t>
            </w: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187,136</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187,136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Preferred stock, $0.01 par value: no shares authorized, issued or outstanding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4"/>
          </w:tcPr>
          <w:p>
            <w:pPr>
              <w:ind w:left="360"/>
              <w:spacing w:after="0"/>
              <w:rPr>
                <w:sz w:val="20"/>
                <w:szCs w:val="20"/>
                <w:color w:val="auto"/>
              </w:rPr>
            </w:pPr>
            <w:r>
              <w:rPr>
                <w:rFonts w:ascii="Arial" w:cs="Arial" w:eastAsia="Arial" w:hAnsi="Arial"/>
                <w:sz w:val="18"/>
                <w:szCs w:val="18"/>
                <w:color w:val="auto"/>
              </w:rPr>
              <w:t>at June 30, 2018 and December 31, 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Common stock, $0.01 par value: 413,918 shares authorized; 257 and 231 shares</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rPr>
              <w:t>issued and outstanding at June 30, 2018 and December 31, 2017, respectively</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(209,939)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10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Total Stockholder’s Deficit</w:t>
            </w: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1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of common stock outstanding, basic and diluted</w:t>
            </w: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Statement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4"/>
                <w:szCs w:val="14"/>
                <w:color w:val="auto"/>
              </w:rPr>
            </w:pPr>
          </w:p>
        </w:tc>
        <w:tc>
          <w:tcPr>
            <w:tcW w:w="1960" w:type="dxa"/>
            <w:vAlign w:val="bottom"/>
            <w:gridSpan w:val="3"/>
            <w:vMerge w:val="restart"/>
          </w:tcPr>
          <w:p>
            <w:pPr>
              <w:jc w:val="right"/>
              <w:ind w:right="356"/>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26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Preferred Stock</w:t>
            </w:r>
          </w:p>
        </w:tc>
        <w:tc>
          <w:tcPr>
            <w:tcW w:w="10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Paid-in</w:t>
            </w:r>
          </w:p>
        </w:tc>
        <w:tc>
          <w:tcPr>
            <w:tcW w:w="1180" w:type="dxa"/>
            <w:vAlign w:val="bottom"/>
            <w:gridSpan w:val="3"/>
            <w:vMerge w:val="continue"/>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304,958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187,136</w:t>
            </w: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(196,946)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60"/>
              <w:spacing w:after="0"/>
              <w:rPr>
                <w:sz w:val="20"/>
                <w:szCs w:val="20"/>
                <w:color w:val="auto"/>
              </w:rPr>
            </w:pPr>
            <w:r>
              <w:rPr>
                <w:rFonts w:ascii="Arial" w:cs="Arial" w:eastAsia="Arial" w:hAnsi="Arial"/>
                <w:sz w:val="18"/>
                <w:szCs w:val="18"/>
                <w:color w:val="auto"/>
              </w:rPr>
              <w:t>Exercises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(12,993)</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(12,993)</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187,136</w:t>
            </w:r>
          </w:p>
        </w:tc>
        <w:tc>
          <w:tcPr>
            <w:tcW w:w="1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(209,939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(205,271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(Unaudited;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(12,993)</w:t>
            </w: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(7,382)</w:t>
            </w: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w:t>
            </w: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Cost of rental units purchased by customers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certain assets and liabilities: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Accounts receivable, net</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(569)</w:t>
            </w: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(1,270)</w:t>
            </w: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(763)</w:t>
            </w:r>
          </w:p>
        </w:tc>
      </w:tr>
      <w:tr>
        <w:trPr>
          <w:trHeight w:val="230"/>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w:t>
            </w: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Deferred rent</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70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(13,397)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(9,481)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 and capitalized software</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w:t>
            </w:r>
          </w:p>
        </w:tc>
      </w:tr>
      <w:tr>
        <w:trPr>
          <w:trHeight w:val="223"/>
        </w:trPr>
        <w:tc>
          <w:tcPr>
            <w:tcW w:w="70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Payments of initial public offering costs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exercises of stock options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Proceeds from issuance of Series G convertible preferred stock, net</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14,825</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Borrowings under credit facilities</w:t>
            </w:r>
          </w:p>
        </w:tc>
        <w:tc>
          <w:tcPr>
            <w:tcW w:w="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Payments of debt issuance costs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(1,015)</w:t>
            </w:r>
          </w:p>
        </w:tc>
      </w:tr>
      <w:tr>
        <w:trPr>
          <w:trHeight w:val="223"/>
        </w:trPr>
        <w:tc>
          <w:tcPr>
            <w:tcW w:w="70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Provided by Financing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18,826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00" w:type="dxa"/>
            <w:vAlign w:val="bottom"/>
          </w:tcPr>
          <w:p>
            <w:pPr>
              <w:ind w:left="1000"/>
              <w:spacing w:after="0"/>
              <w:rPr>
                <w:sz w:val="20"/>
                <w:szCs w:val="20"/>
                <w:color w:val="auto"/>
              </w:rPr>
            </w:pPr>
            <w:r>
              <w:rPr>
                <w:rFonts w:ascii="Arial" w:cs="Arial" w:eastAsia="Arial" w:hAnsi="Arial"/>
                <w:sz w:val="18"/>
                <w:szCs w:val="18"/>
                <w:color w:val="auto"/>
              </w:rPr>
              <w:t>Net (Decrease) Increase in Cash and Cash Equivalents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(14,603)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9,193</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Cash and Cash Equivalents, Beginning of Period</w:t>
            </w:r>
          </w:p>
        </w:tc>
        <w:tc>
          <w:tcPr>
            <w:tcW w:w="8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17,040</w:t>
            </w:r>
          </w:p>
        </w:tc>
        <w:tc>
          <w:tcPr>
            <w:tcW w:w="120" w:type="dxa"/>
            <w:vAlign w:val="bottom"/>
            <w:shd w:val="clear" w:color="auto" w:fill="CFF0FC"/>
          </w:tcPr>
          <w:p>
            <w:pPr>
              <w:spacing w:after="0"/>
              <w:rPr>
                <w:sz w:val="19"/>
                <w:szCs w:val="19"/>
                <w:color w:val="auto"/>
              </w:rPr>
            </w:pPr>
          </w:p>
        </w:tc>
      </w:tr>
      <w:tr>
        <w:trPr>
          <w:trHeight w:val="263"/>
        </w:trPr>
        <w:tc>
          <w:tcPr>
            <w:tcW w:w="70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Cash and Cash Equivalents, End of Period</w:t>
            </w:r>
          </w:p>
        </w:tc>
        <w:tc>
          <w:tcPr>
            <w:tcW w:w="86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26,233</w:t>
            </w:r>
          </w:p>
        </w:tc>
        <w:tc>
          <w:tcPr>
            <w:tcW w:w="120" w:type="dxa"/>
            <w:vAlign w:val="bottom"/>
            <w:tcBorders>
              <w:bottom w:val="single" w:sz="8" w:color="CFF0FC"/>
            </w:tcBorders>
          </w:tcPr>
          <w:p>
            <w:pPr>
              <w:spacing w:after="0"/>
              <w:rPr>
                <w:sz w:val="22"/>
                <w:szCs w:val="22"/>
                <w:color w:val="auto"/>
              </w:rPr>
            </w:pPr>
          </w:p>
        </w:tc>
      </w:tr>
      <w:tr>
        <w:trPr>
          <w:trHeight w:val="21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8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1,334</w:t>
            </w:r>
          </w:p>
        </w:tc>
        <w:tc>
          <w:tcPr>
            <w:tcW w:w="160" w:type="dxa"/>
            <w:vAlign w:val="bottom"/>
          </w:tcPr>
          <w:p>
            <w:pPr>
              <w:spacing w:after="0"/>
              <w:rPr>
                <w:sz w:val="19"/>
                <w:szCs w:val="19"/>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8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Allocation of proceeds from debt financing to convertible preferred stock warrant</w:t>
            </w:r>
          </w:p>
        </w:tc>
        <w:tc>
          <w:tcPr>
            <w:tcW w:w="8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liability</w:t>
            </w:r>
          </w:p>
        </w:tc>
        <w:tc>
          <w:tcPr>
            <w:tcW w:w="18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20"/>
                <w:szCs w:val="20"/>
                <w:color w:val="auto"/>
              </w:rPr>
            </w:pPr>
          </w:p>
        </w:tc>
      </w:tr>
      <w:tr>
        <w:trPr>
          <w:trHeight w:val="215"/>
        </w:trPr>
        <w:tc>
          <w:tcPr>
            <w:tcW w:w="7000" w:type="dxa"/>
            <w:vAlign w:val="bottom"/>
          </w:tcPr>
          <w:p>
            <w:pPr>
              <w:ind w:left="260"/>
              <w:spacing w:after="0"/>
              <w:rPr>
                <w:sz w:val="20"/>
                <w:szCs w:val="20"/>
                <w:color w:val="auto"/>
              </w:rPr>
            </w:pPr>
            <w:r>
              <w:rPr>
                <w:rFonts w:ascii="Arial" w:cs="Arial" w:eastAsia="Arial" w:hAnsi="Arial"/>
                <w:sz w:val="18"/>
                <w:szCs w:val="18"/>
                <w:color w:val="auto"/>
              </w:rPr>
              <w:t>Deferred initial public offering costs included in accounts payable and accrued</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00" w:type="dxa"/>
            <w:vAlign w:val="bottom"/>
          </w:tcPr>
          <w:p>
            <w:pPr>
              <w:ind w:left="380"/>
              <w:spacing w:after="0"/>
              <w:rPr>
                <w:sz w:val="20"/>
                <w:szCs w:val="20"/>
                <w:color w:val="auto"/>
              </w:rPr>
            </w:pPr>
            <w:r>
              <w:rPr>
                <w:rFonts w:ascii="Arial" w:cs="Arial" w:eastAsia="Arial" w:hAnsi="Arial"/>
                <w:sz w:val="18"/>
                <w:szCs w:val="18"/>
                <w:color w:val="auto"/>
              </w:rPr>
              <w:t>expenses</w:t>
            </w:r>
          </w:p>
        </w:tc>
        <w:tc>
          <w:tcPr>
            <w:tcW w:w="18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2,542</w:t>
            </w:r>
          </w:p>
        </w:tc>
        <w:tc>
          <w:tcPr>
            <w:tcW w:w="160" w:type="dxa"/>
            <w:vAlign w:val="bottom"/>
          </w:tcPr>
          <w:p>
            <w:pPr>
              <w:spacing w:after="0"/>
              <w:rPr>
                <w:sz w:val="20"/>
                <w:szCs w:val="20"/>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The Company intends to continue to pursue development of its NeuroStar Advanced Therapy System for additional indications.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July 2, 2018, the Company closed its initial public offering, or IPO, in which the Company issued and sold 6.325 million shares of its common stock, which included the exercise of the underwriters’ option to purchase an additional 0.825 million shares of common stock, at a public offering price of $17.00 per share. The Company received net proceeds of $100.0 million after deducting underwriting discounts and commissions of $7.5 million but before deducting other offering expenses. The Company’s common stock is listed on the Nasdaq Global Market under the trading symbol “STIM.” In addition, upon the closing of the IPO on July 2, 2018, (i) all of the Company’s outstanding shares of convertible preferred stock converted into 11.0 million shares of common stock; (ii) all of the Company’s outstanding warrants to purchase convertible preferred stock converted into warrants to purchase common stock; and</w:t>
      </w:r>
    </w:p>
    <w:p>
      <w:pPr>
        <w:spacing w:after="0" w:line="5" w:lineRule="exact"/>
        <w:rPr>
          <w:sz w:val="20"/>
          <w:szCs w:val="20"/>
          <w:color w:val="auto"/>
        </w:rPr>
      </w:pPr>
    </w:p>
    <w:p>
      <w:pPr>
        <w:ind w:right="240" w:firstLine="8"/>
        <w:spacing w:after="0" w:line="25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filed an amended and restated certificate of incorporation to, among other things, decrease the number of shares of common stock, $0.01 par value per share, authorized for issuance to 200.0 million and to authorize the board of directors to issue up to 10.0 million shares of “blank check” preferred stock, $0.01 par value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June 30, 2018, the Company had cash and cash equivalents of $14.5 million and an accumulated deficit of $209.9 million. The Company incurred negative cash flows from operating activities of $11.1 million for the year ended December 31, 2017 and $13.4 million for the six months ended June 30, 2018. The Company has incurred operating losses since its inception, and management anticipates that its operating losses will continue in the near term as the Company seeks to expand its sales and marketing initiatives to support its growth into existing and new markets and invest in additional research and development activities. The Company’s primary sources of capital to date have been from its IPO, private placements of its convertible preferred securities, borrowings under its credit facilities and revenues from sales of its products. As of June 30, 2018, the Company had $30.0 million of borrowings outstanding under its credit facility, which matures in March 2022. Management believes that the Company’s cash and cash equivalents as of June 30, 2018, proceeds from its IPO and revenues from sales of its products are sufficient to fund the Company’s operations for at least the next 24 months after June 30, 2018.</w:t>
      </w:r>
    </w:p>
    <w:p>
      <w:pPr>
        <w:spacing w:after="0" w:line="108"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or GAAP. Any reference in these notes to applicable guidance is meant to refer to GAAP as found in the Accounting Standards Codification, or ASC, and Accounting Standards Updates, or ASU, promulgated by the Financial Accounting Standards Board, or FASB.</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8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changes in convertible preferred stock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and six months ended June 30, 2018 are not necessarily indicative of the results that may be expected for the full year. Unaudited interim financial statements and footnotes should be read in conjunction with the audited financial statements and footnotes included in the Company’s IPO prospectus filed with the SEC on June 29, 2018, wherein a more complete discussion of significant accounting policies and certain other information can be found.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Use of Estimates</w:t>
      </w:r>
    </w:p>
    <w:p>
      <w:pPr>
        <w:spacing w:after="0" w:line="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 The most significant estimates and judgments impact share-based compensation, product warranty accruals and the net realizable value of inventory.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w:t>
      </w:r>
    </w:p>
    <w:p>
      <w:pPr>
        <w:spacing w:after="0" w:line="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effected a 0.0345-for-1 reverse split of its common stock on June 14, 2018. The reverse split combined each approximately 29 shares of the Company’s issued and outstanding common stock into one share of common stock and correspondingly adjusted the conversion price of its outstanding convertible preferred stock. No fractional shares were issued in connection with the reverse split. Any fractional share resulting from the reverse split was rounded down to the nearest whole share, and in lieu of any fractional share, the Company will pay in cash to the holders of such fractional shares an amount equal to the fair market value, as determined by the board of directors, of such fractional shares. All share, per share and related information presented in these interim financial statements and the related notes thereto have been retroactively adjusted, where applicable, to reflect the reverse stock split.</w:t>
      </w:r>
    </w:p>
    <w:p>
      <w:pPr>
        <w:spacing w:after="0" w:line="10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IPO prospectus filed with the SEC on June 29, 2018.</w:t>
      </w:r>
    </w:p>
    <w:p>
      <w:pPr>
        <w:spacing w:after="0" w:line="112" w:lineRule="exact"/>
        <w:rPr>
          <w:sz w:val="20"/>
          <w:szCs w:val="20"/>
          <w:color w:val="auto"/>
        </w:rPr>
      </w:pPr>
    </w:p>
    <w:p>
      <w:pPr>
        <w:ind w:right="7120" w:firstLine="8"/>
        <w:spacing w:after="0" w:line="338" w:lineRule="auto"/>
        <w:tabs>
          <w:tab w:leader="none" w:pos="37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JOBS Act Accounting Election</w:t>
      </w:r>
    </w:p>
    <w:p>
      <w:pPr>
        <w:spacing w:after="0" w:line="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interim financial statements may not be comparable to companies that comply with the new or revised accounting pronouncements as of public company effective dates.</w:t>
      </w:r>
    </w:p>
    <w:p>
      <w:pPr>
        <w:spacing w:after="0" w:line="1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regarding the accounting for and disclosures of revenue recognition, with an effective date for public companies of annual and interim periods beginning after December 15, 2016. In July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deferred the effective date of the previously issued revenue recognition guidance by one year. This guidance is effective for public companies for annual and interim periods beginning after December 15, 2017. For all other entities, including emerging growth companies, this standard is effective for annual reporting periods beginning after December 15, 2018, and interim periods with annual periods beginning after December 15, 2019. Early adoption is permitted. This update provides a single comprehensive model for accounting for revenue from contracts with customers. The model requires that revenue recognized reflects the actual consideration to which the entity expects to be entitled in exchange for the goods or services defined in the contract, including in situations with multiple performance obligations. In April 2016 and May 2016, the FASB issued ASU 2016-10, “</w:t>
      </w:r>
      <w:r>
        <w:rPr>
          <w:rFonts w:ascii="Arial" w:cs="Arial" w:eastAsia="Arial" w:hAnsi="Arial"/>
          <w:sz w:val="16"/>
          <w:szCs w:val="16"/>
          <w:i w:val="1"/>
          <w:iCs w:val="1"/>
          <w:color w:val="auto"/>
        </w:rPr>
        <w:t>Revenue from Contracts with Customers (Topic 606): Identifying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 and Licensing</w:t>
      </w:r>
      <w:r>
        <w:rPr>
          <w:rFonts w:ascii="Arial" w:cs="Arial" w:eastAsia="Arial" w:hAnsi="Arial"/>
          <w:sz w:val="16"/>
          <w:szCs w:val="16"/>
          <w:color w:val="auto"/>
        </w:rPr>
        <w:t>” and ASU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respectively. Both of these updates provide improvements and clarification to the previously issued revenue recognition guidance.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can be adopted using one of two methods: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new standard will result in additional revenue-related disclosures in the notes to the Company’s financial statements. The majority of the Company’s revenue relates to the sales of NeuroStar Advanced Therapy Systems and treatment sessions to various customers. While the Company is still analyzing the impact of ASU 2014-09 on its financial statements and disclosures, it currently anticipates no significant changes to its revenue recognition practices as a result of the adoption of Topic 606. However, the Company currently expects the adoption of Topic 606 to change the accounting treatment for sales commissions and is analyzing the impact such change will have on its financial statements and disclosures. The Company historically expensed sales commissions as incurred. In addition, the new standard will require changes to the Company’s processes and controls to support additional disclosures, and the Company is in the process of identifying and designing such changes to processes and controls to ensure readiness.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8" w:name="page9"/>
    <w:bookmarkEnd w:id="8"/>
    <w:p>
      <w:pPr>
        <w:ind w:right="40"/>
        <w:spacing w:after="0" w:line="270" w:lineRule="auto"/>
        <w:rPr>
          <w:sz w:val="20"/>
          <w:szCs w:val="20"/>
          <w:color w:val="auto"/>
        </w:rPr>
      </w:pPr>
      <w:r>
        <w:rPr>
          <w:rFonts w:ascii="Arial" w:cs="Arial" w:eastAsia="Arial" w:hAnsi="Arial"/>
          <w:sz w:val="17"/>
          <w:szCs w:val="17"/>
          <w:color w:val="auto"/>
        </w:rPr>
        <w:t>In February 2016, the FASB issued ASU 2016-02, Leases (Topic 842), with guidance regarding the accounting for and disclosure of leases. The update requires lessees to recognize all leases, including operating leases, with a term greater than 12 months on the balance sheet. This update also requires lessees and lessors to disclose key information about their leasing transactions. This guidance will be effective for public companies for annual and interim periods beginning after December 15, 2018. For all other entities, including emerging growth companies, this standard will be effective for annual reporting periods beginning after December 15, 2019, and interim periods within annual periods beginning after December 15, 2020. Early adoption is permitted. The Company is currently evaluating the effect that this guidance will have on its financial statements and related disclosures. The Company expects the implementation of this standard to have an impact on its financial statements and related disclosures as its aggregate future minimum lease payments under its current non-cancelable off lease were $1.4 million as of June 30, 2018, with an expiration date in 2021. The Company anticipates recognition on its balance sheet of an additional asset and corresponding liability related to this office lease. The Company is currently evaluating the impact the new standard may have on other types of leasing arrangements.</w:t>
      </w:r>
    </w:p>
    <w:p>
      <w:pPr>
        <w:spacing w:after="0" w:line="12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June 2018, the FASB issued ASU 2018-07, Compensation—Stock Compensation (Topic 718): “</w:t>
      </w:r>
      <w:r>
        <w:rPr>
          <w:rFonts w:ascii="Arial" w:cs="Arial" w:eastAsia="Arial" w:hAnsi="Arial"/>
          <w:sz w:val="17"/>
          <w:szCs w:val="17"/>
          <w:i w:val="1"/>
          <w:iCs w:val="1"/>
          <w:color w:val="auto"/>
        </w:rPr>
        <w:t>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largely aligns the accounting for share-based payment awards issued to nonemployees with the accounting for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issued to employees. Under previous GAAP, the accounting for nonemployee share-based payments differed from that applied to employee awards, particularly with regard to the measurement date and the impact of performance conditions. Under the new guidance, (i) equity-classified share-based payment awards issued to nonemployees will be measured at the grant date, instead of the previous requirement to remeasure the awards through the performance completion date, (ii) for performance conditions, compensation cost associated with the award will be recognized when the achievement of the performance condition is probable, rather than upon achievement of the performance condition, and (iii) the current requirement to reassess the classification (equity or liability) for nonemployee awards upon vesting will be eliminated, except for awards in the form of convertible instruments. This new guidance will be effective for public companies for fiscal years beginning after December 15, 2018, including interim periods within that fiscal year. Early adoption is permitted, but no earlier than an entity’s adoption date of Topic 606. The Company currently has no outstanding nonemployee share-based payment awards for which there is unrecognized compensation expense and therefore does not currently expect the adoption of the new guidance to have an effect on its financial statements.</w:t>
      </w:r>
    </w:p>
    <w:p>
      <w:pPr>
        <w:spacing w:after="0" w:line="12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carrying values of cash equivalents, accounts receivable, prepaids and other current assets, and accounts payable on the Company’s balance sheets approximated their fair values as of June 30, 2018 and December 31, 2017 due to their short-term nature. The carrying values of the Company’s current credit facility approximated its fair value as of June 30, 2018 and December 31, 2017 due to its variable interest rate.</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Inputs are quoted prices for identical instruments in active markets.</w:t>
      </w:r>
    </w:p>
    <w:p>
      <w:pPr>
        <w:spacing w:after="0" w:line="131" w:lineRule="exact"/>
        <w:rPr>
          <w:sz w:val="20"/>
          <w:szCs w:val="20"/>
          <w:color w:val="auto"/>
        </w:rPr>
      </w:pPr>
    </w:p>
    <w:p>
      <w:pPr>
        <w:ind w:left="920" w:right="4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76" w:lineRule="exact"/>
        <w:rPr>
          <w:sz w:val="20"/>
          <w:szCs w:val="20"/>
          <w:color w:val="auto"/>
        </w:rPr>
      </w:pPr>
    </w:p>
    <w:p>
      <w:pPr>
        <w:ind w:left="920" w:right="40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unobservable and reflect the Company’s own assumptions, based on the best information available, including the Company’s own data.</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set forth the carrying amounts and fair values of the Company’s financial instruments as of June 30, 2018 and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7"/>
          </w:tcPr>
          <w:p>
            <w:pPr>
              <w:jc w:val="center"/>
              <w:ind w:right="21"/>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9"/>
              </w:rPr>
              <w:t>Quoted</w:t>
            </w: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Prices In</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Money market funds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11,229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11,229</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11,229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Liabilities</w:t>
            </w:r>
          </w:p>
        </w:tc>
        <w:tc>
          <w:tcPr>
            <w:tcW w:w="4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Convertible preferred stock warrant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1,893</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57"/>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9" w:name="page10"/>
    <w:bookmarkEnd w:id="9"/>
    <w:p>
      <w:pPr>
        <w:spacing w:after="0" w:line="20" w:lineRule="exact"/>
        <w:framePr w:w="560" w:h="160" w:wrap="auto" w:vAnchor="page" w:hAnchor="page" w:x="200" w:y="1762"/>
        <w:rPr>
          <w:rFonts w:ascii="Arial" w:cs="Arial" w:eastAsia="Arial" w:hAnsi="Arial"/>
          <w:sz w:val="14"/>
          <w:szCs w:val="14"/>
          <w:b w:val="1"/>
          <w:bCs w:val="1"/>
          <w:color w:val="auto"/>
        </w:rPr>
      </w:pPr>
      <w:r>
        <w:rPr>
          <w:rFonts w:ascii="Arial" w:cs="Arial" w:eastAsia="Arial" w:hAnsi="Arial"/>
          <w:sz w:val="14"/>
          <w:szCs w:val="14"/>
          <w:b w:val="1"/>
          <w:bCs w:val="1"/>
          <w:color w:val="auto"/>
        </w:rPr>
        <w:t>Assets</w:t>
      </w:r>
    </w:p>
    <w:p>
      <w:pPr>
        <w:spacing w:after="0" w:line="209" w:lineRule="auto"/>
        <w:framePr w:w="2940" w:h="160" w:wrap="auto" w:vAnchor="page" w:hAnchor="page" w:x="200" w:y="1992"/>
        <w:rPr>
          <w:rFonts w:ascii="Arial" w:cs="Arial" w:eastAsia="Arial" w:hAnsi="Arial"/>
          <w:sz w:val="16"/>
          <w:szCs w:val="16"/>
          <w:b w:val="1"/>
          <w:bCs w:val="1"/>
          <w:color w:val="auto"/>
        </w:rPr>
      </w:pPr>
      <w:r>
        <w:rPr>
          <w:rFonts w:ascii="Arial" w:cs="Arial" w:eastAsia="Arial" w:hAnsi="Arial"/>
          <w:sz w:val="16"/>
          <w:szCs w:val="16"/>
          <w:b w:val="1"/>
          <w:bCs w:val="1"/>
          <w:color w:val="auto"/>
        </w:rPr>
        <w:t>Money market funds (cash equivalents)</w:t>
      </w:r>
    </w:p>
    <w:p>
      <w:pPr>
        <w:spacing w:after="0" w:line="209" w:lineRule="auto"/>
        <w:framePr w:w="860" w:h="160" w:wrap="auto" w:vAnchor="page" w:hAnchor="page" w:x="200" w:y="2221"/>
        <w:rPr>
          <w:rFonts w:ascii="Arial" w:cs="Arial" w:eastAsia="Arial" w:hAnsi="Arial"/>
          <w:sz w:val="16"/>
          <w:szCs w:val="16"/>
          <w:b w:val="1"/>
          <w:bCs w:val="1"/>
          <w:color w:val="auto"/>
        </w:rPr>
      </w:pPr>
      <w:r>
        <w:rPr>
          <w:rFonts w:ascii="Arial" w:cs="Arial" w:eastAsia="Arial" w:hAnsi="Arial"/>
          <w:sz w:val="16"/>
          <w:szCs w:val="16"/>
          <w:b w:val="1"/>
          <w:bCs w:val="1"/>
          <w:color w:val="auto"/>
        </w:rPr>
        <w:t>Liabilities</w:t>
      </w:r>
    </w:p>
    <w:p>
      <w:pPr>
        <w:spacing w:after="0" w:line="209" w:lineRule="auto"/>
        <w:framePr w:w="3260" w:h="160" w:wrap="auto" w:vAnchor="page" w:hAnchor="page" w:x="200" w:y="2451"/>
        <w:rPr>
          <w:rFonts w:ascii="Arial" w:cs="Arial" w:eastAsia="Arial" w:hAnsi="Arial"/>
          <w:sz w:val="16"/>
          <w:szCs w:val="16"/>
          <w:b w:val="1"/>
          <w:bCs w:val="1"/>
          <w:color w:val="auto"/>
        </w:rPr>
      </w:pPr>
      <w:r>
        <w:rPr>
          <w:rFonts w:ascii="Arial" w:cs="Arial" w:eastAsia="Arial" w:hAnsi="Arial"/>
          <w:sz w:val="16"/>
          <w:szCs w:val="16"/>
          <w:b w:val="1"/>
          <w:bCs w:val="1"/>
          <w:color w:val="auto"/>
        </w:rPr>
        <w:t>Convertible preferred stock warrant liability</w:t>
      </w:r>
    </w:p>
    <w:p>
      <w:pPr>
        <w:ind w:left="7720"/>
        <w:spacing w:after="0"/>
        <w:rPr>
          <w:sz w:val="20"/>
          <w:szCs w:val="20"/>
          <w:color w:val="auto"/>
        </w:rPr>
      </w:pPr>
      <w:r>
        <w:rPr>
          <w:rFonts w:ascii="Arial" w:cs="Arial" w:eastAsia="Arial" w:hAnsi="Arial"/>
          <w:sz w:val="14"/>
          <w:szCs w:val="14"/>
          <w:b w:val="1"/>
          <w:bCs w:val="1"/>
          <w:color w:val="auto"/>
        </w:rPr>
        <w:t>December 31, 2017</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44"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0"/>
        </w:trPr>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80" w:type="dxa"/>
            <w:vAlign w:val="bottom"/>
            <w:gridSpan w:val="4"/>
            <w:shd w:val="clear" w:color="auto" w:fill="000000"/>
          </w:tcPr>
          <w:p>
            <w:pPr>
              <w:jc w:val="center"/>
              <w:ind w:right="4"/>
              <w:spacing w:after="0"/>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jc w:val="center"/>
              <w:ind w:right="325"/>
              <w:spacing w:after="0"/>
              <w:rPr>
                <w:sz w:val="20"/>
                <w:szCs w:val="20"/>
                <w:color w:val="auto"/>
              </w:rPr>
            </w:pPr>
            <w:r>
              <w:rPr>
                <w:rFonts w:ascii="Arial" w:cs="Arial" w:eastAsia="Arial" w:hAnsi="Arial"/>
                <w:sz w:val="14"/>
                <w:szCs w:val="14"/>
                <w:b w:val="1"/>
                <w:bCs w:val="1"/>
                <w:color w:val="auto"/>
                <w:w w:val="89"/>
              </w:rPr>
              <w:t>Quoted</w:t>
            </w:r>
          </w:p>
        </w:tc>
        <w:tc>
          <w:tcPr>
            <w:tcW w:w="140" w:type="dxa"/>
            <w:vAlign w:val="bottom"/>
          </w:tcPr>
          <w:p>
            <w:pPr>
              <w:spacing w:after="0" w:line="20" w:lineRule="exact"/>
              <w:rPr>
                <w:sz w:val="1"/>
                <w:szCs w:val="1"/>
                <w:color w:val="auto"/>
              </w:rPr>
            </w:pPr>
          </w:p>
        </w:tc>
        <w:tc>
          <w:tcPr>
            <w:tcW w:w="1120" w:type="dxa"/>
            <w:vAlign w:val="bottom"/>
          </w:tcPr>
          <w:p>
            <w:pPr>
              <w:jc w:val="center"/>
              <w:ind w:right="304"/>
              <w:spacing w:after="0"/>
              <w:rPr>
                <w:sz w:val="20"/>
                <w:szCs w:val="20"/>
                <w:color w:val="auto"/>
              </w:rPr>
            </w:pPr>
            <w:r>
              <w:rPr>
                <w:rFonts w:ascii="Arial" w:cs="Arial" w:eastAsia="Arial" w:hAnsi="Arial"/>
                <w:sz w:val="14"/>
                <w:szCs w:val="14"/>
                <w:b w:val="1"/>
                <w:bCs w:val="1"/>
                <w:color w:val="auto"/>
                <w:w w:val="92"/>
              </w:rPr>
              <w:t>Significant</w:t>
            </w:r>
          </w:p>
        </w:tc>
        <w:tc>
          <w:tcPr>
            <w:tcW w:w="9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jc w:val="center"/>
              <w:ind w:right="325"/>
              <w:spacing w:after="0"/>
              <w:rPr>
                <w:sz w:val="20"/>
                <w:szCs w:val="20"/>
                <w:color w:val="auto"/>
              </w:rPr>
            </w:pPr>
            <w:r>
              <w:rPr>
                <w:rFonts w:ascii="Arial" w:cs="Arial" w:eastAsia="Arial" w:hAnsi="Arial"/>
                <w:sz w:val="14"/>
                <w:szCs w:val="14"/>
                <w:b w:val="1"/>
                <w:bCs w:val="1"/>
                <w:color w:val="auto"/>
                <w:w w:val="95"/>
              </w:rPr>
              <w:t>Prices In</w:t>
            </w:r>
          </w:p>
        </w:tc>
        <w:tc>
          <w:tcPr>
            <w:tcW w:w="140" w:type="dxa"/>
            <w:vAlign w:val="bottom"/>
          </w:tcPr>
          <w:p>
            <w:pPr>
              <w:spacing w:after="0" w:line="20" w:lineRule="exact"/>
              <w:rPr>
                <w:sz w:val="1"/>
                <w:szCs w:val="1"/>
                <w:color w:val="auto"/>
              </w:rPr>
            </w:pPr>
          </w:p>
        </w:tc>
        <w:tc>
          <w:tcPr>
            <w:tcW w:w="1120" w:type="dxa"/>
            <w:vAlign w:val="bottom"/>
          </w:tcPr>
          <w:p>
            <w:pPr>
              <w:jc w:val="center"/>
              <w:ind w:right="284"/>
              <w:spacing w:after="0"/>
              <w:rPr>
                <w:sz w:val="20"/>
                <w:szCs w:val="20"/>
                <w:color w:val="auto"/>
              </w:rPr>
            </w:pPr>
            <w:r>
              <w:rPr>
                <w:rFonts w:ascii="Arial" w:cs="Arial" w:eastAsia="Arial" w:hAnsi="Arial"/>
                <w:sz w:val="14"/>
                <w:szCs w:val="14"/>
                <w:b w:val="1"/>
                <w:bCs w:val="1"/>
                <w:color w:val="auto"/>
                <w:w w:val="91"/>
              </w:rPr>
              <w:t>other</w:t>
            </w:r>
          </w:p>
        </w:tc>
        <w:tc>
          <w:tcPr>
            <w:tcW w:w="9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jc w:val="center"/>
              <w:ind w:right="325"/>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line="20" w:lineRule="exact"/>
              <w:rPr>
                <w:sz w:val="1"/>
                <w:szCs w:val="1"/>
                <w:color w:val="auto"/>
              </w:rPr>
            </w:pPr>
          </w:p>
        </w:tc>
        <w:tc>
          <w:tcPr>
            <w:tcW w:w="1120" w:type="dxa"/>
            <w:vAlign w:val="bottom"/>
          </w:tcPr>
          <w:p>
            <w:pPr>
              <w:jc w:val="center"/>
              <w:ind w:right="304"/>
              <w:spacing w:after="0"/>
              <w:rPr>
                <w:sz w:val="20"/>
                <w:szCs w:val="20"/>
                <w:color w:val="auto"/>
              </w:rPr>
            </w:pPr>
            <w:r>
              <w:rPr>
                <w:rFonts w:ascii="Arial" w:cs="Arial" w:eastAsia="Arial" w:hAnsi="Arial"/>
                <w:sz w:val="14"/>
                <w:szCs w:val="14"/>
                <w:b w:val="1"/>
                <w:bCs w:val="1"/>
                <w:color w:val="auto"/>
                <w:w w:val="91"/>
              </w:rPr>
              <w:t>Observable</w:t>
            </w:r>
          </w:p>
        </w:tc>
        <w:tc>
          <w:tcPr>
            <w:tcW w:w="940" w:type="dxa"/>
            <w:vAlign w:val="bottom"/>
          </w:tcPr>
          <w:p>
            <w:pPr>
              <w:jc w:val="center"/>
              <w:ind w:left="4"/>
              <w:spacing w:after="0"/>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line="20" w:lineRule="exact"/>
              <w:rPr>
                <w:sz w:val="1"/>
                <w:szCs w:val="1"/>
                <w:color w:val="auto"/>
              </w:rPr>
            </w:pPr>
          </w:p>
        </w:tc>
        <w:tc>
          <w:tcPr>
            <w:tcW w:w="1120" w:type="dxa"/>
            <w:vAlign w:val="bottom"/>
          </w:tcPr>
          <w:p>
            <w:pPr>
              <w:jc w:val="right"/>
              <w:ind w:right="339"/>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line="20" w:lineRule="exact"/>
              <w:rPr>
                <w:sz w:val="1"/>
                <w:szCs w:val="1"/>
                <w:color w:val="auto"/>
              </w:rPr>
            </w:pPr>
          </w:p>
        </w:tc>
        <w:tc>
          <w:tcPr>
            <w:tcW w:w="1080" w:type="dxa"/>
            <w:vAlign w:val="bottom"/>
          </w:tcPr>
          <w:p>
            <w:pPr>
              <w:jc w:val="center"/>
              <w:ind w:right="325"/>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line="20" w:lineRule="exact"/>
              <w:rPr>
                <w:sz w:val="1"/>
                <w:szCs w:val="1"/>
                <w:color w:val="auto"/>
              </w:rPr>
            </w:pPr>
          </w:p>
        </w:tc>
        <w:tc>
          <w:tcPr>
            <w:tcW w:w="1120" w:type="dxa"/>
            <w:vAlign w:val="bottom"/>
          </w:tcPr>
          <w:p>
            <w:pPr>
              <w:jc w:val="center"/>
              <w:ind w:right="304"/>
              <w:spacing w:after="0"/>
              <w:rPr>
                <w:sz w:val="20"/>
                <w:szCs w:val="20"/>
                <w:color w:val="auto"/>
              </w:rPr>
            </w:pPr>
            <w:r>
              <w:rPr>
                <w:rFonts w:ascii="Arial" w:cs="Arial" w:eastAsia="Arial" w:hAnsi="Arial"/>
                <w:sz w:val="14"/>
                <w:szCs w:val="14"/>
                <w:b w:val="1"/>
                <w:bCs w:val="1"/>
                <w:color w:val="auto"/>
                <w:w w:val="94"/>
              </w:rPr>
              <w:t>(Level 2)</w:t>
            </w:r>
          </w:p>
        </w:tc>
        <w:tc>
          <w:tcPr>
            <w:tcW w:w="94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
        </w:trPr>
        <w:tc>
          <w:tcPr>
            <w:tcW w:w="5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11,149</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11,149</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65"/>
              <w:spacing w:after="0"/>
              <w:rPr>
                <w:sz w:val="20"/>
                <w:szCs w:val="20"/>
                <w:color w:val="auto"/>
              </w:rPr>
            </w:pPr>
            <w:r>
              <w:rPr>
                <w:rFonts w:ascii="Arial" w:cs="Arial" w:eastAsia="Arial" w:hAnsi="Arial"/>
                <w:sz w:val="18"/>
                <w:szCs w:val="18"/>
                <w:color w:val="auto"/>
              </w:rPr>
              <w:t>11,149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64"/>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6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rFonts w:ascii="Arial" w:cs="Arial" w:eastAsia="Arial" w:hAnsi="Arial"/>
          <w:sz w:val="16"/>
          <w:szCs w:val="16"/>
          <w:b w:val="1"/>
          <w:bCs w:val="1"/>
          <w:color w:val="auto"/>
        </w:rPr>
      </w:pPr>
    </w:p>
    <w:p>
      <w:pPr>
        <w:sectPr>
          <w:pgSz w:w="11900" w:h="16838" w:orient="portrait"/>
          <w:cols w:equalWidth="0" w:num="1">
            <w:col w:w="11420"/>
          </w:cols>
          <w:pgMar w:left="240" w:top="616" w:right="239" w:bottom="1440" w:gutter="0" w:footer="0" w:header="0"/>
        </w:sectPr>
      </w:pPr>
    </w:p>
    <w:p>
      <w:pPr>
        <w:jc w:val="both"/>
        <w:ind w:left="5280"/>
        <w:spacing w:after="0"/>
        <w:tabs>
          <w:tab w:leader="none" w:pos="6000" w:val="left"/>
          <w:tab w:leader="none" w:pos="6520" w:val="left"/>
          <w:tab w:leader="none" w:pos="7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478</w:t>
        <w:tab/>
        <w:t>$</w:t>
      </w:r>
      <w:r>
        <w:rPr>
          <w:sz w:val="20"/>
          <w:szCs w:val="20"/>
          <w:color w:val="auto"/>
        </w:rPr>
        <w:tab/>
      </w:r>
      <w:r>
        <w:rPr>
          <w:rFonts w:ascii="Arial" w:cs="Arial" w:eastAsia="Arial" w:hAnsi="Arial"/>
          <w:sz w:val="16"/>
          <w:szCs w:val="16"/>
          <w:color w:val="auto"/>
        </w:rPr>
        <w:t>478</w:t>
      </w:r>
    </w:p>
    <w:p>
      <w:pPr>
        <w:spacing w:after="0" w:line="211" w:lineRule="exact"/>
        <w:rPr>
          <w:rFonts w:ascii="Arial" w:cs="Arial" w:eastAsia="Arial" w:hAnsi="Arial"/>
          <w:sz w:val="16"/>
          <w:szCs w:val="16"/>
          <w:b w:val="1"/>
          <w:bCs w:val="1"/>
          <w:color w:val="auto"/>
        </w:rPr>
      </w:pPr>
    </w:p>
    <w:p>
      <w:pPr>
        <w:ind w:right="40"/>
        <w:spacing w:after="0" w:line="277" w:lineRule="auto"/>
        <w:rPr>
          <w:sz w:val="20"/>
          <w:szCs w:val="20"/>
          <w:color w:val="auto"/>
        </w:rPr>
      </w:pPr>
      <w:r>
        <w:rPr>
          <w:rFonts w:ascii="Arial" w:cs="Arial" w:eastAsia="Arial" w:hAnsi="Arial"/>
          <w:sz w:val="18"/>
          <w:szCs w:val="18"/>
          <w:color w:val="auto"/>
        </w:rPr>
        <w:t>The fair value of the convertible preferred stock warrant liability was estimated using the Black-Scholes assumptions as of June 30, 2018 and December 31, 2017:</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br w:type="column"/>
      </w:r>
    </w:p>
    <w:p>
      <w:pPr>
        <w:ind w:left="220"/>
        <w:spacing w:after="0"/>
        <w:tabs>
          <w:tab w:leader="none" w:pos="1140" w:val="left"/>
          <w:tab w:leader="none" w:pos="1440" w:val="left"/>
          <w:tab w:leader="none" w:pos="2400" w:val="left"/>
          <w:tab w:leader="none" w:pos="2700" w:val="left"/>
          <w:tab w:leader="none" w:pos="3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478</w:t>
      </w:r>
    </w:p>
    <w:p>
      <w:pPr>
        <w:spacing w:after="0" w:line="211"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7"/>
          <w:szCs w:val="17"/>
          <w:color w:val="auto"/>
        </w:rPr>
        <w:t>option pricing model and the following inputs and</w:t>
      </w:r>
    </w:p>
    <w:p>
      <w:pPr>
        <w:spacing w:after="0" w:line="482" w:lineRule="exact"/>
        <w:rPr>
          <w:rFonts w:ascii="Arial" w:cs="Arial" w:eastAsia="Arial" w:hAnsi="Arial"/>
          <w:sz w:val="16"/>
          <w:szCs w:val="16"/>
          <w:b w:val="1"/>
          <w:bCs w:val="1"/>
          <w:color w:val="auto"/>
        </w:rPr>
      </w:pPr>
    </w:p>
    <w:p>
      <w:pPr>
        <w:sectPr>
          <w:pgSz w:w="11900" w:h="16838" w:orient="portrait"/>
          <w:cols w:equalWidth="0" w:num="2">
            <w:col w:w="7540" w:space="20"/>
            <w:col w:w="3860"/>
          </w:cols>
          <w:pgMar w:left="240" w:top="616" w:right="239" w:bottom="1440" w:gutter="0" w:footer="0" w:header="0"/>
          <w:type w:val="continuous"/>
        </w:sectPr>
      </w:pPr>
    </w:p>
    <w:p>
      <w:pPr>
        <w:spacing w:after="0" w:line="57" w:lineRule="exact"/>
        <w:rPr>
          <w:rFonts w:ascii="Arial" w:cs="Arial" w:eastAsia="Arial" w:hAnsi="Arial"/>
          <w:sz w:val="16"/>
          <w:szCs w:val="16"/>
          <w:b w:val="1"/>
          <w:bCs w:val="1"/>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June 30, 2018</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640" w:type="dxa"/>
            <w:vAlign w:val="bottom"/>
            <w:tcBorders>
              <w:bottom w:val="single" w:sz="8" w:color="auto"/>
            </w:tcBorders>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126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Series E</w:t>
            </w:r>
          </w:p>
        </w:tc>
        <w:tc>
          <w:tcPr>
            <w:tcW w:w="114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Series F</w:t>
            </w:r>
          </w:p>
        </w:tc>
        <w:tc>
          <w:tcPr>
            <w:tcW w:w="120" w:type="dxa"/>
            <w:vAlign w:val="bottom"/>
          </w:tcPr>
          <w:p>
            <w:pPr>
              <w:spacing w:after="0"/>
              <w:rPr>
                <w:sz w:val="13"/>
                <w:szCs w:val="13"/>
                <w:color w:val="auto"/>
              </w:rPr>
            </w:pPr>
          </w:p>
        </w:tc>
        <w:tc>
          <w:tcPr>
            <w:tcW w:w="128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Series E</w:t>
            </w:r>
          </w:p>
        </w:tc>
        <w:tc>
          <w:tcPr>
            <w:tcW w:w="116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Series F</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Estimated fair value of convertible preferred stock</w:t>
            </w: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$0.92</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8"/>
              </w:rPr>
              <w:t>$0.92</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$0.33</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8"/>
              </w:rPr>
              <w:t>$0.38</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Exercise price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$0.6746</w:t>
            </w:r>
          </w:p>
        </w:tc>
        <w:tc>
          <w:tcPr>
            <w:tcW w:w="12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$0.3356</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$0.6746</w:t>
            </w:r>
          </w:p>
        </w:tc>
        <w:tc>
          <w:tcPr>
            <w:tcW w:w="14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2"/>
              </w:rPr>
              <w:t>$0.3356</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Remaining term (in years)</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- 6.5</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5.0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640" w:type="dxa"/>
            <w:vAlign w:val="bottom"/>
            <w:shd w:val="clear" w:color="auto" w:fill="CFF0FC"/>
          </w:tcPr>
          <w:p>
            <w:pPr>
              <w:spacing w:after="0"/>
              <w:rPr>
                <w:sz w:val="20"/>
                <w:szCs w:val="20"/>
                <w:color w:val="auto"/>
              </w:rPr>
            </w:pPr>
            <w:r>
              <w:rPr>
                <w:rFonts w:ascii="Arial" w:cs="Arial" w:eastAsia="Arial" w:hAnsi="Arial"/>
                <w:sz w:val="18"/>
                <w:szCs w:val="18"/>
                <w:color w:val="auto"/>
              </w:rPr>
              <w:t>- 7.0</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2.7%</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640" w:type="dxa"/>
            <w:vAlign w:val="bottom"/>
          </w:tcPr>
          <w:p>
            <w:pPr>
              <w:ind w:left="20"/>
              <w:spacing w:after="0"/>
              <w:rPr>
                <w:sz w:val="20"/>
                <w:szCs w:val="20"/>
                <w:color w:val="auto"/>
              </w:rPr>
            </w:pPr>
            <w:r>
              <w:rPr>
                <w:rFonts w:ascii="Arial" w:cs="Arial" w:eastAsia="Arial" w:hAnsi="Arial"/>
                <w:sz w:val="18"/>
                <w:szCs w:val="18"/>
                <w:color w:val="auto"/>
              </w:rPr>
              <w:t>- 2.8%</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20"/>
                <w:szCs w:val="20"/>
                <w:color w:val="auto"/>
              </w:rPr>
            </w:pPr>
            <w:r>
              <w:rPr>
                <w:rFonts w:ascii="Arial" w:cs="Arial" w:eastAsia="Arial" w:hAnsi="Arial"/>
                <w:sz w:val="18"/>
                <w:szCs w:val="18"/>
                <w:color w:val="auto"/>
              </w:rPr>
              <w:t>- 2.3%</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43%</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43%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FF0FC"/>
          </w:tcPr>
          <w:p>
            <w:pPr>
              <w:spacing w:after="0"/>
              <w:rPr>
                <w:sz w:val="20"/>
                <w:szCs w:val="20"/>
                <w:color w:val="auto"/>
              </w:rPr>
            </w:pPr>
            <w:r>
              <w:rPr>
                <w:rFonts w:ascii="Arial" w:cs="Arial" w:eastAsia="Arial" w:hAnsi="Arial"/>
                <w:sz w:val="18"/>
                <w:szCs w:val="18"/>
                <w:color w:val="auto"/>
              </w:rPr>
              <w:t>- 44%</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Dividend yield</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6"/>
          <w:szCs w:val="16"/>
          <w:color w:val="auto"/>
        </w:rPr>
        <w:t>The following table presents the changes in Level 3 instruments measured on a recurring basis for the six months ended June 30, 2018 (in thousands):</w:t>
      </w:r>
    </w:p>
    <w:p>
      <w:pPr>
        <w:spacing w:after="0" w:line="249" w:lineRule="exact"/>
        <w:rPr>
          <w:rFonts w:ascii="Arial" w:cs="Arial" w:eastAsia="Arial" w:hAnsi="Arial"/>
          <w:sz w:val="16"/>
          <w:szCs w:val="16"/>
          <w:b w:val="1"/>
          <w:bCs w:val="1"/>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Change in fair value</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rFonts w:ascii="Arial" w:cs="Arial" w:eastAsia="Arial" w:hAnsi="Arial"/>
          <w:sz w:val="16"/>
          <w:szCs w:val="16"/>
          <w:b w:val="1"/>
          <w:bCs w:val="1"/>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81"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The following table presents the composition of accounts receivable, net as of June 30, 2018 and December 31, 2017 (in thousands):</w:t>
      </w:r>
    </w:p>
    <w:p>
      <w:pPr>
        <w:spacing w:after="0" w:line="204" w:lineRule="exact"/>
        <w:rPr>
          <w:rFonts w:ascii="Arial" w:cs="Arial" w:eastAsia="Arial" w:hAnsi="Arial"/>
          <w:sz w:val="16"/>
          <w:szCs w:val="16"/>
          <w:b w:val="1"/>
          <w:bCs w:val="1"/>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accounts receivable - trade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Allowances for doubtful accounts</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r>
      <w:tr>
        <w:trPr>
          <w:trHeight w:val="223"/>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rFonts w:ascii="Arial" w:cs="Arial" w:eastAsia="Arial" w:hAnsi="Arial"/>
          <w:sz w:val="16"/>
          <w:szCs w:val="16"/>
          <w:b w:val="1"/>
          <w:bCs w:val="1"/>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4"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The following table presents the composition of property and equipment, net as of June 30, 2018 and December 31, 2017 (in thousands):</w:t>
      </w:r>
    </w:p>
    <w:p>
      <w:pPr>
        <w:spacing w:after="0" w:line="204" w:lineRule="exact"/>
        <w:rPr>
          <w:rFonts w:ascii="Arial" w:cs="Arial" w:eastAsia="Arial" w:hAnsi="Arial"/>
          <w:sz w:val="16"/>
          <w:szCs w:val="16"/>
          <w:b w:val="1"/>
          <w:bCs w:val="1"/>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Office equipment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Rental equipment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gross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(1,831)</w:t>
            </w:r>
          </w:p>
        </w:tc>
      </w:tr>
      <w:tr>
        <w:trPr>
          <w:trHeight w:val="223"/>
        </w:trPr>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rFonts w:ascii="Arial" w:cs="Arial" w:eastAsia="Arial" w:hAnsi="Arial"/>
          <w:sz w:val="16"/>
          <w:szCs w:val="16"/>
          <w:b w:val="1"/>
          <w:bCs w:val="1"/>
          <w:color w:val="auto"/>
        </w:rPr>
      </w:pPr>
    </w:p>
    <w:p>
      <w:pPr>
        <w:ind w:right="200"/>
        <w:spacing w:after="0" w:line="277" w:lineRule="auto"/>
        <w:rPr>
          <w:sz w:val="20"/>
          <w:szCs w:val="20"/>
          <w:color w:val="auto"/>
        </w:rPr>
      </w:pPr>
      <w:r>
        <w:rPr>
          <w:rFonts w:ascii="Arial" w:cs="Arial" w:eastAsia="Arial" w:hAnsi="Arial"/>
          <w:sz w:val="18"/>
          <w:szCs w:val="18"/>
          <w:color w:val="auto"/>
        </w:rPr>
        <w:t>Depreciation expense was $0.3 million and $0.1 million for the three months ended June 30, 2018 and 2017, respectively, and $0.5 million and $0.3 million for the six months ended June 30, 2018 and 2017, respectively.</w:t>
      </w:r>
    </w:p>
    <w:p>
      <w:pPr>
        <w:spacing w:after="0" w:line="170"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type w:val="continuous"/>
        </w:sectPr>
      </w:pPr>
    </w:p>
    <w:bookmarkStart w:id="10" w:name="page11"/>
    <w:bookmarkEnd w:id="10"/>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accrued expenses as of June 30, 2018 and December 31, 2017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Sales tax payable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debt as of June 30, 2018 and December 31, 2017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final payment fees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(1,384)</w:t>
            </w:r>
          </w:p>
        </w:tc>
      </w:tr>
      <w:tr>
        <w:trPr>
          <w:trHeight w:val="223"/>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long-term debt, net</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29,997</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29,556</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27,497</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29,556</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June 30, 2018, the Company recognized interest expense of $0.9 million, of which $0.7 million was cash and $0.2 million was non-cash interest expense related to the amortization of deferred debt issuance costs and accrual of final payment fees. For the three months ended June 30, 2017, the Company recognized interest expense of $0.7 million, of which $0.5 million was cash and $0.2 million was non-cash interest expense related to the amortization of deferred debt issuance costs and accrual of final payment fees.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six months ended June 30, 2018, the Company recognized interest expense of $1.8 million, of which $1.4 million was cash and $0.4 million was non-cash interest expense related to the amortization of deferred debt issuance costs and accrual of final payment fees. For the six months ended June 30, 2017, the Company recognized interest expense of $1.3 million, of which $1.0 million was cash and $0.3 million was non-cash interest expense related to the amortization of deferred debt issuance costs and accrual of final payment fees.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$35.0 Million Credit Facility</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March 2017, the Company entered into a new loan and security agreement with Oxford Finance LLC, or Oxford, for a credit facility that replaced its previous $25.0 million credit facility with Oxford and which allows it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the Company upon the achievement of $45.0 million of trailing twelve month revenues during the second quarter of 2018. Upon achieving the required revenue milestone, the Company had 60 days to notify its lender if it elected to borrow the Term C Loan. As a result of completing its IPO on July 2, 2018 and receiving net proceeds of $100.0 million, the Company elected not to borrow the additional $5.0 million. Each term loan accrues interest from the date of borrowing through the date of repayment at a floating per annum rate of interest, which resets monthly and is equal to the greater of (a) 8.15% or (b) the 30 day U.S. LIBOR on the last business day of the month plus 7.38%. The Company was also required to issue to Oxford at the date of each borrowing warrants to purchase its Series F or later series of convertible preferred stock with a seven year term and in an amount equal to 3.95% of the first $5.0 million of each tranche borrowed. The credit facility matures and all amounts borrowed thereunder are due on March 1, 2022. As of June 30, 2018, the Company had borrowed and had outstanding an aggregate of $30.0 million of principal under the credit facility.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9" w:right="299" w:bottom="1440" w:gutter="0" w:footer="0" w:header="0"/>
        </w:sectPr>
      </w:pPr>
    </w:p>
    <w:bookmarkStart w:id="11" w:name="page12"/>
    <w:bookmarkEnd w:id="11"/>
    <w:p>
      <w:pPr>
        <w:ind w:right="100"/>
        <w:spacing w:after="0" w:line="293" w:lineRule="auto"/>
        <w:rPr>
          <w:sz w:val="20"/>
          <w:szCs w:val="20"/>
          <w:color w:val="auto"/>
        </w:rPr>
      </w:pPr>
      <w:r>
        <w:rPr>
          <w:rFonts w:ascii="Arial" w:cs="Arial" w:eastAsia="Arial" w:hAnsi="Arial"/>
          <w:sz w:val="16"/>
          <w:szCs w:val="16"/>
          <w:color w:val="auto"/>
        </w:rPr>
        <w:t>The Term A Loan features an interest-only period through March 2019, during which time the Company is required to make monthly interest payments, after which time the Company is required to make monthly payments of principal and interest based on a 36-month amortization schedule. However, upon the achievement of $45.0 million of revenues during fiscal 2018, the interest-only period can be extended for an additional 12 months through March 2020 and the amortization period then becomes 24 months. In connection with the drawdown of the Term A Loan, the Company issued to the lender warrants to purchase 588,498 shares of its Series F convertible preferred stock, which had an exercise price of $0.3356 per share and which expire in March 2024. These convertible preferred stock warrants converted into common stock warrants immediately prior to the closing of the Company’s IPO on July 2, 2018.</w:t>
      </w:r>
    </w:p>
    <w:p>
      <w:pPr>
        <w:spacing w:after="0" w:line="11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Term B Loan features an interest-only period through March 2019, during which time the Company is required to make monthly interest payments, after which time the Company is required to make monthly payments of principal and interest based on a 36-month amortization schedule. However, upon the achievement of $45.0 million of revenues during fiscal 2018, the interest-only period can be extended for an additional 12 months through March 2020 and the amortization period then becomes 24 months. In connection with the drawdown of the Term B Loan, the Company issued to the lender warrants to purchase 588,498 shares of its Series F convertible preferred stock, which had an exercise price of $0.3356 per share and which expire in December 2024. These convertible preferred stock warrants converted into common stock warrants immediately prior to the closing of the Company’s IPO on July 2, 2018.</w:t>
      </w:r>
    </w:p>
    <w:p>
      <w:pPr>
        <w:spacing w:after="0" w:line="1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principal and interest payments due under the credit facility, the Company is required to make final payment fees to the lender due upon the earlier of prepayment or maturity of each tranche, which are equal to 8% and 7% of the principal amounts of the Term A and Term B Loans, respectively, except that if the interest-only periods on the Term A and Term B Loans are extended then the final payment fees increase to 8.5% and 7.5% of the principal amounts of the Term A and Term B Loans, respectively. The Company accrues the estimated final payment fees using the effective interest rate, with a charge to non-cash interest expense, over the term of borrowing for each tranche. As of both June 30, 2018 and December 31, 2017, the effective interest rates for the Term A and Term B Loans were 10.7% and 11.6%, respectively. If the Company prepays its term loans prior to their respective scheduled maturities, it will also be required to make prepayment fees to the lender equal to 3% if prepaid on or before the first anniversary of funding, 2% if prepaid after the first and on or before the second anniversary of funding or 1% if prepaid after the second anniversary of funding of the principal amounts borrowed.</w:t>
      </w:r>
    </w:p>
    <w:p>
      <w:pPr>
        <w:spacing w:after="0" w:line="11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Company’s obligations under the credit facility are secured by a first priority security interest in substantially all of its assets, other than its intellectual property. The Company has agreed not to pledge or otherwise encumber any of its intellectual property. The loan and security agreement related to the credit facility includes a financial maintenance covenant that requires the Company to achieve at least 75% of its trailing 12-month forecasted revenues, as measured each month in accordance with a forecast that the Company provided to Oxford upon signing the agreement and future forecasts that the Company is required to deliver to the lenders each year for the life of the credit facility, as well as customary affirmative and negative covenants. The Company was in compliance with all of the covenants under its credit facility as of June 30, 2018.</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significant judgments, orders or decrees for payments by the Company not covered by insurance; (vii) incorrectness of representations and warranties; (viii) incurrence of subordinated debt; (ix) revocation of governmental approvals necessary for the Company to conduct its business; and (x) failure by the Company to maintain a valid and perfected lien on the collateral securing the borrowing.</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a 36-month amortization of the outstanding principal amounts of the Term A and Term B Loans beginning on April 1, 2019 as discussed above, the following table sets forth by year the Company’s required future principal payments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rPr>
              <w:t>Year:</w:t>
            </w: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94"/>
              <w:spacing w:after="0"/>
              <w:rPr>
                <w:sz w:val="20"/>
                <w:szCs w:val="20"/>
                <w:color w:val="auto"/>
              </w:rPr>
            </w:pPr>
            <w:r>
              <w:rPr>
                <w:rFonts w:ascii="Arial" w:cs="Arial" w:eastAsia="Arial" w:hAnsi="Arial"/>
                <w:sz w:val="14"/>
                <w:szCs w:val="14"/>
                <w:b w:val="1"/>
                <w:bCs w:val="1"/>
                <w:color w:val="auto"/>
              </w:rPr>
              <w:t>Principal</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94"/>
              <w:spacing w:after="0"/>
              <w:rPr>
                <w:sz w:val="20"/>
                <w:szCs w:val="20"/>
                <w:color w:val="auto"/>
              </w:rPr>
            </w:pPr>
            <w:r>
              <w:rPr>
                <w:rFonts w:ascii="Arial" w:cs="Arial" w:eastAsia="Arial" w:hAnsi="Arial"/>
                <w:sz w:val="14"/>
                <w:szCs w:val="14"/>
                <w:b w:val="1"/>
                <w:bCs w:val="1"/>
                <w:color w:val="auto"/>
                <w:w w:val="99"/>
              </w:rPr>
              <w:t>Payments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2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2019</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2021</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Total principal payments</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80" w:type="dxa"/>
            <w:vAlign w:val="bottom"/>
            <w:vMerge w:val="restart"/>
          </w:tcPr>
          <w:p>
            <w:pPr>
              <w:jc w:val="right"/>
              <w:ind w:right="18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Previous $25.0 Million Credit Facility</w:t>
      </w:r>
    </w:p>
    <w:p>
      <w:pPr>
        <w:spacing w:after="0" w:line="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March 2017, the Company had a $25.0 million credit facility in place with Oxford, which it entered into in February 2014 and which allowed it to borrow up to $25.0 million in three tranches of term loans: a Term A Loan in the amount of $15.0 million, a Term B Loan in the amount of $5.0 million and a Term C Loan in the amount of $5.0 million, which was never drawn down. Each term loan accrued interest at per annum rates ranging from 8.5% to 8.9%. This facility featured an interest-only period on all tranches through March 2017, and the Company was also required to issue convertible preferred stock warrants to the lender at the time of borrowing of each tranche. These convertible preferred stock warrants converted into common stock warrants immediately prior to the closing of the Company’s IPO on July 2, 2018.</w:t>
      </w:r>
    </w:p>
    <w:p>
      <w:pPr>
        <w:spacing w:after="0" w:line="1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principal and interest payments due under the previous $25.0 million credit facility, the Company was required to make final payment fees to the lender upon the earlier of prepayment or maturity and equal to 8.5% and 4.7% of the principal amounts of the Term A and Term B Loans, respectively. The Company accrued final payment fees using the effective interest rate, with a charge to non-cash interest expense, over the term of borrowing and until its entry into the current credit facility in March 2017, at which time the Company paid the lender $1.0 million in satisfaction of all final payment fee liabilities due under the prior credit facility.</w:t>
      </w:r>
    </w:p>
    <w:p>
      <w:pPr>
        <w:spacing w:after="0" w:line="13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Management evaluated whether the current credit facility entered into in March 2017 represented a debt modification or extinguishment in accordance with ASC 470-50, Debt—Modifications and Extinguishments. Upon determining that the change in cash flows between the previous and current credit facilities was not greater than 10%, management accounted for the transaction as a debt modification. As of March 2017, the unamortized balance of deferred debt issuance costs incurred in connection with the $25.0 million credit facility, and certain additional deferred debt issuance costs incurred in connection with entry into the current credit facility, are being amortized to interest expense through March 2022 utilizing the effective interest method.</w:t>
      </w:r>
    </w:p>
    <w:p>
      <w:pPr>
        <w:spacing w:after="0" w:line="100" w:lineRule="exact"/>
        <w:rPr>
          <w:sz w:val="20"/>
          <w:szCs w:val="20"/>
          <w:color w:val="auto"/>
        </w:rPr>
      </w:pPr>
    </w:p>
    <w:p>
      <w:pPr>
        <w:ind w:right="5060" w:firstLine="8"/>
        <w:spacing w:after="0" w:line="338" w:lineRule="auto"/>
        <w:tabs>
          <w:tab w:leader="none" w:pos="37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DEFICIT Initial Public Offering</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July 2, 2018, the Company closed its IPO, in which the Company issued and sold 6.325 million shares of its common stock, which included the exercise of the underwriters’ option to purchase an additional 0.825 million shares of common stock, at a public offering price of $17.00 per share. The Company received net proceeds of $100.0 million after deducting underwriting discounts and commissions of $7.5 million but before deducting other offering expenses. In addition, upon the closing of the IPO on July 2, 2018, (i) all of the Company’s outstanding shares of convertible preferred stock converted into 11.0 million shares of common stock; (ii) all of the Company’s outstanding warrants to purchase convertible preferred stock converted into warrants to purchase common stock; and (iii) the Company filed an amended and restated certificate of incorporation to, among other things, decrease the number of shares of common stock, $0.01 par value per share, authorized for issuance to 200.0 million and to authorize the board of directors to issue up to 10.0 million shares of “blank check” preferred stock, $0.01 par value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amended certificate of incorporation as of June 30, 2018 authorized the issuance of 413.9 million shares of common stock, $0.01 par value per share, of which 0.3 million were issued and outstanding as of June 30, 2018. In addition, the Company was required to reserve and keep available out of its authorized but unissued shares of common stock a number of shares sufficient to effect the conversion into common stock of all outstanding shares of convertible preferred stock and convertible preferred stock warrants, convertible preferred stock or common stock warrants issuable upon borrowing the Term C Loan under the current $35.0 million credit facility, stock options granted and shares available for grant under its stock incentive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right="720"/>
        <w:spacing w:after="0" w:line="277"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June 30, 2018 (in thousands):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of common stock issued</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Shares of common stock reserved for issuance for:</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preferred stock outstanding:</w:t>
            </w: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620" w:type="dxa"/>
            <w:vAlign w:val="bottom"/>
          </w:tcPr>
          <w:p>
            <w:pPr>
              <w:ind w:left="480"/>
              <w:spacing w:after="0"/>
              <w:rPr>
                <w:sz w:val="20"/>
                <w:szCs w:val="20"/>
                <w:color w:val="auto"/>
              </w:rPr>
            </w:pPr>
            <w:r>
              <w:rPr>
                <w:rFonts w:ascii="Arial" w:cs="Arial" w:eastAsia="Arial" w:hAnsi="Arial"/>
                <w:sz w:val="18"/>
                <w:szCs w:val="18"/>
                <w:color w:val="auto"/>
              </w:rPr>
              <w:t>Series A-1</w:t>
            </w: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9"/>
                <w:szCs w:val="19"/>
                <w:color w:val="auto"/>
              </w:rPr>
            </w:pPr>
          </w:p>
        </w:tc>
      </w:tr>
      <w:tr>
        <w:trPr>
          <w:trHeight w:val="230"/>
        </w:trPr>
        <w:tc>
          <w:tcPr>
            <w:tcW w:w="5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Series A-2 </w:t>
            </w:r>
            <w:r>
              <w:rPr>
                <w:rFonts w:ascii="Arial" w:cs="Arial" w:eastAsia="Arial" w:hAnsi="Arial"/>
                <w:sz w:val="15"/>
                <w:szCs w:val="15"/>
                <w:color w:val="auto"/>
              </w:rPr>
              <w:t>(1)</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60" w:type="dxa"/>
            <w:vAlign w:val="bottom"/>
            <w:shd w:val="clear" w:color="auto" w:fill="CFF0FC"/>
          </w:tcPr>
          <w:p>
            <w:pPr>
              <w:spacing w:after="0"/>
              <w:rPr>
                <w:sz w:val="19"/>
                <w:szCs w:val="19"/>
                <w:color w:val="auto"/>
              </w:rPr>
            </w:pPr>
          </w:p>
        </w:tc>
      </w:tr>
      <w:tr>
        <w:trPr>
          <w:trHeight w:val="230"/>
        </w:trPr>
        <w:tc>
          <w:tcPr>
            <w:tcW w:w="5620" w:type="dxa"/>
            <w:vAlign w:val="bottom"/>
          </w:tcPr>
          <w:p>
            <w:pPr>
              <w:ind w:left="480"/>
              <w:spacing w:after="0"/>
              <w:rPr>
                <w:sz w:val="20"/>
                <w:szCs w:val="20"/>
                <w:color w:val="auto"/>
              </w:rPr>
            </w:pPr>
            <w:r>
              <w:rPr>
                <w:rFonts w:ascii="Arial" w:cs="Arial" w:eastAsia="Arial" w:hAnsi="Arial"/>
                <w:sz w:val="18"/>
                <w:szCs w:val="18"/>
                <w:color w:val="auto"/>
              </w:rPr>
              <w:t xml:space="preserve">Series B </w:t>
            </w:r>
            <w:r>
              <w:rPr>
                <w:rFonts w:ascii="Arial" w:cs="Arial" w:eastAsia="Arial" w:hAnsi="Arial"/>
                <w:sz w:val="15"/>
                <w:szCs w:val="15"/>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19"/>
                <w:szCs w:val="19"/>
                <w:color w:val="auto"/>
              </w:rPr>
            </w:pPr>
          </w:p>
        </w:tc>
      </w:tr>
      <w:tr>
        <w:trPr>
          <w:trHeight w:val="230"/>
        </w:trPr>
        <w:tc>
          <w:tcPr>
            <w:tcW w:w="5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Series C </w:t>
            </w:r>
            <w:r>
              <w:rPr>
                <w:rFonts w:ascii="Arial" w:cs="Arial" w:eastAsia="Arial" w:hAnsi="Arial"/>
                <w:sz w:val="15"/>
                <w:szCs w:val="15"/>
                <w:color w:val="auto"/>
              </w:rPr>
              <w:t>(3)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60" w:type="dxa"/>
            <w:vAlign w:val="bottom"/>
            <w:shd w:val="clear" w:color="auto" w:fill="CFF0FC"/>
          </w:tcPr>
          <w:p>
            <w:pPr>
              <w:spacing w:after="0"/>
              <w:rPr>
                <w:sz w:val="19"/>
                <w:szCs w:val="19"/>
                <w:color w:val="auto"/>
              </w:rPr>
            </w:pPr>
          </w:p>
        </w:tc>
      </w:tr>
      <w:tr>
        <w:trPr>
          <w:trHeight w:val="230"/>
        </w:trPr>
        <w:tc>
          <w:tcPr>
            <w:tcW w:w="5620" w:type="dxa"/>
            <w:vAlign w:val="bottom"/>
          </w:tcPr>
          <w:p>
            <w:pPr>
              <w:ind w:left="480"/>
              <w:spacing w:after="0"/>
              <w:rPr>
                <w:sz w:val="20"/>
                <w:szCs w:val="20"/>
                <w:color w:val="auto"/>
              </w:rPr>
            </w:pPr>
            <w:r>
              <w:rPr>
                <w:rFonts w:ascii="Arial" w:cs="Arial" w:eastAsia="Arial" w:hAnsi="Arial"/>
                <w:sz w:val="18"/>
                <w:szCs w:val="18"/>
                <w:color w:val="auto"/>
              </w:rPr>
              <w:t>Series D</w:t>
            </w:r>
          </w:p>
        </w:tc>
        <w:tc>
          <w:tcPr>
            <w:tcW w:w="1160" w:type="dxa"/>
            <w:vAlign w:val="bottom"/>
          </w:tcPr>
          <w:p>
            <w:pPr>
              <w:jc w:val="right"/>
              <w:spacing w:after="0"/>
              <w:rPr>
                <w:sz w:val="20"/>
                <w:szCs w:val="20"/>
                <w:color w:val="auto"/>
              </w:rPr>
            </w:pPr>
            <w:r>
              <w:rPr>
                <w:rFonts w:ascii="Arial" w:cs="Arial" w:eastAsia="Arial" w:hAnsi="Arial"/>
                <w:sz w:val="18"/>
                <w:szCs w:val="18"/>
                <w:color w:val="auto"/>
              </w:rPr>
              <w:t>1,705</w:t>
            </w:r>
          </w:p>
        </w:tc>
        <w:tc>
          <w:tcPr>
            <w:tcW w:w="60" w:type="dxa"/>
            <w:vAlign w:val="bottom"/>
          </w:tcPr>
          <w:p>
            <w:pPr>
              <w:spacing w:after="0"/>
              <w:rPr>
                <w:sz w:val="19"/>
                <w:szCs w:val="19"/>
                <w:color w:val="auto"/>
              </w:rPr>
            </w:pPr>
          </w:p>
        </w:tc>
      </w:tr>
      <w:tr>
        <w:trPr>
          <w:trHeight w:val="230"/>
        </w:trPr>
        <w:tc>
          <w:tcPr>
            <w:tcW w:w="5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Series 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60" w:type="dxa"/>
            <w:vAlign w:val="bottom"/>
            <w:shd w:val="clear" w:color="auto" w:fill="CFF0FC"/>
          </w:tcPr>
          <w:p>
            <w:pPr>
              <w:spacing w:after="0"/>
              <w:rPr>
                <w:sz w:val="19"/>
                <w:szCs w:val="19"/>
                <w:color w:val="auto"/>
              </w:rPr>
            </w:pPr>
          </w:p>
        </w:tc>
      </w:tr>
      <w:tr>
        <w:trPr>
          <w:trHeight w:val="230"/>
        </w:trPr>
        <w:tc>
          <w:tcPr>
            <w:tcW w:w="5620" w:type="dxa"/>
            <w:vAlign w:val="bottom"/>
          </w:tcPr>
          <w:p>
            <w:pPr>
              <w:ind w:left="480"/>
              <w:spacing w:after="0"/>
              <w:rPr>
                <w:sz w:val="20"/>
                <w:szCs w:val="20"/>
                <w:color w:val="auto"/>
              </w:rPr>
            </w:pPr>
            <w:r>
              <w:rPr>
                <w:rFonts w:ascii="Arial" w:cs="Arial" w:eastAsia="Arial" w:hAnsi="Arial"/>
                <w:sz w:val="18"/>
                <w:szCs w:val="18"/>
                <w:color w:val="auto"/>
              </w:rPr>
              <w:t>Series F</w:t>
            </w:r>
          </w:p>
        </w:tc>
        <w:tc>
          <w:tcPr>
            <w:tcW w:w="1160" w:type="dxa"/>
            <w:vAlign w:val="bottom"/>
          </w:tcPr>
          <w:p>
            <w:pPr>
              <w:jc w:val="right"/>
              <w:spacing w:after="0"/>
              <w:rPr>
                <w:sz w:val="20"/>
                <w:szCs w:val="20"/>
                <w:color w:val="auto"/>
              </w:rPr>
            </w:pPr>
            <w:r>
              <w:rPr>
                <w:rFonts w:ascii="Arial" w:cs="Arial" w:eastAsia="Arial" w:hAnsi="Arial"/>
                <w:sz w:val="18"/>
                <w:szCs w:val="18"/>
                <w:color w:val="auto"/>
              </w:rPr>
              <w:t>3,531</w:t>
            </w:r>
          </w:p>
        </w:tc>
        <w:tc>
          <w:tcPr>
            <w:tcW w:w="60" w:type="dxa"/>
            <w:vAlign w:val="bottom"/>
          </w:tcPr>
          <w:p>
            <w:pPr>
              <w:spacing w:after="0"/>
              <w:rPr>
                <w:sz w:val="19"/>
                <w:szCs w:val="19"/>
                <w:color w:val="auto"/>
              </w:rPr>
            </w:pPr>
          </w:p>
        </w:tc>
      </w:tr>
      <w:tr>
        <w:trPr>
          <w:trHeight w:val="230"/>
        </w:trPr>
        <w:tc>
          <w:tcPr>
            <w:tcW w:w="5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Series G</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FF0FC"/>
          </w:tcPr>
          <w:p>
            <w:pPr>
              <w:spacing w:after="0"/>
              <w:rPr>
                <w:sz w:val="19"/>
                <w:szCs w:val="19"/>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Convertible preferred stock warrants outstanding:</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Series 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9"/>
                <w:szCs w:val="19"/>
                <w:color w:val="auto"/>
              </w:rPr>
            </w:pPr>
          </w:p>
        </w:tc>
      </w:tr>
      <w:tr>
        <w:trPr>
          <w:trHeight w:val="230"/>
        </w:trPr>
        <w:tc>
          <w:tcPr>
            <w:tcW w:w="5620" w:type="dxa"/>
            <w:vAlign w:val="bottom"/>
          </w:tcPr>
          <w:p>
            <w:pPr>
              <w:ind w:left="480"/>
              <w:spacing w:after="0"/>
              <w:rPr>
                <w:sz w:val="20"/>
                <w:szCs w:val="20"/>
                <w:color w:val="auto"/>
              </w:rPr>
            </w:pPr>
            <w:r>
              <w:rPr>
                <w:rFonts w:ascii="Arial" w:cs="Arial" w:eastAsia="Arial" w:hAnsi="Arial"/>
                <w:sz w:val="18"/>
                <w:szCs w:val="18"/>
                <w:color w:val="auto"/>
              </w:rPr>
              <w:t>Series F</w:t>
            </w: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r>
      <w:tr>
        <w:trPr>
          <w:trHeight w:val="230"/>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Warrants issuable upon Term C Loan borrowing</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Stock options outstanding</w:t>
            </w:r>
          </w:p>
        </w:tc>
        <w:tc>
          <w:tcPr>
            <w:tcW w:w="1160" w:type="dxa"/>
            <w:vAlign w:val="bottom"/>
          </w:tcPr>
          <w:p>
            <w:pPr>
              <w:jc w:val="right"/>
              <w:spacing w:after="0"/>
              <w:rPr>
                <w:sz w:val="20"/>
                <w:szCs w:val="20"/>
                <w:color w:val="auto"/>
              </w:rPr>
            </w:pPr>
            <w:r>
              <w:rPr>
                <w:rFonts w:ascii="Arial" w:cs="Arial" w:eastAsia="Arial" w:hAnsi="Arial"/>
                <w:sz w:val="18"/>
                <w:szCs w:val="18"/>
                <w:color w:val="auto"/>
              </w:rPr>
              <w:t>2,855</w:t>
            </w:r>
          </w:p>
        </w:tc>
        <w:tc>
          <w:tcPr>
            <w:tcW w:w="60" w:type="dxa"/>
            <w:vAlign w:val="bottom"/>
          </w:tcPr>
          <w:p>
            <w:pPr>
              <w:spacing w:after="0"/>
              <w:rPr>
                <w:sz w:val="19"/>
                <w:szCs w:val="19"/>
                <w:color w:val="auto"/>
              </w:rPr>
            </w:pPr>
          </w:p>
        </w:tc>
      </w:tr>
      <w:tr>
        <w:trPr>
          <w:trHeight w:val="230"/>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available for grant under stock incentive plan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19"/>
                <w:szCs w:val="19"/>
                <w:color w:val="auto"/>
              </w:rPr>
            </w:pPr>
          </w:p>
        </w:tc>
      </w:tr>
      <w:tr>
        <w:trPr>
          <w:trHeight w:val="209"/>
        </w:trPr>
        <w:tc>
          <w:tcPr>
            <w:tcW w:w="5620" w:type="dxa"/>
            <w:vAlign w:val="bottom"/>
          </w:tcPr>
          <w:p>
            <w:pPr>
              <w:ind w:left="480"/>
              <w:spacing w:after="0"/>
              <w:rPr>
                <w:sz w:val="20"/>
                <w:szCs w:val="20"/>
                <w:color w:val="auto"/>
              </w:rPr>
            </w:pPr>
            <w:r>
              <w:rPr>
                <w:rFonts w:ascii="Arial" w:cs="Arial" w:eastAsia="Arial" w:hAnsi="Arial"/>
                <w:sz w:val="18"/>
                <w:szCs w:val="18"/>
                <w:color w:val="auto"/>
              </w:rPr>
              <w:t>Total shares of common stock issued and reserved for</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620" w:type="dxa"/>
            <w:vAlign w:val="bottom"/>
          </w:tcPr>
          <w:p>
            <w:pPr>
              <w:ind w:left="620"/>
              <w:spacing w:after="0"/>
              <w:rPr>
                <w:sz w:val="20"/>
                <w:szCs w:val="20"/>
                <w:color w:val="auto"/>
              </w:rPr>
            </w:pPr>
            <w:r>
              <w:rPr>
                <w:rFonts w:ascii="Arial" w:cs="Arial" w:eastAsia="Arial" w:hAnsi="Arial"/>
                <w:sz w:val="18"/>
                <w:szCs w:val="18"/>
                <w:color w:val="auto"/>
              </w:rPr>
              <w:t>issuance</w:t>
            </w:r>
          </w:p>
        </w:tc>
        <w:tc>
          <w:tcPr>
            <w:tcW w:w="1160" w:type="dxa"/>
            <w:vAlign w:val="bottom"/>
          </w:tcPr>
          <w:p>
            <w:pPr>
              <w:jc w:val="right"/>
              <w:spacing w:after="0"/>
              <w:rPr>
                <w:sz w:val="20"/>
                <w:szCs w:val="20"/>
                <w:color w:val="auto"/>
              </w:rPr>
            </w:pPr>
            <w:r>
              <w:rPr>
                <w:rFonts w:ascii="Arial" w:cs="Arial" w:eastAsia="Arial" w:hAnsi="Arial"/>
                <w:sz w:val="18"/>
                <w:szCs w:val="18"/>
                <w:color w:val="auto"/>
              </w:rPr>
              <w:t>14,279</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17145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10"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1"/>
          <w:szCs w:val="11"/>
          <w:color w:val="auto"/>
        </w:rPr>
      </w:pPr>
      <w:r>
        <w:rPr>
          <w:rFonts w:ascii="Arial" w:cs="Arial" w:eastAsia="Arial" w:hAnsi="Arial"/>
          <w:sz w:val="13"/>
          <w:szCs w:val="13"/>
          <w:color w:val="auto"/>
        </w:rPr>
        <w:t>Shares of Series A-2 convertible preferred stock convert to common stock at a ratio of 0.03539 shares of common stock per share of Series A-2 convertible preferred stock.</w:t>
      </w:r>
    </w:p>
    <w:p>
      <w:pPr>
        <w:ind w:left="380" w:hanging="372"/>
        <w:spacing w:after="0" w:line="216" w:lineRule="auto"/>
        <w:tabs>
          <w:tab w:leader="none" w:pos="380" w:val="left"/>
        </w:tabs>
        <w:numPr>
          <w:ilvl w:val="0"/>
          <w:numId w:val="14"/>
        </w:numPr>
        <w:rPr>
          <w:rFonts w:ascii="Arial" w:cs="Arial" w:eastAsia="Arial" w:hAnsi="Arial"/>
          <w:sz w:val="11"/>
          <w:szCs w:val="11"/>
          <w:color w:val="auto"/>
        </w:rPr>
      </w:pPr>
      <w:r>
        <w:rPr>
          <w:rFonts w:ascii="Arial" w:cs="Arial" w:eastAsia="Arial" w:hAnsi="Arial"/>
          <w:sz w:val="13"/>
          <w:szCs w:val="13"/>
          <w:color w:val="auto"/>
        </w:rPr>
        <w:t>Shares of Series B convertible preferred stock convert to common stock at a ratio of 0.04103 shares of common stock per share of Series B convertible preferred stock.</w:t>
      </w:r>
    </w:p>
    <w:p>
      <w:pPr>
        <w:ind w:left="380" w:hanging="372"/>
        <w:spacing w:after="0" w:line="184" w:lineRule="auto"/>
        <w:tabs>
          <w:tab w:leader="none" w:pos="380" w:val="left"/>
        </w:tabs>
        <w:numPr>
          <w:ilvl w:val="0"/>
          <w:numId w:val="14"/>
        </w:numPr>
        <w:rPr>
          <w:rFonts w:ascii="Arial" w:cs="Arial" w:eastAsia="Arial" w:hAnsi="Arial"/>
          <w:sz w:val="17"/>
          <w:szCs w:val="17"/>
          <w:color w:val="auto"/>
          <w:vertAlign w:val="superscript"/>
        </w:rPr>
      </w:pPr>
      <w:r>
        <w:rPr>
          <w:rFonts w:ascii="Arial" w:cs="Arial" w:eastAsia="Arial" w:hAnsi="Arial"/>
          <w:sz w:val="12"/>
          <w:szCs w:val="12"/>
          <w:color w:val="auto"/>
        </w:rPr>
        <w:t>Shares of Series C convertible preferred stock convert to common stock at a ratio of 0.05071 shares of common stock per share of Series C convertible preferred stock.</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Subject to preferences that may apply to any outstanding convertible preferred stock, holders of common stock are entitled to receive proportionally any dividends that the Company’s board of directors may declare out of funds legally available for that purpose on a non-cumulative basis. The Company has never paid, and for the foreseeable future does not expect to pay, a dividend on its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amended certificate of incorporation as of June 30, 2018 authorized the issuance of 308.6 million shares of convertible preferred stock, $0.01 par value per share, of which the Company had designated and issued Series A-1, Series A-2, Series B, Series C, Series D, Series E, Series F and Series G shares. Series A-1 through Series E shares of convertible preferred stock are referred to collectively as Junior Securities and are subordinate to shares of Series G and Series F convertible preferred stock. All of the Company’s convertible preferred stock was classified outside of stockholders’ deficit as of June 30, 2018 because the shares contain deemed liquidation rights that are a contingent redemption feature not solely within the control of the Company and the IPO had not yet closed.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convertible preferred stock as of June 30, 2018 and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Authorized</w:t>
            </w: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Liquidation</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Liquidation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2"/>
                <w:szCs w:val="12"/>
                <w:color w:val="auto"/>
              </w:rPr>
            </w:pPr>
          </w:p>
        </w:tc>
        <w:tc>
          <w:tcPr>
            <w:tcW w:w="8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0.0617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Series A-2</w:t>
            </w:r>
          </w:p>
        </w:tc>
        <w:tc>
          <w:tcPr>
            <w:tcW w:w="1020" w:type="dxa"/>
            <w:vAlign w:val="bottom"/>
          </w:tcPr>
          <w:p>
            <w:pPr>
              <w:jc w:val="right"/>
              <w:spacing w:after="0"/>
              <w:rPr>
                <w:sz w:val="20"/>
                <w:szCs w:val="20"/>
                <w:color w:val="auto"/>
              </w:rPr>
            </w:pPr>
            <w:r>
              <w:rPr>
                <w:rFonts w:ascii="Arial" w:cs="Arial" w:eastAsia="Arial" w:hAnsi="Arial"/>
                <w:sz w:val="18"/>
                <w:szCs w:val="18"/>
                <w:color w:val="auto"/>
              </w:rPr>
              <w:t>25,385</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25,385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0.2052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Series B</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Series C</w:t>
            </w:r>
          </w:p>
        </w:tc>
        <w:tc>
          <w:tcPr>
            <w:tcW w:w="1020" w:type="dxa"/>
            <w:vAlign w:val="bottom"/>
          </w:tcPr>
          <w:p>
            <w:pPr>
              <w:jc w:val="right"/>
              <w:spacing w:after="0"/>
              <w:rPr>
                <w:sz w:val="20"/>
                <w:szCs w:val="20"/>
                <w:color w:val="auto"/>
              </w:rPr>
            </w:pPr>
            <w:r>
              <w:rPr>
                <w:rFonts w:ascii="Arial" w:cs="Arial" w:eastAsia="Arial" w:hAnsi="Arial"/>
                <w:sz w:val="18"/>
                <w:szCs w:val="18"/>
                <w:color w:val="auto"/>
              </w:rPr>
              <w:t>20,958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20,958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0.5253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Series 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49,426</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0.2874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Series E</w:t>
            </w:r>
          </w:p>
        </w:tc>
        <w:tc>
          <w:tcPr>
            <w:tcW w:w="1020" w:type="dxa"/>
            <w:vAlign w:val="bottom"/>
          </w:tcPr>
          <w:p>
            <w:pPr>
              <w:jc w:val="right"/>
              <w:spacing w:after="0"/>
              <w:rPr>
                <w:sz w:val="20"/>
                <w:szCs w:val="20"/>
                <w:color w:val="auto"/>
              </w:rPr>
            </w:pPr>
            <w:r>
              <w:rPr>
                <w:rFonts w:ascii="Arial" w:cs="Arial" w:eastAsia="Arial" w:hAnsi="Arial"/>
                <w:sz w:val="18"/>
                <w:szCs w:val="18"/>
                <w:color w:val="auto"/>
              </w:rPr>
              <w:t>44,873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44,471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0.5144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Series F</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105,567</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102,334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0.3356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40,584</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14,825</w:t>
            </w:r>
          </w:p>
        </w:tc>
        <w:tc>
          <w:tcPr>
            <w:tcW w:w="3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0.3696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at June 30, 2018 and December 31, 2017</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308,593</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304,958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108,324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20" w:type="dxa"/>
            <w:vAlign w:val="bottom"/>
          </w:tcPr>
          <w:p>
            <w:pPr>
              <w:jc w:val="right"/>
              <w:ind w:right="416"/>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Conversion</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share and series of convertible preferred stock is convertible into common stock at any time at the option of the holder thereof at the conversion price then in effect (each subject to adjustments upon the occurrence of certain dilutive events). At June 30, 2018 and immediately prior to the closing of the Company’s IPO on July 2, 2018, the conversion price for Series A-1, Series D, Series E, Series F and Series G shares was equal to the original issue price, resulting in a common stock conversion ratio of 1:0.0345. At June 30, 2018 and immediately prior to the closing of the Company’s IPO on July 2, 2018, as a result of past anti-dilution adjustments, the conversion price for Series A-2, Series B and Series C shares was below the original issue price, resulting in common stock conversion ratios of 1:0.03539, 1:0.04103 and 1:0.05071, respectively. Immediately prior to the closing of the Company’s IPO on July 2, 2018, all of the Company’s outstanding shares of convertible preferred stock converted into 11.0 million shares of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Liquidation Preferences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of June 30, 2018</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of a liquidation, dissolution or winding up of the Company, either voluntary or involuntary, or in the event of a deemed liquidation event, which includes a sale of the Company as defined in the Company’s certificate of incorporation, holders of Series G convertible preferred stock were entitled to receive, in preference to all other stockholders, an amount equal to their original investment amount plus any declared and unpaid dividends. If upon the occurrence of such event the assets and funds available for distribution are insufficient to pay such holders the full amount to which they are entitled, then the entire assets and funds legally available for distribution shall be distributed ratably among the holders of the Series G convertible preferred stock in proportion to the full amounts to which they would otherwise be entitled.</w:t>
      </w:r>
    </w:p>
    <w:p>
      <w:pPr>
        <w:spacing w:after="0" w:line="13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After payment in full of the liquidation preference of the Series G convertible preferred stock, holders of Series F convertible preferred stock were entitled to receive, in preference to all holders of Junior Securities and common stock, an amount equal to their original investment amount plus any declared and unpaid dividends. If upon the occurrence of such event the assets and funds available for distribution are insufficient to pay such holders the full amount to which they are entitled, then the entire remaining assets and funds legally available for distribution shall be distributed ratably among the holders of the Series F convertible preferred stock in proportion to the full amounts to which they would otherwise be entitled.</w:t>
      </w:r>
    </w:p>
    <w:p>
      <w:pPr>
        <w:spacing w:after="0" w:line="11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After payment in full of the liquidation preferences of the Series G and Series F convertible preferred stock, holders of Junior Securities were entitled to receive an amount equal to $59.2 million in the aggregate. If upon the occurrence of such event the assets and funds available for distribution are insufficient to pay such holders the full amount to which they are entitled, then the entire assets and funds legally available for distribution shall be distributed ratably among the holders of the Junior Securities in proportion to the full amounts to which they would otherwise be entitled.</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After payment in full of the liquidation preferences of the Series G, Series F and Junior Securities convertible preferred stock, holders of Series F convertible preferred stock were entitled to receive an additional liquidation preference at an amount equal to $0.1678 per share. If upon the occurrence of such event the assets and funds available for distribution are insufficient to pay such holders the full amount to which they are entitled, then the entire assets and funds legally available for distribution shall be distributed ratably among the holders of the Series F convertible preferred stock in proportion to the full amounts to which they would otherwise be entitled.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After payment in full of the liquidation preferences of the Series G, Series F and Junior Securities convertible preferred stock and the additional liquidation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preference for holders of Series F convertible preferred stock, holders of common stock and holders of Junior Securities, Series F and Series G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are entitled to receive a liquidation preference until the amount distributed to holders of the Series F convertible preferred stock equals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$1.0068 plus declared but unpaid dividends on each share and then to the holders of common stock and holders of Junior Securities and Series G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until the aggregate amount distributed to such holders equals the amount distributed to holders of Series F convertible preferred stock divided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the Series F ownership percentage.</w:t>
      </w:r>
    </w:p>
    <w:p>
      <w:pPr>
        <w:spacing w:after="0" w:line="1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payments of the above liquidation preferences have been made, any remaining assets shall be distributed ratably to holders of common stock and holders of Series G, Series F and Junior Securities convertible preferred stock on an “as-converted”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of July 2, 2018</w:t>
      </w:r>
    </w:p>
    <w:p>
      <w:pPr>
        <w:spacing w:after="0" w:line="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Immediately prior to the closing of the Company’s IPO on July 2, 2018, all of the Company’s outstanding shares of convertible preferred stock converted into 11.0 million shares of common stock, resulting in the elimination of the Company’s outstanding liquidation preferences.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Dividends</w:t>
      </w:r>
    </w:p>
    <w:p>
      <w:pPr>
        <w:spacing w:after="0" w:line="7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Each class of convertible preferred stock was entitled to receive non-cumulative annual dividends at a rate of 9.0%, if and when declared by the Company’s board of directors. The holders of Series G convertible preferred stock were entitled to dividends in preference to holders of any other class or series of the Company’s stock. The holders of Series F convertible preferred stock were entitled to dividends in preference to all holders of Junior Securities and holders of common stock. The holders of Junior Securities were entitled to dividends in preference to holders of common stock.</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the event a dividend is declared to common stockholders, holders of each class of convertible preferred stock will also receive an equivalent dividend on an “as-converted” basis. The Company has never paid, and for the foreseeable future does not expect to pay, a dividend on its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w:t>
      </w:r>
    </w:p>
    <w:p>
      <w:pPr>
        <w:spacing w:after="0" w:line="9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holders of each class of convertible preferred stock were entitled to one vote for each share of common stock into which their shares of convertible preferred stock may be converted and, subject to certain convertible preferred stock class votes specified in the Company’s certificate of incorporation or as required by law, the holders of convertible preferred stock and common stock vote together on an “as-converted”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Warrants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convertible preferred stock warrants as of June 30, 2018:</w:t>
      </w:r>
    </w:p>
    <w:p>
      <w:pPr>
        <w:spacing w:after="0" w:line="204"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Exercise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E</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0.6746</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Dec-2022</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Series F</w:t>
            </w:r>
          </w:p>
        </w:tc>
        <w:tc>
          <w:tcPr>
            <w:tcW w:w="1260" w:type="dxa"/>
            <w:vAlign w:val="bottom"/>
          </w:tcPr>
          <w:p>
            <w:pPr>
              <w:jc w:val="right"/>
              <w:spacing w:after="0"/>
              <w:rPr>
                <w:sz w:val="20"/>
                <w:szCs w:val="20"/>
                <w:color w:val="auto"/>
              </w:rPr>
            </w:pPr>
            <w:r>
              <w:rPr>
                <w:rFonts w:ascii="Arial" w:cs="Arial" w:eastAsia="Arial" w:hAnsi="Arial"/>
                <w:sz w:val="18"/>
                <w:szCs w:val="18"/>
                <w:color w:val="auto"/>
              </w:rPr>
              <w:t>878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0.3356</w:t>
            </w:r>
          </w:p>
        </w:tc>
        <w:tc>
          <w:tcPr>
            <w:tcW w:w="2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Feb-2021</w:t>
            </w: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Series F</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0.3356</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Aug-2023</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Series F</w:t>
            </w:r>
          </w:p>
        </w:tc>
        <w:tc>
          <w:tcPr>
            <w:tcW w:w="1260" w:type="dxa"/>
            <w:vAlign w:val="bottom"/>
          </w:tcPr>
          <w:p>
            <w:pPr>
              <w:jc w:val="right"/>
              <w:spacing w:after="0"/>
              <w:rPr>
                <w:sz w:val="20"/>
                <w:szCs w:val="20"/>
                <w:color w:val="auto"/>
              </w:rPr>
            </w:pPr>
            <w:r>
              <w:rPr>
                <w:rFonts w:ascii="Arial" w:cs="Arial" w:eastAsia="Arial" w:hAnsi="Arial"/>
                <w:sz w:val="18"/>
                <w:szCs w:val="18"/>
                <w:color w:val="auto"/>
              </w:rPr>
              <w:t>589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0.3356</w:t>
            </w:r>
          </w:p>
        </w:tc>
        <w:tc>
          <w:tcPr>
            <w:tcW w:w="2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Mar-2024</w:t>
            </w: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Series F</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0.3356</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Dec-2024</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Immediately prior to the closing of the Company’s IPO on July 2, 2018, all of the Company’s outstanding convertible preferred stock warrants converted into 0.1 million common stock warrants.</w:t>
      </w:r>
    </w:p>
    <w:p>
      <w:pPr>
        <w:spacing w:after="0" w:line="15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LOSS PER SHARE</w:t>
      </w:r>
    </w:p>
    <w:p>
      <w:pPr>
        <w:spacing w:after="0" w:line="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using the treasury stock method, along with the effect, if any, from the potential conversion of outstanding securities, such as convertible preferred stock.</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potentially dilutive securities outstanding as of June 30, 2018 and 2017 have been excluded from the denominator of the diluted loss per share of common stock outstanding calculation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2,855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Non-vested restricted stock awards</w:t>
            </w:r>
          </w:p>
        </w:tc>
        <w:tc>
          <w:tcPr>
            <w:tcW w:w="2840" w:type="dxa"/>
            <w:vAlign w:val="bottom"/>
            <w:gridSpan w:val="2"/>
          </w:tcPr>
          <w:p>
            <w:pPr>
              <w:jc w:val="right"/>
              <w:ind w:right="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284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2"/>
              </w:rPr>
              <w:t>Shares of convertible preferred stock “as-converted”</w:t>
            </w:r>
          </w:p>
        </w:tc>
        <w:tc>
          <w:tcPr>
            <w:tcW w:w="2840" w:type="dxa"/>
            <w:vAlign w:val="bottom"/>
            <w:gridSpan w:val="2"/>
          </w:tcPr>
          <w:p>
            <w:pPr>
              <w:jc w:val="right"/>
              <w:ind w:right="2"/>
              <w:spacing w:after="0"/>
              <w:rPr>
                <w:sz w:val="20"/>
                <w:szCs w:val="20"/>
                <w:color w:val="auto"/>
              </w:rPr>
            </w:pPr>
            <w:r>
              <w:rPr>
                <w:rFonts w:ascii="Arial" w:cs="Arial" w:eastAsia="Arial" w:hAnsi="Arial"/>
                <w:sz w:val="18"/>
                <w:szCs w:val="18"/>
                <w:color w:val="auto"/>
              </w:rPr>
              <w:t>10,994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10,994</w:t>
            </w:r>
          </w:p>
        </w:tc>
        <w:tc>
          <w:tcPr>
            <w:tcW w:w="1740" w:type="dxa"/>
            <w:vAlign w:val="bottom"/>
          </w:tcPr>
          <w:p>
            <w:pPr>
              <w:spacing w:after="0"/>
              <w:rPr>
                <w:sz w:val="20"/>
                <w:szCs w:val="20"/>
                <w:color w:val="auto"/>
              </w:rPr>
            </w:pPr>
          </w:p>
        </w:tc>
      </w:tr>
      <w:tr>
        <w:trPr>
          <w:trHeight w:val="634"/>
        </w:trPr>
        <w:tc>
          <w:tcPr>
            <w:tcW w:w="1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80" w:type="dxa"/>
            <w:vAlign w:val="bottom"/>
          </w:tcPr>
          <w:p>
            <w:pPr>
              <w:jc w:val="right"/>
              <w:ind w:right="1350"/>
              <w:spacing w:after="0"/>
              <w:rPr>
                <w:sz w:val="20"/>
                <w:szCs w:val="20"/>
                <w:color w:val="auto"/>
              </w:rPr>
            </w:pPr>
            <w:r>
              <w:rPr>
                <w:rFonts w:ascii="Arial" w:cs="Arial" w:eastAsia="Arial" w:hAnsi="Arial"/>
                <w:sz w:val="18"/>
                <w:szCs w:val="18"/>
                <w:color w:val="auto"/>
              </w:rPr>
              <w:t>16</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6" w:name="page17"/>
    <w:bookmarkEnd w:id="16"/>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SHARE-BASED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share-based compensation expense recognized by the Company by location in its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is as follows (in thousands):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8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7"/>
              </w:rPr>
              <w:t>Three Months ended June 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Sales and marketing</w:t>
            </w: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192</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Stock Incentive Plan</w:t>
      </w:r>
    </w:p>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April 2003 (and as subsequently amended), the Company adopted the 2003 Stock Incentive Plan, or 2003 Plan, which authorized the issuance of up to 3.1 million shares in the form of restricted stock, stock appreciation rights and stock options to the Company’s directors, employees and consultants. The amount and terms of grants are determined by the Company’s board of directors. To date, the Company has granted restricted stock awards only to an independent member of its board of directors and only as compensation for board service. All stock options granted to date have had exercise prices equal to the estimated fair value, as determined by the board of directors, of the underlying common stock on the date of the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June 30, 2018, there were 0.05 million shares available for future issuance under the 2003 Plan. As of the closing of the Company’s IPO, all shares available for issuance under the 2003 Plan were carried over to the newly adopted 2018 Stock Incentive Plan, or 2018 Plan. Therefore, the Company will not issue any additional equity awards under the 2003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2018:</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Shares under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per Option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2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67,395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at June 30, 2018</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34,779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vMerge w:val="continue"/>
          </w:tcPr>
          <w:p>
            <w:pPr>
              <w:spacing w:after="0"/>
              <w:rPr>
                <w:sz w:val="21"/>
                <w:szCs w:val="21"/>
                <w:color w:val="auto"/>
              </w:rPr>
            </w:pPr>
          </w:p>
        </w:tc>
        <w:tc>
          <w:tcPr>
            <w:tcW w:w="94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June 30, 2018</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67,395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recognized share-based compensation expense related to stock options of $0.2 million and $0.2 million for the three months ended June 30, 2018 and 2017, respectively, and $0.3 million and $0.2 million for the six months ended June 30, 2018 and 2017, respectively. As of June 30, 2018, there was $2.7 million of total unrecognized compensation cost related to non-vested stock options which the Company expects to recognize over a weighted-average period of 3.2 years. The weighted-average grant-date fair value of stock options granted during the six months ended June 30, 2018 was estimated at $3.64 per option. The total intrinsic value of stock options exercised during the six months ended June 30, 2018 was $0.1 million.</w:t>
      </w:r>
    </w:p>
    <w:p>
      <w:pPr>
        <w:spacing w:after="0" w:line="1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six months ended June 30, 2018, the grant-date fair value of stock options was estimated at the time of grant using the following weighted-average inputs and assumptions in the Black-Scholes option pricing model: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 of common stock</w:t>
            </w:r>
          </w:p>
        </w:tc>
        <w:tc>
          <w:tcPr>
            <w:tcW w:w="29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5"/>
              <w:spacing w:after="0"/>
              <w:rPr>
                <w:sz w:val="20"/>
                <w:szCs w:val="20"/>
                <w:color w:val="auto"/>
              </w:rPr>
            </w:pPr>
            <w:r>
              <w:rPr>
                <w:rFonts w:ascii="Arial" w:cs="Arial" w:eastAsia="Arial" w:hAnsi="Arial"/>
                <w:sz w:val="18"/>
                <w:szCs w:val="18"/>
                <w:color w:val="auto"/>
              </w:rPr>
              <w:t>5.94</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Exercise price</w:t>
            </w:r>
          </w:p>
        </w:tc>
        <w:tc>
          <w:tcPr>
            <w:tcW w:w="29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5"/>
              <w:spacing w:after="0"/>
              <w:rPr>
                <w:sz w:val="20"/>
                <w:szCs w:val="20"/>
                <w:color w:val="auto"/>
              </w:rPr>
            </w:pPr>
            <w:r>
              <w:rPr>
                <w:rFonts w:ascii="Arial" w:cs="Arial" w:eastAsia="Arial" w:hAnsi="Arial"/>
                <w:sz w:val="18"/>
                <w:szCs w:val="18"/>
                <w:color w:val="auto"/>
              </w:rPr>
              <w:t>5.94</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9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5"/>
              <w:spacing w:after="0"/>
              <w:rPr>
                <w:sz w:val="20"/>
                <w:szCs w:val="20"/>
                <w:color w:val="auto"/>
              </w:rPr>
            </w:pPr>
            <w:r>
              <w:rPr>
                <w:rFonts w:ascii="Arial" w:cs="Arial" w:eastAsia="Arial" w:hAnsi="Arial"/>
                <w:sz w:val="18"/>
                <w:szCs w:val="18"/>
                <w:color w:val="auto"/>
              </w:rPr>
              <w:t>6.0</w:t>
            </w:r>
          </w:p>
        </w:tc>
        <w:tc>
          <w:tcPr>
            <w:tcW w:w="2300" w:type="dxa"/>
            <w:vAlign w:val="bottom"/>
          </w:tcPr>
          <w:p>
            <w:pPr>
              <w:spacing w:after="0"/>
              <w:rPr>
                <w:sz w:val="19"/>
                <w:szCs w:val="19"/>
                <w:color w:val="auto"/>
              </w:rPr>
            </w:pPr>
          </w:p>
        </w:tc>
      </w:tr>
      <w:tr>
        <w:trPr>
          <w:trHeight w:val="243"/>
        </w:trPr>
        <w:tc>
          <w:tcPr>
            <w:tcW w:w="5320" w:type="dxa"/>
            <w:vAlign w:val="bottom"/>
            <w:gridSpan w:val="2"/>
          </w:tcPr>
          <w:p>
            <w:pPr>
              <w:ind w:left="2300"/>
              <w:spacing w:after="0"/>
              <w:rPr>
                <w:sz w:val="20"/>
                <w:szCs w:val="20"/>
                <w:color w:val="auto"/>
              </w:rPr>
            </w:pPr>
            <w:r>
              <w:rPr>
                <w:rFonts w:ascii="Arial" w:cs="Arial" w:eastAsia="Arial" w:hAnsi="Arial"/>
                <w:sz w:val="18"/>
                <w:szCs w:val="18"/>
                <w:color w:val="auto"/>
              </w:rPr>
              <w:t>Risk-free interest rate</w:t>
            </w:r>
          </w:p>
        </w:tc>
        <w:tc>
          <w:tcPr>
            <w:tcW w:w="2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2.7%</w:t>
            </w:r>
          </w:p>
        </w:tc>
        <w:tc>
          <w:tcPr>
            <w:tcW w:w="230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9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65.8%</w:t>
            </w:r>
          </w:p>
        </w:tc>
        <w:tc>
          <w:tcPr>
            <w:tcW w:w="2300" w:type="dxa"/>
            <w:vAlign w:val="bottom"/>
          </w:tcPr>
          <w:p>
            <w:pPr>
              <w:spacing w:after="0"/>
              <w:rPr>
                <w:sz w:val="21"/>
                <w:szCs w:val="21"/>
                <w:color w:val="auto"/>
              </w:rPr>
            </w:pPr>
          </w:p>
        </w:tc>
      </w:tr>
      <w:tr>
        <w:trPr>
          <w:trHeight w:val="250"/>
        </w:trPr>
        <w:tc>
          <w:tcPr>
            <w:tcW w:w="5320" w:type="dxa"/>
            <w:vAlign w:val="bottom"/>
            <w:gridSpan w:val="2"/>
          </w:tcPr>
          <w:p>
            <w:pPr>
              <w:ind w:left="2300"/>
              <w:spacing w:after="0"/>
              <w:rPr>
                <w:sz w:val="20"/>
                <w:szCs w:val="20"/>
                <w:color w:val="auto"/>
              </w:rPr>
            </w:pPr>
            <w:r>
              <w:rPr>
                <w:rFonts w:ascii="Arial" w:cs="Arial" w:eastAsia="Arial" w:hAnsi="Arial"/>
                <w:sz w:val="18"/>
                <w:szCs w:val="18"/>
                <w:color w:val="auto"/>
              </w:rPr>
              <w:t>Dividend yield</w:t>
            </w:r>
          </w:p>
        </w:tc>
        <w:tc>
          <w:tcPr>
            <w:tcW w:w="2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w:t>
            </w:r>
          </w:p>
        </w:tc>
        <w:tc>
          <w:tcPr>
            <w:tcW w:w="2300" w:type="dxa"/>
            <w:vAlign w:val="bottom"/>
          </w:tcPr>
          <w:p>
            <w:pPr>
              <w:spacing w:after="0"/>
              <w:rPr>
                <w:sz w:val="21"/>
                <w:szCs w:val="21"/>
                <w:color w:val="auto"/>
              </w:rPr>
            </w:pPr>
          </w:p>
        </w:tc>
      </w:tr>
      <w:tr>
        <w:trPr>
          <w:trHeight w:val="425"/>
        </w:trPr>
        <w:tc>
          <w:tcPr>
            <w:tcW w:w="2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00" w:type="dxa"/>
            <w:vAlign w:val="bottom"/>
          </w:tcPr>
          <w:p>
            <w:pPr>
              <w:jc w:val="right"/>
              <w:ind w:right="2330"/>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t>In April 2018, the Company’s board of directors granted options to purchase 54,794 shares of common stock to the members of the board. These options have an exercise price of $5.22 and vest in 12 equal monthly installments beginning in March 2018; however, the entire grant was subject to forfeiture if an initial public offering of the Company’s common stock did not occur by December 31, 2018. The estimated grant-date fair value of the options awards was $0.2 million. Upon the closing of the Company’s IPO on July 2, 2018, the Company will immediately recognize the fair value of the vested portion of the awards as share-based compensation expense, with the unvested portion to be recognized as share-based compensation expense ratably over the remaining service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restricted stock award activity for the six months ended June 30, 2018:</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Non-vested</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54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54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Grant-date</w:t>
            </w:r>
          </w:p>
        </w:tc>
      </w:tr>
      <w:tr>
        <w:trPr>
          <w:trHeight w:val="171"/>
        </w:trPr>
        <w:tc>
          <w:tcPr>
            <w:tcW w:w="54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June 30,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minimal share-based compensation expense related to restricted stock awards during the three and six months ended June 30, 2018 and 2017. As of June 30, 2018, there was minimal unrecognized compensation cost related to non-vested restricted stock awards which the Company expects to recognize over a weighted-average period of 9 months. The total fair value at the vesting date of restricted stock awards vested during the six months ended June 30, 2018 was $0.05 million.</w:t>
      </w:r>
    </w:p>
    <w:p>
      <w:pPr>
        <w:spacing w:after="0" w:line="129" w:lineRule="exact"/>
        <w:rPr>
          <w:sz w:val="20"/>
          <w:szCs w:val="20"/>
          <w:color w:val="auto"/>
        </w:rPr>
      </w:pPr>
    </w:p>
    <w:p>
      <w:pPr>
        <w:ind w:right="8520" w:firstLine="8"/>
        <w:spacing w:after="0" w:line="338" w:lineRule="auto"/>
        <w:tabs>
          <w:tab w:leader="none" w:pos="37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401(k) Defined Contribution Plan</w:t>
      </w:r>
    </w:p>
    <w:p>
      <w:pPr>
        <w:spacing w:after="0" w:line="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maintains a 401(k) defined contribution retirement plan which covers all of its employees. Employees are eligible to participate on the first of the month following their date of hire. Under the 401(k) plan, participating employees may defer up to 100% of their pre-tax salary but not more than statutory limits. There is currently no employer matching of employee contributions and employee contributions vest immediately.</w:t>
      </w:r>
    </w:p>
    <w:p>
      <w:pPr>
        <w:spacing w:after="0" w:line="107" w:lineRule="exact"/>
        <w:rPr>
          <w:sz w:val="20"/>
          <w:szCs w:val="20"/>
          <w:color w:val="auto"/>
        </w:rPr>
      </w:pPr>
    </w:p>
    <w:p>
      <w:pPr>
        <w:ind w:right="7560" w:firstLine="8"/>
        <w:spacing w:after="0" w:line="338" w:lineRule="auto"/>
        <w:tabs>
          <w:tab w:leader="none" w:pos="37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Executive Employment Agreements</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entered into an employment agreement and offer letters with certain key executives, providing for compensation and severance in certain circumstances, as defined in the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In January 2013, the Company entered into a 93-month lease for its headquarters office and warehouse. The Company also rents certain office equipment. The Company recognizes rent expense on a straight-line basis over the lease period and has accrued for rent expense incurred but not yet paid. Landlord allowances for tenant improvements are deferred and recognized as a reduction to rent expense on a straight-line basis and over the remaining lease term.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6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15.</w:t>
        <w:tab/>
        <w:t>GEOGRAPHICAL SEGMENT INFORMATION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8" w:name="page19"/>
    <w:bookmarkEnd w:id="18"/>
    <w:p>
      <w:pPr>
        <w:ind w:right="640"/>
        <w:spacing w:after="0" w:line="277" w:lineRule="auto"/>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for the years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1"/>
              </w:rPr>
              <w:t>Revenues by Geography</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4"/>
                <w:szCs w:val="14"/>
                <w:b w:val="1"/>
                <w:bCs w:val="1"/>
                <w:color w:val="auto"/>
                <w:w w:val="92"/>
              </w:rPr>
              <w:t>Three Months ended June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60"/>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8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20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vMerge w:val="continue"/>
            <w:shd w:val="clear" w:color="auto" w:fill="CFF0FC"/>
          </w:tcPr>
          <w:p>
            <w:pPr>
              <w:spacing w:after="0"/>
              <w:rPr>
                <w:sz w:val="19"/>
                <w:szCs w:val="19"/>
                <w:color w:val="auto"/>
              </w:rPr>
            </w:pPr>
          </w:p>
        </w:tc>
        <w:tc>
          <w:tcPr>
            <w:tcW w:w="20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1"/>
              </w:rPr>
              <w:t>Revenues by Geography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4"/>
                <w:szCs w:val="14"/>
                <w:b w:val="1"/>
                <w:bCs w:val="1"/>
                <w:color w:val="auto"/>
                <w:w w:val="92"/>
              </w:rPr>
              <w:t>Six Months ended June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60"/>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8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20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vMerge w:val="continue"/>
            <w:shd w:val="clear" w:color="auto" w:fill="CFF0FC"/>
          </w:tcPr>
          <w:p>
            <w:pPr>
              <w:spacing w:after="0"/>
              <w:rPr>
                <w:sz w:val="19"/>
                <w:szCs w:val="19"/>
                <w:color w:val="auto"/>
              </w:rPr>
            </w:pPr>
          </w:p>
        </w:tc>
        <w:tc>
          <w:tcPr>
            <w:tcW w:w="20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9" w:name="page20"/>
    <w:bookmarkEnd w:id="19"/>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w:t>
      </w:r>
    </w:p>
    <w:p>
      <w:pPr>
        <w:spacing w:after="0" w:line="1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IPO prospectus filed with the Securities and Exchange Commission, or SEC, on June 29, 2018.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our U.S. installed base of 816 active NeuroStar Advanced Therapy Systems in approximately 637 psychiatrist offices as of June 30, 2018 and the estimated 54,000 patients treated with approximately 1.9 million treatment sessions through such date. We generated revenues of $13.3 million and $23.4 million for the three and six months ended June 30, 2018, respectively.</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designed the NeuroStar Advanced Therapy System as a non-invasive therapeutic alternative to treat patients who suffer from MDD and to address many of the key limitations of existing treatment options. We generate revenues from initial capital sales of our systems, recurring treatment sessions and service and repair and extended warranty contracts. We derive the majority of our revenues from recurring treatment sessions. For the three months ended June 30, 2018, revenues from sales of our treatment sessions and NeuroStar Advanced Therapy Systems represented 69% and 28% of our U.S. revenues, respectively. For the six months ended June 30, 2018, revenues from sales of our treatment sessions and NeuroStar Advanced Therapy Systems represented 71% and 26% of our U.S. revenues, respectively.</w:t>
      </w:r>
    </w:p>
    <w:p>
      <w:pPr>
        <w:spacing w:after="0" w:line="13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currently sell our NeuroStar Advanced Therapy System and recurring treatment sessions in the United States through our direct sales and customer support team, which was comprised of 132 people as of June 30, 2018. Our sales force primarily targets 15,100 psychiatrists at 3,600 high-decile psychiatric practices that we estimate, based on data from Symphony Health and our own internal estimates, treat approximately 33% of the total MDD patients in the United States who meet our labeled indication and are insured. We expect to continue to expand our direct sales and customer support team to further penetrate the market by demonstrating the benefits of our NeuroStar Advanced Therapy to psychiatrists and their MDD patients.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No single customer accounted for more than 10% of our revenues for the three and six months ended June 30, 2018. Patients are reimbursed by Medicare and the vast majority of commercial payors in the United States for treatment sessions utilizing our NeuroStar Advanced Therapy System.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right="40"/>
        <w:spacing w:after="0" w:line="255"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International revenues represented 3% and 2% of our total revenues for the three and six months ended June 30, 2018,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plan to work with Teijin to obtain reimbursement or approval for NeuroStar Advanced Therapy in Japan in 2018. We expect our international revenues to increase as a percentage of our total revenues as we grow our presence in Japan.</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research and development efforts are focused on the following: hardware and software product developments and enhancements of our NeuroStar Advanced Therapy System and clinical development relating to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3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total revenues increased by $2.9 million, or 29%, from $10.3 million for the three months ended June 30, 2017 to $13.3 million for the three months ended June 30, 2018 and by $5.6 million, or 31%, from $17.8 million for the six months ended June 30, 2017 to $23.4 million for the six months ended June 30, 2018. For the three and six months ended June 30, 2018, our U.S. revenues were $12.9 million and $22.9 million, respectively, compared to $10.2 million and $17.6 million for the three and six months ended June 30, 2017, respectively, which represent increases of 26% and 30% period over period. Due to the seasonality of our sales, during the first quarter of each year, we typically experience reduced revenues compared to our other quarters. We incurred net losses of $7.5 million and $13.0 million for the three and six months ended June 30, 2018, respectively, compared to net losses of $2.9 million and $7.4 million for the three and six months ended June 30, 2017, respectively. We expect to continue to incur losses for the next several years as we expand our commercial organization to support our planned sales growth and while continuing to invest in our pipeline indications. As of June 30, 2018, we had an accumulated deficit of $209.9 million.</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2, 2018, we closed our initial public offering, or IPO, in which we issued and sold 6.325 million shares of our common stock, which included the exercise of the underwriters’ option to purchase an additional 0.825 million shares of common stock, at a public offering price of $17.00 per share. We received net proceeds of $100.0 million after deducting underwriting discounts and commissions of $7.5 million but before deducting other offering expenses. Our common stock is listed on the Nasdaq Global Market under the trading symbol “STIM.” Our primary sources of capital to date have been from our IPO, private placements of our convertible preferred securities, borrowings under our credit facilities and revenues from sales of our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 primarily of sales or rentals of a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including upgrades to the equipment attributable to the initial sale of the system. NeuroStar Advanced Therapy Systems can be purchased outright or on a rent-to-own basis by certain customers. We had an installed base of 816 and 690 active NeuroStar Advanced Therapy Systems as of June 30, 2018 and 2017, respectively.</w:t>
      </w:r>
    </w:p>
    <w:p>
      <w:pPr>
        <w:spacing w:after="0" w:line="13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u w:val="single" w:color="auto"/>
          <w:color w:val="auto"/>
        </w:rPr>
        <w:t>Treatment Session Revenues</w:t>
      </w:r>
      <w:r>
        <w:rPr>
          <w:rFonts w:ascii="Arial" w:cs="Arial" w:eastAsia="Arial" w:hAnsi="Arial"/>
          <w:sz w:val="17"/>
          <w:szCs w:val="17"/>
          <w:color w:val="auto"/>
        </w:rPr>
        <w:t>. Treatment session revenues primarily include sales of NeuroStar Treatment Sessions and SenStar treatment links.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revenues are derived primarily from service and repair and extended warranty contracts with our existing customers.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IPO prospectus filed with the SEC on June 29, 2018 for additional information regarding how we account for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included conferences and trade shows, promotional and marketing activities, including direct and online marketing, practice support programs, television and radio media campaigns, travel and training expenses.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anticipate a significant increase in headcount in our commercial organization and in expenses in executing on our growth initiatives as we continue to expand our business in the United States and internationally. As a result, we expect our sales and marketing expenses to continue to increase in absolute dollars.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absolute dollars because of an expanded infrastructure and an increased headcount. We anticipate higher corporate infrastructure costs including, but not limited to, accounting, legal, human resources, consulting and investor relations fees, listing fees on the Nasdaq Global Market, costs associated with SEC reporting and compliance, as well as increased director and officer insurance premiums, as a result of becoming a public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0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continue to increase in absolute dollars.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Other expense (income), net consists primarily of the revaluation related to our convertible preferred stock warrants, which are accounted for as a liability as of June 30, 2018 and marked-to-market at each reporting period, as well as gains and losses on the disposal of fixed assets and interest income earned on our money market account balances. Upon the closing of our IPO on July 2, 2018, all of our outstanding convertible preferred stock warrants converted into common stock warrants, resulting in the reclassification of the convertible preferred stock warrant liability into additional paid-in capital.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1"/>
              </w:rPr>
              <w:t>Increase / (Decrease)</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Dollars</w:t>
            </w:r>
          </w:p>
        </w:tc>
        <w:tc>
          <w:tcPr>
            <w:tcW w:w="94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6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Cost of revenues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i w:val="1"/>
                <w:iCs w:val="1"/>
                <w:color w:val="auto"/>
              </w:rPr>
              <w:t>Gross Margin</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(5,236)</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(2,577)</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(2,659)</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Net Loss</w:t>
            </w:r>
          </w:p>
        </w:tc>
        <w:tc>
          <w:tcPr>
            <w:tcW w:w="1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(7,496)</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(2,868)</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(4,628)</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1"/>
              </w:rPr>
              <w:t>Revenues by Geography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4"/>
                <w:szCs w:val="14"/>
                <w:b w:val="1"/>
                <w:bCs w:val="1"/>
                <w:color w:val="auto"/>
                <w:w w:val="92"/>
              </w:rPr>
              <w:t>Three Months ended June 30,</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ind w:right="27"/>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654"/>
              <w:spacing w:after="0" w:line="155" w:lineRule="exact"/>
              <w:rPr>
                <w:sz w:val="20"/>
                <w:szCs w:val="20"/>
                <w:color w:val="auto"/>
              </w:rPr>
            </w:pPr>
            <w:r>
              <w:rPr>
                <w:rFonts w:ascii="Arial" w:cs="Arial" w:eastAsia="Arial" w:hAnsi="Arial"/>
                <w:sz w:val="14"/>
                <w:szCs w:val="14"/>
                <w:b w:val="1"/>
                <w:bCs w:val="1"/>
                <w:color w:val="auto"/>
                <w:w w:val="89"/>
              </w:rPr>
              <w:t>2017</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7"/>
          </w:tcPr>
          <w:p>
            <w:pPr>
              <w:jc w:val="center"/>
              <w:ind w:right="460"/>
              <w:spacing w:after="0"/>
              <w:rPr>
                <w:sz w:val="20"/>
                <w:szCs w:val="20"/>
                <w:color w:val="auto"/>
              </w:rPr>
            </w:pPr>
            <w:r>
              <w:rPr>
                <w:rFonts w:ascii="Arial" w:cs="Arial" w:eastAsia="Arial" w:hAnsi="Arial"/>
                <w:sz w:val="14"/>
                <w:szCs w:val="14"/>
                <w:b w:val="1"/>
                <w:bCs w:val="1"/>
                <w:color w:val="auto"/>
                <w:w w:val="89"/>
              </w:rPr>
              <w:t>(in thousands, except percentages)</w:t>
            </w: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30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U.S. Revenues by Product Category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4"/>
                <w:szCs w:val="14"/>
                <w:b w:val="1"/>
                <w:bCs w:val="1"/>
                <w:color w:val="auto"/>
                <w:w w:val="92"/>
              </w:rPr>
              <w:t>Three Months ended June 30,</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ind w:right="27"/>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654"/>
              <w:spacing w:after="0" w:line="155" w:lineRule="exact"/>
              <w:rPr>
                <w:sz w:val="20"/>
                <w:szCs w:val="20"/>
                <w:color w:val="auto"/>
              </w:rPr>
            </w:pPr>
            <w:r>
              <w:rPr>
                <w:rFonts w:ascii="Arial" w:cs="Arial" w:eastAsia="Arial" w:hAnsi="Arial"/>
                <w:sz w:val="14"/>
                <w:szCs w:val="14"/>
                <w:b w:val="1"/>
                <w:bCs w:val="1"/>
                <w:color w:val="auto"/>
                <w:w w:val="89"/>
              </w:rPr>
              <w:t>2017</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7"/>
          </w:tcPr>
          <w:p>
            <w:pPr>
              <w:jc w:val="center"/>
              <w:ind w:right="46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Treatment sessions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8,920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30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Total revenues increased by $2.9 million, or 29%, from $10.3 million for the three months ended June 30, 2017 to $13.3 million for the three months ended June 30, 2018. Revenues in the United States increased by $2.7 million for the three months ended June 30, 2018 compared to the three months ended June 30, 2017 due to higher unit sales of both NeuroStar Advanced Therapy Systems and treatment sessions. International revenues increased for the three months ended June 30, 2018 compared to the three months ended June 30, 2017, primarily due to the recognition of deferred revenue related to the upfront and milestone payments received in the fourth quarter of 2017 and an initial order, both related to our distribution agreement with Teijin for Japan.</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in the United States increased by $2.7 million, or 26%, from $10.2 million for the three months ended June 30, 2017 to $12.9 million for the three months ended June 30, 2018. NeuroStar Advanced Therapy System revenues in the United States grew by $1.1 million, or 42%, in the three months ended June 30, 2018 compared to the three months ended June 30, 2017, based on 44% higher unit volume, partially offset by 2% lower average selling prices. Included in the U.S. NeuroStar Advanced Therapy System revenues for the three months ended June 30, 2018 was a multi-unit order in the amount of $0.5 million. NeuroStar Advanced Therapy System revenues represented 28% and 25% of U.S. revenues for the three months ended June 30, 2018 and 2017, respectively. We believe the growth in NeuroStar Advanced Therapy System revenues between these two periods was the result of the efforts of our expanded commercial organization and increased marketing efforts. As of June 30, 2018, we had an installed base of 816 active systems in the United States, compared to 690 as of June 30, 2017.</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23" w:name="page24"/>
    <w:bookmarkEnd w:id="23"/>
    <w:p>
      <w:pPr>
        <w:spacing w:after="0" w:line="279" w:lineRule="auto"/>
        <w:rPr>
          <w:sz w:val="20"/>
          <w:szCs w:val="20"/>
          <w:color w:val="auto"/>
        </w:rPr>
      </w:pPr>
      <w:r>
        <w:rPr>
          <w:rFonts w:ascii="Arial" w:cs="Arial" w:eastAsia="Arial" w:hAnsi="Arial"/>
          <w:sz w:val="17"/>
          <w:szCs w:val="17"/>
          <w:color w:val="auto"/>
        </w:rPr>
        <w:t>Treatment session revenues in the United States represented 69% and 72% of total revenues in the United States for the three months ended June 30, 2018 and 2017, respectively, and increased by 21% for the three months ended June 30, 2018 compared to the three months ended June 30, 2017. The increase in United States treatment session revenues was primarily the result of a 25% increase in the number of treatment sessions performed. This was partially offset by a 4% decline in average selling price due to certain volume pricing discounts within our existing customer 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revenues increased by $0.7 million, or 30%, from $2.5 million for the three months ended June 30, 2017 to $3.2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2018. The increase was primarily due to increased NeuroStar Advanced Therapy System sales becoming a slightly larger portion of the sales mix.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Gross margin decreased slightly from 75.7% for the three months ended June 30, 2017 to 75.5% for the three months ended June 30,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and marketing expenses increased by $3.4 million, or 54%, from $6.4 million for the three months ended June 30, 2017 to $9.8 million for the three months ended June 30, 2018. The increase was primarily due to increased personnel costs as a result of our sales expansion activities, as well as higher sales commissions and marketing expenses, consistent with our growth in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 and administrative expenses increased by $1.2 million, or 68%, from $1.8 million for the three months ended June 30, 2017 to $3.1 million for the three months ended June 30, 2018. The increase was primarily due to an increase in personnel and legal, accounting and other professional services expenses required to support the growth of our business and to ready the infrastructure for public company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Research and development expenses increased $0.2 million, or 9%, from $2.1 million for the three months ended June 30, 2017 to $2.3 million for the three months ended June 30, 2018. The increase was primarily due to higher product development costs related to the launch of the next generation of our NeuroStar Advanced Therapy System and TrakStar practice management system, which were partially offset by a decline in spending on clinical studies.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Interest expense increased $0.2 million, or 27%, from $0.7 million for the three months ended June 30, 2017 to $0.9 million for the three months ended June 30, 2018, primarily as a result of higher cash interest expenses related to the $10.0 million increase during 2017 in principal borrowings under our $35.0 million credit facility, a coupon rate of interest on the total $30.0 million of principal borrowings outstanding which is currently approximately 1% higher versus the prior year period and higher non-cash interest expenses accrued in connection with the final payment fees due to the lender under the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Other expense (income), net, which includes the change in the fair value of the liability related to our outstanding convertible preferred stock warrants, increased by $1.8 million, from $(0.4) million for the three months ended June 30, 2017 to $1.4 million for the three months ended June 30, 2018. The increase was driven by a non-cash charge of $1.4 million to revalue our convertible preferred stock warrant liability based on the closing stock price on June 29, 2018, following the pricing of our IPO on June 27, 2018. Upon the closing of our IPO on July 2, 2018, all of our outstanding convertible preferred stock warrants converted into common stock warrants, resulting in the reclassification of our convertible preferred stock warrant liability into additional paid-in capital. The three months ended June 30, 2017 included a non-cash gain of $0.4 million to revalue our convertible preferred stock warrant liability as a result of the closing of our sale of Series G convertible preferred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7"/>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Dollars</w:t>
            </w:r>
          </w:p>
        </w:tc>
        <w:tc>
          <w:tcPr>
            <w:tcW w:w="10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7"/>
          </w:tcPr>
          <w:p>
            <w:pPr>
              <w:jc w:val="right"/>
              <w:ind w:right="420"/>
              <w:spacing w:after="0" w:line="155" w:lineRule="exact"/>
              <w:rPr>
                <w:sz w:val="20"/>
                <w:szCs w:val="20"/>
                <w:color w:val="auto"/>
              </w:rPr>
            </w:pPr>
            <w:r>
              <w:rPr>
                <w:rFonts w:ascii="Arial" w:cs="Arial" w:eastAsia="Arial" w:hAnsi="Arial"/>
                <w:sz w:val="14"/>
                <w:szCs w:val="14"/>
                <w:b w:val="1"/>
                <w:bCs w:val="1"/>
                <w:color w:val="auto"/>
                <w:w w:val="91"/>
              </w:rPr>
              <w:t>(in thousands, except percentages)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5,570</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Cost of revenues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1,663</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i w:val="1"/>
                <w:iCs w:val="1"/>
                <w:color w:val="auto"/>
              </w:rPr>
              <w:t>Gross Margin</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lef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12,706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5,238</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(9,841)</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(6,565)</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(3,276)</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left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Net Loss</w:t>
            </w:r>
          </w:p>
        </w:tc>
        <w:tc>
          <w:tcPr>
            <w:tcW w:w="1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40" w:type="dxa"/>
            <w:vAlign w:val="bottom"/>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(12,993)</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(7,382)</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(5,611)</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Revenues by Geography</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 of Revenues</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 of Revenues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17,619</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International</w:t>
            </w:r>
          </w:p>
        </w:tc>
        <w:tc>
          <w:tcPr>
            <w:tcW w:w="14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30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17,834</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U.S. Revenues by Product Category</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 of Revenues</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 of Revenues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6"/>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Treatment sessions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13,137</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FF0FC"/>
          </w:tcPr>
          <w:p>
            <w:pPr>
              <w:spacing w:after="0"/>
              <w:rPr>
                <w:sz w:val="19"/>
                <w:szCs w:val="19"/>
                <w:color w:val="auto"/>
              </w:rPr>
            </w:pPr>
          </w:p>
        </w:tc>
        <w:tc>
          <w:tcPr>
            <w:tcW w:w="120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30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22,870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17,619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Total revenues increased by $5.6 million, or 31%, from $17.8 million for the six months ended June 30, 2017 to $23.4 million for the three months ended June 30, 2018. Revenues in the United States increased by $5.3 million for the six months ended June 30, 2018 compared to the six months ended June 30, 2017 due to higher unit sales of both NeuroStar Advanced Therapy Systems and treatment sessions. International revenues increased for the six months ended June 30, 2018 compared to the six months ended June 30, 2017, primarily due to the recognition of deferred revenue related to the upfront and milestone payments received in the fourth quarter of 2017 and an initial order, both related to our distribution agreement with Teijin for Japan.</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in the United States increased by $5.3 million, or 30%, from $17.6 million for the six months ended June 30, 2017 to $22.9 million for the six months ended June 30, 2018. NeuroStar Advanced Therapy System revenues in the United States grew by $2.1 million, or 55%, in the six months ended June 30, 2018 compared to the six months ended June 30, 2017, based on 54% higher unit volume and 1% higher average selling prices. Included in the U.S. NeuroStar Advanced Therapy System revenues for the six months ended June 30, 2018 was a multi-unit order during the second quarter in the amount of $0.5 million. NeuroStar Advanced Therapy System revenues represented 26% and 22% of U.S. revenues for the six months ended June 30, 2018 and 2017, respectively. We believe the growth in NeuroStar Advanced Therapy System revenues between these two periods was the result of the efforts of our expanded commercial organization and increased marketing efforts. As of June 30, 2018, we had an installed base of 816 active systems in the United States, compared to 690 as of June 30, 2017.</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 w:name="page26"/>
    <w:bookmarkEnd w:id="25"/>
    <w:p>
      <w:pPr>
        <w:spacing w:after="0" w:line="279" w:lineRule="auto"/>
        <w:rPr>
          <w:sz w:val="20"/>
          <w:szCs w:val="20"/>
          <w:color w:val="auto"/>
        </w:rPr>
      </w:pPr>
      <w:r>
        <w:rPr>
          <w:rFonts w:ascii="Arial" w:cs="Arial" w:eastAsia="Arial" w:hAnsi="Arial"/>
          <w:sz w:val="17"/>
          <w:szCs w:val="17"/>
          <w:color w:val="auto"/>
        </w:rPr>
        <w:t>Treatment session revenues in the United States represented 71% and 75% of total revenues in the United States for the six months ended June 30, 2018 and 2017, respectively, and increased by 23% for the six months ended June 30, 2018 compared to the six months ended June 30, 2017. The increase in United States treatment session revenues was primarily the result of a 27% increase in the number of treatment sessions performed. This was partially offset by a 4% decline in average selling price due to certain volume pricing discounts within our existing customer 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Cost of revenues increased by $1.7 million, or 41%, from $4.0 million for the six months ended June 30, 2017 to $5.7 million for the six months ended June 30, 2018. The increase was primarily due to increased NeuroStar Advanced Therapy System sales becoming a larger portion of the sales mix. Gross margin decreased from 77.4% for the six months ended June 30, 2017 to 75.6% for the six months ended June 30, 2018. The decline in gross margin was due to the higher mix of NeuroStar Advanced Therapy System revenues in the six months ended June 30, 2018 in relation to treatment session revenues, as well as the reduction in the average selling price of our treatment sessions discussed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Sales and marketing expenses increased by $5.2 million, or 41%, from $12.7 million for the six months ended June 30, 2017 to $17.9 million for the six months ended June 30, 2018. The increase was primarily due to increased personnel costs as a result of our sales and marketing expansion activities, as well as higher sales commissions and marketing expenses, consistent with our growth in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 and administrative expenses increased by $2.2 million, or 64%, from $3.5 million for the six months ended June 30, 2017 to $5.7 million for the six months ended June 30, 2018. The increase was primarily due to an increase in personnel and legal, accounting and other professional services expenses required to support the growth of our business and to ready the infrastructure for public company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Research and development expenses decreased $0.3 million, or 7%, from $4.2 million for the six months ended June 30, 2017 to $3.9 million for the six months ended June 30, 2018. The decrease was primarily due to a decline in spending on clinical studies, which was partially offset by expenses relating to the launch of the next generation of our NeuroStar Advanced Therapy System and TrakStar practice management system.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Interest expense increased $0.6 million, or 44%, from $1.3 million for the six months ended June 30, 2017 to $1.8 million for the six months ended June 30, 2018, primarily as a result of higher cash interest expenses related to the $10.0 million increase during 2017 in principal borrowings under our $35.0 million credit facility, a coupon rate of interest on the total $30.0 million of principal borrowings outstanding which is currently approximately 1% higher versus the prior year period and higher non-cash interest expenses accrued in connection with the final payment fees due to the lender under the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expense (income), net, which includes the change in the fair value of the liability related to our outstanding convertible preferred stock warrants, increased by $1.8 million, from $(0.4) million for the six months ended June 30, 2017 to $1.3 million for the six months ended June 30, 2018. The increase was driven by a non-cash charge of $1.4 million to revalue the convertible preferred stock warrant liability based on the closing stock price on June 29, 2018, following the pricing of our IPO on June 27, 2018. Upon the closing of our IPO on July 2, 2018, all of our outstanding convertible preferred stock warrants converted into common stock warrants, resulting in the reclassification of our convertible preferred stock warrant liability into additional paid-in capital. The six months ended June 30, 2017 included a non-cash gain of $0.4 million to revalue our convertible preferred stock warrant liability as a result of the closing of our sale of Series G convertible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2, 2018, we closed our IPO, in which we issued and sold 6.325 million shares of our common stock, which included the exercise of the underwriters’ option to purchase an additional 0.825 million shares of common stock, at a public offering price of $17.00 per share. We received net proceeds of $100.0 million after deducting underwriting discounts and commissions of $7.5 million but before deducting other offering expenses. Our common stock is listed on the Nasdaq Global Market under the trading symbol “STIM.”</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03" w:right="299" w:bottom="1440" w:gutter="0" w:footer="0" w:header="0"/>
        </w:sectPr>
      </w:pPr>
    </w:p>
    <w:bookmarkStart w:id="26" w:name="page27"/>
    <w:bookmarkEnd w:id="26"/>
    <w:p>
      <w:pPr>
        <w:ind w:right="60"/>
        <w:spacing w:after="0" w:line="291" w:lineRule="auto"/>
        <w:rPr>
          <w:sz w:val="20"/>
          <w:szCs w:val="20"/>
          <w:color w:val="auto"/>
        </w:rPr>
      </w:pPr>
      <w:r>
        <w:rPr>
          <w:rFonts w:ascii="Arial" w:cs="Arial" w:eastAsia="Arial" w:hAnsi="Arial"/>
          <w:sz w:val="16"/>
          <w:szCs w:val="16"/>
          <w:color w:val="auto"/>
        </w:rPr>
        <w:t>As of June 30, 2018, we had cash and cash equivalents of $14.5 million and an accumulated deficit of $209.9 million, compared to cash and cash equivalents of $29.1 million and an accumulated deficit of $196.9 million as of December 31, 2017. We incurred negative cash flows from operating activities of $13.4 million and $9.5 million for the six months ended June 30, 2018 and 2017,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June 30, 2018, we had $30.0 million of borrowings outstanding under our credit facility, which matures in March 2022.</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expect our revenues and expenses to increase in connection with our on-going activities, particularly as we continue to execute on our growth strategy, including expansion of our sales and customer support teams. We also expect to incur additional costs now that we are a public company. Based on our current business plan, we believe that our IPO proceeds, cash and cash equivalents as of June 30, 2018 and anticipated revenues from sales of our products will be sufficient to meet our anticipated cash requirements for at least the next 24 months after June 30, 2018. However, if these sources are insufficient to satisfy our liquidity requirements, we may seek to sell additional common or preferred equity or debt securities, or enter into a new credit facility.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obtain adequate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77"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w:t>
      </w:r>
    </w:p>
    <w:p>
      <w:pPr>
        <w:spacing w:after="0" w:line="76"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 particularly in Japan;</w:t>
      </w:r>
    </w:p>
    <w:p>
      <w:pPr>
        <w:spacing w:after="0" w:line="21"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21"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 and PTSD;</w:t>
      </w:r>
    </w:p>
    <w:p>
      <w:pPr>
        <w:spacing w:after="0" w:line="21"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cash flows for the six months ended June 30,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Six Months ended June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(13,397)</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(9,481)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(513)</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(693)</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(14,603)</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7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cash used in operating activities for the six months ended June 30, 2018 was $13.4 million, consisting primarily of a net loss of $13.0 million and a decrease in net operating liabilities of $3.1 million, partially offset by non-cash charges of $2.7 million. The decrease in net operating liabilities was primarily due to a decrease in accrued expenses as a result of first quarter 2018 payments of 2017 incentive compensation and commissions accrued as of December 31, 2017. Non-cash charges consisted of depreciation and amortization, non-cash interest expense, share-based compensation, the cost of rental units purchased by customers and the change in the fair value of the liability related to our outstanding convertible preferred stock warrants.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operating activities for the six months ended June 30, 2017 was $9.5 million, consisting primarily of a net loss of $7.4 million and a decrease in net operating liabilities of $2.5 million, partially offset by non-cash charges of $0.4 million. The decrease in net operating liabilities was primarily due to a decrease in accounts payable due to timing of payments and a decrease in accrued expenses as a result of first quarter 2017 payments of 2016 incentive compensation and commissions accrued as of December 31, 2016. Non-cash charges consisted of depreciation and amortization, non-cash interest expense, share-based compensation, the cost of rental units purchased by customers and the change in the fair value of the liability related to our outstanding convertible preferred stock warrants.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Net cash used in investing activities for the six months ended June 30, 2018 was $0.5 million, compared to net cash used in investing activities for the six months ended June 30, 2017 of $0.2 million, in each case attributable to purchases of property and equipment and capitalized software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cash used in financing activates for the six months ended June 30, 2018 was $0.7 million, consisting primarily of $0.7 million of payments of initial public offering costs, slightly offset by cash proceeds from the exercises of stock options. Net cash provided by financing activities for the six months ended June 30, 2017 was $18.8 million, consisting of $14.8 million of net proceeds from our issuance of Series G convertible preferred stock and $5.0 million of borrowings under our current $35.0 million credit facility, partially offset by payment of $1.0 million of deferred debt issuance costs incurred in connection with our March 2017 amendment to our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$35.0 Million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In March 2017, we entered into a new loan and security agreement with Oxford Finance LLC, or Oxford, for a credit facility that replaced our previous</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$25.0 million credit facility with Oxford and which allows us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us upon the achievement of $45.0 million of trailing twelve month revenues during the second quarter of 2018. Upon achieving the required revenue milestone, we had 60 days to notify our lender if we elected to borrow the Term C Loan. As a result of completing our IPO on July 2, 2018 and receiving net proceeds of $100.0 million, we elected not to borrow the additional $5.0 million. Each term loan accrues interest from the date of borrowing through the date of repayment at a floating per annum rate of interest, which resets monthly and is equal to the greater of (a) 8.15% or (b) the 30 day U.S. LIBOR on the last business day of the month plus 7.38%. At the date of each borrowing, we were required to issue to Oxford warrants to purchase our Series F or later series of convertible preferred stock with a seven year term and in an amount equal to 3.95% of the first</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$5.0 million of each tranche borrowed. The credit facility matures and all amounts borrowed thereunder are due on March 1, 2022. As of June 30, 2018, we had borrowed and had outstanding an aggregate of $30.0 million of principal under our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Term A Loan features an interest-only period through March 2019, during which time we are required to make monthly interest payments, after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time we are required to make monthly payments of principal and interest based on a 36-month amortization schedule. However, upon the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 million of revenues during fiscal 2018, the interest-only period can be extended for an additional 12 months through March 2020 and the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then becomes 24 months. In connection with the drawdown of the Term A Loan, we issued to the lender a warrant to purchase 588,498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F convertible preferred stock, which has an exercise price of $0.3356 per share and which expires in March 2024. These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converted into common stock warrants immediately prior to the closing of our IPO on July 2, 2018.</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Term B Loan features an interest-only period through March 2019, during which time we are required to make monthly interest payments, after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time we are required to make monthly payments of principal and interest based on a 36-month amortization schedule. However, upon the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 million of revenues during fiscal 2018, the interest-only period can be extended for an additional 12 months through March 2020 and the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then becomes 24 months. In connection with the drawdown of the Term B Loan, we issued to the lender a warrant to purchase 588,498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F convertible preferred stock, which has an exercise price of $0.3356 per share and which expires in December 2024. These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converted into common stock warrants immediately prior to the closing of our IPO on July 2,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spacing w:after="0" w:line="290" w:lineRule="auto"/>
        <w:rPr>
          <w:sz w:val="20"/>
          <w:szCs w:val="20"/>
          <w:color w:val="auto"/>
        </w:rPr>
      </w:pPr>
      <w:r>
        <w:rPr>
          <w:rFonts w:ascii="Arial" w:cs="Arial" w:eastAsia="Arial" w:hAnsi="Arial"/>
          <w:sz w:val="16"/>
          <w:szCs w:val="16"/>
          <w:color w:val="auto"/>
        </w:rPr>
        <w:t>In addition to principal and interest payments due under the credit facility, we are required to make final payment fees to the lender due upon the earlier of prepayment or maturity of each tranche, which are equal to 8% and 7% of the principal amounts of the Term A and Term B Loans, respectively, except that if the interest-only periods on the Term A and Term B Loans are extended then the final payment fees increase to 8.5% and 7.5% of the principal amounts of the Term A and Term B Loans, respectively. We accrue the estimated final payment fees using the effective interest rate, with a charge to non-cash interest expense, over the term of borrowing for each tranche. As of both June 30, 2018 and December 31, 2017, the effective interest rates for the Term A and Term B Loans were 10.7% and 11.6%, respectively. If we prepay our term loans prior to their respective scheduled maturities, we will also be required to make prepayment fees to the lender equal to 3% if prepaid on or before the first anniversary of funding, 2% if prepaid after the first and on or before the second anniversary of funding or 1% if prepaid after the second anniversary of funding of the principal amounts borrowed.</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obligations under the credit facility are secured by a first priority security interest in substantially all of our assets, other than our intellectual property. We have agreed not to pledge or otherwise encumber any of our intellectual property. The loan and security agreement related to our credit facility includes a financial maintenance covenant that requires us to achieve at least 75% of our trailing 12-month forecasted revenues, as measured each month in accordance with a forecast that we provided to Oxford upon signing the agreement and future forecasts that we are required to deliver to the lenders each year for the life of the credit facility, as well as customary affirmative and negative covenants. We were in compliance with all of the covenants under our credit facility as of June 30, 2018.</w:t>
      </w:r>
    </w:p>
    <w:p>
      <w:pPr>
        <w:spacing w:after="0" w:line="139" w:lineRule="exact"/>
        <w:rPr>
          <w:sz w:val="20"/>
          <w:szCs w:val="20"/>
          <w:color w:val="auto"/>
        </w:rPr>
      </w:pPr>
    </w:p>
    <w:p>
      <w:pPr>
        <w:jc w:val="both"/>
        <w:ind w:right="260"/>
        <w:spacing w:after="0" w:line="288" w:lineRule="auto"/>
        <w:rPr>
          <w:sz w:val="20"/>
          <w:szCs w:val="20"/>
          <w:color w:val="auto"/>
        </w:rPr>
      </w:pPr>
      <w:r>
        <w:rPr>
          <w:rFonts w:ascii="Arial" w:cs="Arial" w:eastAsia="Arial" w:hAnsi="Arial"/>
          <w:sz w:val="16"/>
          <w:szCs w:val="16"/>
          <w:color w:val="auto"/>
        </w:rPr>
        <w:t>The loan and security agreement related to our credit facility contains events of default, including, without limitation, events of default upon: (i) failure to make payment pursuant to the terms of the agreement; (ii) violation of covenants; (iii) material adverse changes to our business; (iv) attachment or levy on our assets or judicial restraint on our business; (v) insolvency; (vi) significant judgments, orders or decrees for payments by us not covered by insurance;</w:t>
      </w:r>
    </w:p>
    <w:p>
      <w:pPr>
        <w:ind w:right="360" w:firstLine="8"/>
        <w:spacing w:after="0" w:line="290" w:lineRule="auto"/>
        <w:tabs>
          <w:tab w:leader="none" w:pos="3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incorrectness of representations and warranties; (viii) incurrence of subordinated debt; (ix) revocation of governmental approvals necessary for us to conduct our business; and (x) failure by us to maintain a valid and perfected lien on the collateral securing the borrowing.</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a 36-month amortization of the outstanding principal amounts of the Term A and Term B Loans beginning on April 1, 2019 as discussed above, the following table sets forth by year our required future principal payments (in thousands):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Total principal payments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currently anticipate that we will extend the interest-only periods on the Term A and Term B Loans upon achieving $45.0 million of revenues during fiscal 2018, which is currently expected to occur in the fourth quarter of 2018.</w:t>
      </w:r>
    </w:p>
    <w:p>
      <w:pPr>
        <w:spacing w:after="0" w:line="1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the three months ended June 30, 2018, we recognized interest expense of $0.9 million, of which $0.7 million was cash and $0.2 million was non-cash interest expense related to the amortization of deferred financing costs and accrual of final payment fees. For the three months ended June 30, 2017, we recognized interest expense of $0.7 million, of which $0.5 million was cash and $0.2 million was non-cash interest expense related to the amortization of deferred financing costs and accrual of final payment fees.</w:t>
      </w:r>
    </w:p>
    <w:p>
      <w:pPr>
        <w:spacing w:after="0" w:line="13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For the six months ended June 30, 2018, we recognized interest expense of $1.8 million, of which $1.4 million was cash and $0.4 million was non-cash interest expense related to the amortization of deferred financing costs and accrual of final payment fees. For the six months ended June 30, 2017, we recognized interest expense of $1.3 million, of which $1.0 million was cash and $0.3 million was non-cash interest expense related to the amortization of deferred financing costs and accrual of final payment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$25.0 Million Credit Facility</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March 2017, we had a $25.0 million credit facility in place with Oxford, which we entered into in February 2014 and which allowed us to borrow up to $25.0 million in three tranches of term loans: a Term A Loan in the amount of $15.0 million, a Term B Loan in the amount of $5.0 million, and a Term C Loan in the amount of $5.0 million, which was never drawn down. Each term loan accrued interest at per annum rates ranging from 8.5% to 8.9%. This facility featured an interest-only period on all tranches through March 2017, and we were also required to issue convertible preferred stock warrants to the lender at the time of borrowing of each tranche. These convertible preferred stock warrants converted into common stock warrants immediately prior to the closing of our IPO on July 2, 2018.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9" w:name="page30"/>
    <w:bookmarkEnd w:id="29"/>
    <w:p>
      <w:pPr>
        <w:ind w:right="60"/>
        <w:spacing w:after="0" w:line="264" w:lineRule="auto"/>
        <w:rPr>
          <w:sz w:val="20"/>
          <w:szCs w:val="20"/>
          <w:color w:val="auto"/>
        </w:rPr>
      </w:pPr>
      <w:r>
        <w:rPr>
          <w:rFonts w:ascii="Arial" w:cs="Arial" w:eastAsia="Arial" w:hAnsi="Arial"/>
          <w:sz w:val="18"/>
          <w:szCs w:val="18"/>
          <w:color w:val="auto"/>
        </w:rPr>
        <w:t>We accrued final payment fees using the effective interest rate, with a charge to non-cash interest expense, over the term of borrowing and until our entry into our current credit facility in March 2017, at which time we paid the lender $1.0 million in satisfaction of all final payment fee liabilities due under the prior credit facility.</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evaluated whether our current credit facility entered into in March 2017 represented a debt modification or extinguishment in accordance with ASC 470-50, Debt—Modifications and Extinguishments. Upon determining that the change in cash flows between the previous and current credit facilities was not greater than 10%, we accounted for the transaction as a debt modification. As of March 2017, the unamortized balance of deferred financing costs incurred in connection with the $25.0 million credit facility, and certain additional deferred financing costs incurred in connection with entry into our current credit facility, are being amortized to interest expense through March 2022 utilizing the effective interest method.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2018, there were no significant changes to our commitments and future minimum contractual obligations as set forth in our IPO prospectus filed with the SEC on June 29,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$1.0 billion in nonconvertible debt during the previous six years; or (d) the date on which we are deemed to be a large accelerated filer under the rules of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refer you to “Note 4. Recent Accounting Pronouncements” in “Notes to Interim Financial Statements” located in “Part I – FINANCIAL INFORMATION, Item 1. Financial Statements” in this Quarterly Report on Form 10-Q for information regarding recently issued accounting pronouncements.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0" w:name="page31"/>
    <w:bookmarkEnd w:id="30"/>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9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above in the “Management’s Discussion and Analysis of Financial Condition and Results of Operations – Liquidity and Capital Resources - Indebtedness” section of this Quarterly Report on Form 10-Q, our credit facility bears interest at a floating per annum rate of interest, which resets monthly and is equal to the greater of (a) 8.15% or (b) the 30 day U.S. LIBOR on the last business day of the month plus 7.38%. As a result, we are exposed to risks from changes in interest rates. We believe that a one point increase in interest rates would have resulted in an approximate $0.2 million increase to our interest expense for the year ended December 31, 2017.</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do not currently have any exposure to foreign currency fluctuations and do not engage in any hedging activities as part of our normal course of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June 30, 2018.</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2019. This assessment will need to include disclosure of any material weaknesses identified by our management in our internal control over financial reporting. The SEC defines a material weakness as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quarter ended June 30, 2018, there were no changes in our internal control over financial reporting (as defined in Rule 13a-15(f) of the Exchange Act) which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 should carefully consider the information described in the “Risk Factors” section of our IPO prospectus filed with the SEC on June 29, 2018. There have been no material changes to the risk factors described therein.</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Issuances of Unregistered Securities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25, 2018, pursuant to our 2003 Stock Incentive Plan, or 2003 Plan, we granted options to purchase 64,079 shares of our common stock at an exercise price of $5.22 per share to 29 employees and 54,794 shares of our common stock at an exercise price of $5.22 per share to 6 members of our board of directors. On June 8, 2018, pursuant to our 2003 Plan, we granted options to purchase 99,819 shares of our common stock at an exercise price of $10.14 per share to a newly hired executive and 6,011 shares of our common stock at an exercise price of $10.14 per share to six employees. These grants of stock options were exempt from registration under the Securities Act in reliance on Rule 701 as offers and sales of securities under written compensatory benefit plans and contracts relating to compensation in compliance with Rule 701. Each of the recipients of securities in any transaction exempt from registration either received or had adequate access, through employment, business or other relationships, to information about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Proceeds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IPO was effected through a Registration Statement on Form S-1 (File No. 333-225307) that was declared effective by the SEC on June 27, 2018. On June 27, 2018, 6.325 million shares of our common stock were sold at a public offering price of $17.00 per share, for aggregate gross proceeds of $107.5 million. As of the date of filing this report, the offering has terminated, and all of the securities registered pursuant to the offering were sold prior to termination. Piper Jaffray &amp; Co. and William Blair &amp; Company, L.L.C. acted as joint book-running managers, Canaccord Genuity LLC acted as lead manager and BTIG, LLC and JMP Securities LLC acted as co-managers for the IPO.</w:t>
      </w:r>
    </w:p>
    <w:p>
      <w:pPr>
        <w:spacing w:after="0" w:line="13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July 2, 2018, we received proceeds from the IPO of $100.0 million, which was net of underwriting discounts and commissions of $7.5 million. In connection with our IPO, we incurred offering expenses of $3.3 million, of which $0.8 million was paid prior to the closing of the transaction. The balance of the funds totaling $97.5 million shall be used in a manner consistent with the use of proceeds from the IPO as described in our IPO prospectus under the caption “Use of Proceeds,” which has not materially changed since the filing of our IPO prospectus with the SEC on June 29, 2018.</w:t>
      </w:r>
    </w:p>
    <w:p>
      <w:pPr>
        <w:spacing w:after="0" w:line="10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foregoing expenses are a reasonable estimate of the expenses incurred by us in the offering and do not represent the exact amount of expenses incurred. All of the foregoing expenses were direct or indirect payments to persons other than (i) our directors, officers or any of their associates, (ii) persons owning 10% or more of our common stock or (iii) our affiliates.</w:t>
      </w:r>
    </w:p>
    <w:p>
      <w:pPr>
        <w:spacing w:after="0" w:line="1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120" w:type="dxa"/>
            <w:vAlign w:val="bottom"/>
            <w:gridSpan w:val="7"/>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1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3.1+</w:t>
            </w:r>
          </w:p>
        </w:tc>
        <w:tc>
          <w:tcPr>
            <w:tcW w:w="220" w:type="dxa"/>
            <w:vAlign w:val="bottom"/>
          </w:tcPr>
          <w:p>
            <w:pPr>
              <w:spacing w:after="0"/>
              <w:rPr>
                <w:sz w:val="24"/>
                <w:szCs w:val="24"/>
                <w:color w:val="auto"/>
              </w:rPr>
            </w:pPr>
          </w:p>
        </w:tc>
        <w:tc>
          <w:tcPr>
            <w:tcW w:w="10220" w:type="dxa"/>
            <w:vAlign w:val="bottom"/>
            <w:tcBorders>
              <w:top w:val="single" w:sz="8" w:color="auto"/>
              <w:bottom w:val="single" w:sz="8" w:color="0000EE"/>
            </w:tcBorders>
            <w:gridSpan w:val="6"/>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Ninth Amended and Restated Certificate of Incorporation of Neuronetics, Inc., as filed with the SEC as Exhibit 3.1 of the Company’s Current</w:t>
              </w:r>
            </w:hyperlink>
          </w:p>
        </w:tc>
        <w:tc>
          <w:tcPr>
            <w:tcW w:w="16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10"/>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Report on Form 8-K (File No. 001-38546) on July 6, 2018.</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20" w:type="dxa"/>
            <w:vAlign w:val="bottom"/>
          </w:tcPr>
          <w:p>
            <w:pPr>
              <w:spacing w:after="0"/>
              <w:rPr>
                <w:sz w:val="18"/>
                <w:szCs w:val="18"/>
                <w:color w:val="auto"/>
              </w:rPr>
            </w:pPr>
          </w:p>
        </w:tc>
        <w:tc>
          <w:tcPr>
            <w:tcW w:w="10380" w:type="dxa"/>
            <w:vAlign w:val="bottom"/>
            <w:gridSpan w:val="10"/>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Second Amended and Restated Bylaws of Neuronetics, Inc., as filed with the SEC as Exhibit 3.2 of the Company’s Current Report on Form 8-</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K (File No. 001-38546) on July 6, 2018.</w:t>
              </w:r>
            </w:hyperlink>
          </w:p>
        </w:tc>
        <w:tc>
          <w:tcPr>
            <w:tcW w:w="7360" w:type="dxa"/>
            <w:vAlign w:val="bottom"/>
            <w:tcBorders>
              <w:top w:val="single" w:sz="8" w:color="0000EE"/>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18"/>
                <w:szCs w:val="18"/>
                <w:color w:val="auto"/>
              </w:rPr>
            </w:pPr>
          </w:p>
        </w:tc>
        <w:tc>
          <w:tcPr>
            <w:tcW w:w="1038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10"/>
        </w:trPr>
        <w:tc>
          <w:tcPr>
            <w:tcW w:w="8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18"/>
                <w:szCs w:val="18"/>
                <w:color w:val="auto"/>
              </w:rPr>
            </w:pPr>
          </w:p>
        </w:tc>
        <w:tc>
          <w:tcPr>
            <w:tcW w:w="72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18"/>
                <w:szCs w:val="18"/>
                <w:color w:val="auto"/>
              </w:rPr>
            </w:pPr>
          </w:p>
        </w:tc>
        <w:tc>
          <w:tcPr>
            <w:tcW w:w="3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cente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380" w:type="dxa"/>
            <w:vAlign w:val="bottom"/>
            <w:gridSpan w:val="10"/>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2002.</w:t>
              </w:r>
            </w:hyperlink>
          </w:p>
        </w:tc>
        <w:tc>
          <w:tcPr>
            <w:tcW w:w="25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cente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0380" w:type="dxa"/>
            <w:vAlign w:val="bottom"/>
            <w:gridSpan w:val="10"/>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2002.</w:t>
              </w:r>
            </w:hyperlink>
          </w:p>
        </w:tc>
        <w:tc>
          <w:tcPr>
            <w:tcW w:w="25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101.INS</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101.SCH</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101.CAL</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101.DEF</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101.LAB</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101.PRE</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82" w:lineRule="exact"/>
        <w:rPr>
          <w:sz w:val="20"/>
          <w:szCs w:val="20"/>
          <w:color w:val="auto"/>
        </w:rPr>
      </w:pPr>
    </w:p>
    <w:p>
      <w:pPr>
        <w:ind w:right="9840" w:firstLine="8"/>
        <w:spacing w:after="0" w:line="331" w:lineRule="auto"/>
        <w:tabs>
          <w:tab w:leader="none" w:pos="378"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Previously filed. * Filed herewith.</w:t>
      </w:r>
    </w:p>
    <w:p>
      <w:pPr>
        <w:spacing w:after="0" w:line="1" w:lineRule="exact"/>
        <w:rPr>
          <w:sz w:val="20"/>
          <w:szCs w:val="20"/>
          <w:color w:val="auto"/>
        </w:rPr>
      </w:pPr>
    </w:p>
    <w:p>
      <w:pPr>
        <w:ind w:left="380" w:right="60" w:hanging="372"/>
        <w:spacing w:after="0" w:line="279"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780" w:type="dxa"/>
            <w:vAlign w:val="bottom"/>
            <w:gridSpan w:val="2"/>
          </w:tcPr>
          <w:p>
            <w:pPr>
              <w:ind w:left="2720"/>
              <w:spacing w:after="0"/>
              <w:rPr>
                <w:sz w:val="20"/>
                <w:szCs w:val="20"/>
                <w:color w:val="auto"/>
              </w:rPr>
            </w:pPr>
            <w:r>
              <w:rPr>
                <w:rFonts w:ascii="Arial" w:cs="Arial" w:eastAsia="Arial" w:hAnsi="Arial"/>
                <w:sz w:val="18"/>
                <w:szCs w:val="18"/>
                <w:b w:val="1"/>
                <w:bCs w:val="1"/>
                <w:color w:val="auto"/>
              </w:rPr>
              <w:t>NEURONETICS, INC.</w:t>
            </w:r>
          </w:p>
        </w:tc>
      </w:tr>
      <w:tr>
        <w:trPr>
          <w:trHeight w:val="230"/>
        </w:trPr>
        <w:tc>
          <w:tcPr>
            <w:tcW w:w="3640" w:type="dxa"/>
            <w:vAlign w:val="bottom"/>
          </w:tcPr>
          <w:p>
            <w:pPr>
              <w:spacing w:after="0"/>
              <w:rPr>
                <w:sz w:val="20"/>
                <w:szCs w:val="20"/>
                <w:color w:val="auto"/>
              </w:rPr>
            </w:pPr>
          </w:p>
        </w:tc>
        <w:tc>
          <w:tcPr>
            <w:tcW w:w="3600" w:type="dxa"/>
            <w:vAlign w:val="bottom"/>
          </w:tcPr>
          <w:p>
            <w:pPr>
              <w:ind w:left="2720"/>
              <w:spacing w:after="0"/>
              <w:rPr>
                <w:sz w:val="20"/>
                <w:szCs w:val="20"/>
                <w:color w:val="auto"/>
              </w:rPr>
            </w:pPr>
            <w:r>
              <w:rPr>
                <w:rFonts w:ascii="Arial" w:cs="Arial" w:eastAsia="Arial" w:hAnsi="Arial"/>
                <w:sz w:val="18"/>
                <w:szCs w:val="18"/>
                <w:color w:val="auto"/>
                <w:w w:val="91"/>
              </w:rPr>
              <w:t>(Registrant)</w:t>
            </w:r>
          </w:p>
        </w:tc>
        <w:tc>
          <w:tcPr>
            <w:tcW w:w="418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14, 2018</w:t>
            </w:r>
          </w:p>
        </w:tc>
        <w:tc>
          <w:tcPr>
            <w:tcW w:w="3600" w:type="dxa"/>
            <w:vAlign w:val="bottom"/>
          </w:tcPr>
          <w:p>
            <w:pPr>
              <w:ind w:left="272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3640" w:type="dxa"/>
            <w:vAlign w:val="bottom"/>
          </w:tcPr>
          <w:p>
            <w:pPr>
              <w:spacing w:after="0"/>
              <w:rPr>
                <w:sz w:val="16"/>
                <w:szCs w:val="16"/>
                <w:color w:val="auto"/>
              </w:rPr>
            </w:pPr>
          </w:p>
        </w:tc>
        <w:tc>
          <w:tcPr>
            <w:tcW w:w="3600" w:type="dxa"/>
            <w:vAlign w:val="bottom"/>
          </w:tcPr>
          <w:p>
            <w:pPr>
              <w:ind w:left="272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3640" w:type="dxa"/>
            <w:vAlign w:val="bottom"/>
          </w:tcPr>
          <w:p>
            <w:pPr>
              <w:spacing w:after="0"/>
              <w:rPr>
                <w:sz w:val="18"/>
                <w:szCs w:val="18"/>
                <w:color w:val="auto"/>
              </w:rPr>
            </w:pPr>
          </w:p>
        </w:tc>
        <w:tc>
          <w:tcPr>
            <w:tcW w:w="3600" w:type="dxa"/>
            <w:vAlign w:val="bottom"/>
          </w:tcPr>
          <w:p>
            <w:pPr>
              <w:ind w:left="272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14, 2018</w:t>
            </w:r>
          </w:p>
        </w:tc>
        <w:tc>
          <w:tcPr>
            <w:tcW w:w="3600" w:type="dxa"/>
            <w:vAlign w:val="bottom"/>
          </w:tcPr>
          <w:p>
            <w:pPr>
              <w:ind w:left="272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Donato</w:t>
            </w:r>
          </w:p>
        </w:tc>
      </w:tr>
      <w:tr>
        <w:trPr>
          <w:trHeight w:val="195"/>
        </w:trPr>
        <w:tc>
          <w:tcPr>
            <w:tcW w:w="3640" w:type="dxa"/>
            <w:vAlign w:val="bottom"/>
          </w:tcPr>
          <w:p>
            <w:pPr>
              <w:spacing w:after="0"/>
              <w:rPr>
                <w:sz w:val="16"/>
                <w:szCs w:val="16"/>
                <w:color w:val="auto"/>
              </w:rPr>
            </w:pPr>
          </w:p>
        </w:tc>
        <w:tc>
          <w:tcPr>
            <w:tcW w:w="3600" w:type="dxa"/>
            <w:vAlign w:val="bottom"/>
          </w:tcPr>
          <w:p>
            <w:pPr>
              <w:ind w:left="272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Peter Donato</w:t>
            </w:r>
          </w:p>
        </w:tc>
      </w:tr>
      <w:tr>
        <w:trPr>
          <w:trHeight w:val="216"/>
        </w:trPr>
        <w:tc>
          <w:tcPr>
            <w:tcW w:w="3640" w:type="dxa"/>
            <w:vAlign w:val="bottom"/>
          </w:tcPr>
          <w:p>
            <w:pPr>
              <w:spacing w:after="0"/>
              <w:rPr>
                <w:sz w:val="18"/>
                <w:szCs w:val="18"/>
                <w:color w:val="auto"/>
              </w:rPr>
            </w:pPr>
          </w:p>
        </w:tc>
        <w:tc>
          <w:tcPr>
            <w:tcW w:w="3600" w:type="dxa"/>
            <w:vAlign w:val="bottom"/>
          </w:tcPr>
          <w:p>
            <w:pPr>
              <w:ind w:left="272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36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35"/>
        </w:trPr>
        <w:tc>
          <w:tcPr>
            <w:tcW w:w="3640" w:type="dxa"/>
            <w:vAlign w:val="bottom"/>
          </w:tcPr>
          <w:p>
            <w:pPr>
              <w:spacing w:after="0"/>
              <w:rPr>
                <w:sz w:val="24"/>
                <w:szCs w:val="24"/>
                <w:color w:val="auto"/>
              </w:rPr>
            </w:pPr>
          </w:p>
        </w:tc>
        <w:tc>
          <w:tcPr>
            <w:tcW w:w="3600" w:type="dxa"/>
            <w:vAlign w:val="bottom"/>
          </w:tcPr>
          <w:p>
            <w:pPr>
              <w:ind w:left="1980"/>
              <w:spacing w:after="0"/>
              <w:rPr>
                <w:sz w:val="20"/>
                <w:szCs w:val="20"/>
                <w:color w:val="auto"/>
              </w:rPr>
            </w:pPr>
            <w:r>
              <w:rPr>
                <w:rFonts w:ascii="Arial" w:cs="Arial" w:eastAsia="Arial" w:hAnsi="Arial"/>
                <w:sz w:val="18"/>
                <w:szCs w:val="18"/>
                <w:color w:val="auto"/>
              </w:rPr>
              <w:t>35</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Thatcher, certify that:</w:t>
      </w:r>
    </w:p>
    <w:p>
      <w:pPr>
        <w:spacing w:after="0" w:line="225" w:lineRule="exact"/>
        <w:rPr>
          <w:sz w:val="20"/>
          <w:szCs w:val="20"/>
          <w:color w:val="auto"/>
        </w:rPr>
      </w:pPr>
    </w:p>
    <w:p>
      <w:pPr>
        <w:ind w:left="620" w:hanging="612"/>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2018 of Neuronetics, Inc.;</w:t>
      </w:r>
    </w:p>
    <w:p>
      <w:pPr>
        <w:spacing w:after="0" w:line="225"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540" w:hanging="612"/>
        <w:spacing w:after="0" w:line="277"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4"/>
        <w:spacing w:after="0" w:line="264"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240" w:hanging="612"/>
        <w:spacing w:after="0" w:line="30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20" w:hanging="604"/>
        <w:spacing w:after="0" w:line="277"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August 14, 2018</w:t>
            </w:r>
          </w:p>
        </w:tc>
        <w:tc>
          <w:tcPr>
            <w:tcW w:w="2500" w:type="dxa"/>
            <w:vAlign w:val="bottom"/>
          </w:tcPr>
          <w:p>
            <w:pPr>
              <w:ind w:left="176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3400" w:type="dxa"/>
            <w:vAlign w:val="bottom"/>
          </w:tcPr>
          <w:p>
            <w:pPr>
              <w:spacing w:after="0"/>
              <w:rPr>
                <w:sz w:val="16"/>
                <w:szCs w:val="16"/>
                <w:color w:val="auto"/>
              </w:rPr>
            </w:pPr>
          </w:p>
        </w:tc>
        <w:tc>
          <w:tcPr>
            <w:tcW w:w="2500" w:type="dxa"/>
            <w:vAlign w:val="bottom"/>
          </w:tcPr>
          <w:p>
            <w:pPr>
              <w:ind w:left="176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3400" w:type="dxa"/>
            <w:vAlign w:val="bottom"/>
          </w:tcPr>
          <w:p>
            <w:pPr>
              <w:spacing w:after="0"/>
              <w:rPr>
                <w:sz w:val="18"/>
                <w:szCs w:val="18"/>
                <w:color w:val="auto"/>
              </w:rPr>
            </w:pPr>
          </w:p>
        </w:tc>
        <w:tc>
          <w:tcPr>
            <w:tcW w:w="2500" w:type="dxa"/>
            <w:vAlign w:val="bottom"/>
          </w:tcPr>
          <w:p>
            <w:pPr>
              <w:ind w:left="176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Donato, certify that:</w:t>
      </w:r>
    </w:p>
    <w:p>
      <w:pPr>
        <w:spacing w:after="0" w:line="225"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2018 of Neuronetics, Inc.;</w:t>
      </w:r>
    </w:p>
    <w:p>
      <w:pPr>
        <w:spacing w:after="0" w:line="225"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540" w:hanging="612"/>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4"/>
        <w:spacing w:after="0" w:line="264"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240" w:hanging="612"/>
        <w:spacing w:after="0" w:line="308"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20" w:hanging="604"/>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August 14, 2018</w:t>
            </w:r>
          </w:p>
        </w:tc>
        <w:tc>
          <w:tcPr>
            <w:tcW w:w="2500" w:type="dxa"/>
            <w:vAlign w:val="bottom"/>
          </w:tcPr>
          <w:p>
            <w:pPr>
              <w:ind w:left="176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Donato</w:t>
            </w:r>
          </w:p>
        </w:tc>
      </w:tr>
      <w:tr>
        <w:trPr>
          <w:trHeight w:val="195"/>
        </w:trPr>
        <w:tc>
          <w:tcPr>
            <w:tcW w:w="3400" w:type="dxa"/>
            <w:vAlign w:val="bottom"/>
          </w:tcPr>
          <w:p>
            <w:pPr>
              <w:spacing w:after="0"/>
              <w:rPr>
                <w:sz w:val="16"/>
                <w:szCs w:val="16"/>
                <w:color w:val="auto"/>
              </w:rPr>
            </w:pPr>
          </w:p>
        </w:tc>
        <w:tc>
          <w:tcPr>
            <w:tcW w:w="2500" w:type="dxa"/>
            <w:vAlign w:val="bottom"/>
          </w:tcPr>
          <w:p>
            <w:pPr>
              <w:ind w:left="176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rPr>
                <w:sz w:val="20"/>
                <w:szCs w:val="20"/>
                <w:color w:val="auto"/>
              </w:rPr>
            </w:pPr>
            <w:r>
              <w:rPr>
                <w:rFonts w:ascii="Arial" w:cs="Arial" w:eastAsia="Arial" w:hAnsi="Arial"/>
                <w:sz w:val="16"/>
                <w:szCs w:val="16"/>
                <w:color w:val="auto"/>
              </w:rPr>
              <w:t>Peter Donato</w:t>
            </w:r>
          </w:p>
        </w:tc>
      </w:tr>
      <w:tr>
        <w:trPr>
          <w:trHeight w:val="216"/>
        </w:trPr>
        <w:tc>
          <w:tcPr>
            <w:tcW w:w="3400" w:type="dxa"/>
            <w:vAlign w:val="bottom"/>
          </w:tcPr>
          <w:p>
            <w:pPr>
              <w:spacing w:after="0"/>
              <w:rPr>
                <w:sz w:val="18"/>
                <w:szCs w:val="18"/>
                <w:color w:val="auto"/>
              </w:rPr>
            </w:pPr>
          </w:p>
        </w:tc>
        <w:tc>
          <w:tcPr>
            <w:tcW w:w="2500" w:type="dxa"/>
            <w:vAlign w:val="bottom"/>
          </w:tcPr>
          <w:p>
            <w:pPr>
              <w:ind w:left="176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3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877"/>
        <w:spacing w:after="0" w:line="264"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June 30,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300" w:hanging="42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80" w:hanging="428"/>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August 14, 2018</w:t>
            </w:r>
          </w:p>
        </w:tc>
        <w:tc>
          <w:tcPr>
            <w:tcW w:w="3240" w:type="dxa"/>
            <w:vAlign w:val="bottom"/>
          </w:tcPr>
          <w:p>
            <w:pPr>
              <w:ind w:left="23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4000" w:type="dxa"/>
            <w:vAlign w:val="bottom"/>
          </w:tcPr>
          <w:p>
            <w:pPr>
              <w:spacing w:after="0"/>
              <w:rPr>
                <w:sz w:val="16"/>
                <w:szCs w:val="16"/>
                <w:color w:val="auto"/>
              </w:rPr>
            </w:pPr>
          </w:p>
        </w:tc>
        <w:tc>
          <w:tcPr>
            <w:tcW w:w="3240" w:type="dxa"/>
            <w:vAlign w:val="bottom"/>
          </w:tcPr>
          <w:p>
            <w:pPr>
              <w:ind w:left="23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4000" w:type="dxa"/>
            <w:vAlign w:val="bottom"/>
          </w:tcPr>
          <w:p>
            <w:pPr>
              <w:spacing w:after="0"/>
              <w:rPr>
                <w:sz w:val="18"/>
                <w:szCs w:val="18"/>
                <w:color w:val="auto"/>
              </w:rPr>
            </w:pPr>
          </w:p>
        </w:tc>
        <w:tc>
          <w:tcPr>
            <w:tcW w:w="3240" w:type="dxa"/>
            <w:vAlign w:val="bottom"/>
          </w:tcPr>
          <w:p>
            <w:pPr>
              <w:ind w:left="23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877"/>
        <w:spacing w:after="0" w:line="264"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June 30,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80" w:hanging="428"/>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August 14, 2018</w:t>
            </w:r>
          </w:p>
        </w:tc>
        <w:tc>
          <w:tcPr>
            <w:tcW w:w="3240" w:type="dxa"/>
            <w:vAlign w:val="bottom"/>
          </w:tcPr>
          <w:p>
            <w:pPr>
              <w:ind w:left="23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Donato</w:t>
            </w:r>
          </w:p>
        </w:tc>
      </w:tr>
      <w:tr>
        <w:trPr>
          <w:trHeight w:val="195"/>
        </w:trPr>
        <w:tc>
          <w:tcPr>
            <w:tcW w:w="4000" w:type="dxa"/>
            <w:vAlign w:val="bottom"/>
          </w:tcPr>
          <w:p>
            <w:pPr>
              <w:spacing w:after="0"/>
              <w:rPr>
                <w:sz w:val="16"/>
                <w:szCs w:val="16"/>
                <w:color w:val="auto"/>
              </w:rPr>
            </w:pPr>
          </w:p>
        </w:tc>
        <w:tc>
          <w:tcPr>
            <w:tcW w:w="3240" w:type="dxa"/>
            <w:vAlign w:val="bottom"/>
          </w:tcPr>
          <w:p>
            <w:pPr>
              <w:ind w:left="23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Peter Donato</w:t>
            </w:r>
          </w:p>
        </w:tc>
      </w:tr>
      <w:tr>
        <w:trPr>
          <w:trHeight w:val="216"/>
        </w:trPr>
        <w:tc>
          <w:tcPr>
            <w:tcW w:w="4000" w:type="dxa"/>
            <w:vAlign w:val="bottom"/>
          </w:tcPr>
          <w:p>
            <w:pPr>
              <w:spacing w:after="0"/>
              <w:rPr>
                <w:sz w:val="18"/>
                <w:szCs w:val="18"/>
                <w:color w:val="auto"/>
              </w:rPr>
            </w:pPr>
          </w:p>
        </w:tc>
        <w:tc>
          <w:tcPr>
            <w:tcW w:w="3240" w:type="dxa"/>
            <w:vAlign w:val="bottom"/>
          </w:tcPr>
          <w:p>
            <w:pPr>
              <w:ind w:left="23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40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Roman"/>
      <w:start w:val="3"/>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3"/>
    </w:lvl>
  </w:abstractNum>
  <w:abstractNum w:abstractNumId="15">
    <w:nsid w:val="62BBD95A"/>
    <w:multiLevelType w:val="hybridMultilevel"/>
    <w:lvl w:ilvl="0">
      <w:lvlJc w:val="left"/>
      <w:lvlText w:val="%1."/>
      <w:numFmt w:val="decimal"/>
      <w:start w:val="14"/>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Roman"/>
      <w:start w:val="7"/>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0" Type="http://schemas.openxmlformats.org/officeDocument/2006/relationships/hyperlink" Target="http://www.sec.gov/Archives/edgar/data/0001227636/000119312518213686/d860069dex31.htm" TargetMode="External"/><Relationship Id="rId61" Type="http://schemas.openxmlformats.org/officeDocument/2006/relationships/hyperlink" Target="http://www.sec.gov/Archives/edgar/data/1227636/000119312518213686/d86006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2019-12-28T19:51:01Z</dcterms:created>
  <dcterms:modified xsi:type="dcterms:W3CDTF">2019-12-28T19:51:01Z</dcterms:modified>
</cp:coreProperties>
</file>