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168245d8k.htm"/>
      <w:bookmarkStart w:id="1" w:name="ksd168245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6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240" w:after="0"/>
        <w:jc w:val="center"/>
        <w:rPr>
          <w:rFonts w:ascii="Times New Roman" w:hAnsi="Times New Roman"/>
          <w:b/>
          <w:sz w:val="24"/>
        </w:rPr>
      </w:pPr>
      <w:r>
        <w:rPr>
          <w:rFonts w:ascii="Times New Roman" w:hAnsi="Times New Roman"/>
          <w:b/>
          <w:sz w:val="24"/>
        </w:rPr>
        <w:t>Date of Report (Date of earliest event reported): August 11, 2026</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center"/>
        <w:rPr>
          <w:rFonts w:ascii="Times New Roman" w:hAnsi="Times New Roman"/>
          <w:b/>
          <w:sz w:val="48"/>
        </w:rPr>
      </w:pPr>
      <w:r>
        <w:rPr>
          <w:rFonts w:ascii="Times New Roman" w:hAnsi="Times New Roman"/>
          <w:b/>
          <w:sz w:val="48"/>
        </w:rPr>
        <w:t xml:space="preserve">NEURONETICS, INC. </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4530" w:type="dxa"/>
        <w:jc w:val="left"/>
        <w:tblInd w:w="0" w:type="dxa"/>
        <w:tblLayout w:type="fixed"/>
        <w:tblCellMar>
          <w:top w:w="0" w:type="dxa"/>
          <w:left w:w="0" w:type="dxa"/>
          <w:bottom w:w="0" w:type="dxa"/>
          <w:right w:w="0" w:type="dxa"/>
        </w:tblCellMar>
      </w:tblPr>
      <w:tblGrid>
        <w:gridCol w:w="1985"/>
        <w:gridCol w:w="60"/>
        <w:gridCol w:w="1055"/>
        <w:gridCol w:w="60"/>
        <w:gridCol w:w="1370"/>
      </w:tblGrid>
      <w:tr>
        <w:trPr/>
        <w:tc>
          <w:tcPr>
            <w:tcW w:w="19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r>
      <w:tr>
        <w:trPr/>
        <w:tc>
          <w:tcPr>
            <w:tcW w:w="1985" w:type="dxa"/>
            <w:tcBorders/>
            <w:vAlign w:val="center"/>
          </w:tcPr>
          <w:p>
            <w:pPr>
              <w:pStyle w:val="TableContents"/>
              <w:bidi w:val="0"/>
              <w:spacing w:before="0" w:after="283"/>
              <w:jc w:val="center"/>
              <w:rPr>
                <w:b/>
              </w:rPr>
            </w:pPr>
            <w:r>
              <w:rPr>
                <w:b/>
              </w:rPr>
              <w:t>Delaware</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center"/>
              <w:rPr>
                <w:b/>
              </w:rPr>
            </w:pPr>
            <w:r>
              <w:rPr>
                <w:b/>
              </w:rPr>
              <w:t>001-38546</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center"/>
              <w:rPr>
                <w:b/>
              </w:rPr>
            </w:pPr>
            <w:r>
              <w:rPr>
                <w:b/>
              </w:rPr>
              <w:t>33-1051425</w:t>
            </w:r>
          </w:p>
        </w:tc>
      </w:tr>
      <w:tr>
        <w:trPr/>
        <w:tc>
          <w:tcPr>
            <w:tcW w:w="198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w:t>
            </w:r>
          </w:p>
          <w:p>
            <w:pPr>
              <w:pStyle w:val="TableContents"/>
              <w:bidi w:val="0"/>
              <w:spacing w:before="0" w:after="20"/>
              <w:jc w:val="center"/>
              <w:rPr>
                <w:rFonts w:ascii="Times New Roman" w:hAnsi="Times New Roman"/>
                <w:b/>
                <w:sz w:val="16"/>
              </w:rPr>
            </w:pPr>
            <w:r>
              <w:rPr>
                <w:rFonts w:ascii="Times New Roman" w:hAnsi="Times New Roman"/>
                <w:b/>
                <w:sz w:val="16"/>
              </w:rPr>
              <w:t>of incorporation)</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bl>
    <w:p>
      <w:pPr>
        <w:pStyle w:val="TextBody"/>
        <w:bidi w:val="0"/>
        <w:spacing w:before="0" w:after="0"/>
        <w:jc w:val="left"/>
        <w:rPr/>
      </w:pPr>
      <w:r>
        <w:rPr/>
        <w:t> </w:t>
      </w:r>
    </w:p>
    <w:tbl>
      <w:tblPr>
        <w:tblW w:w="5140" w:type="dxa"/>
        <w:jc w:val="left"/>
        <w:tblInd w:w="0" w:type="dxa"/>
        <w:tblLayout w:type="fixed"/>
        <w:tblCellMar>
          <w:top w:w="0" w:type="dxa"/>
          <w:left w:w="0" w:type="dxa"/>
          <w:bottom w:w="0" w:type="dxa"/>
          <w:right w:w="0" w:type="dxa"/>
        </w:tblCellMar>
      </w:tblPr>
      <w:tblGrid>
        <w:gridCol w:w="3935"/>
        <w:gridCol w:w="60"/>
        <w:gridCol w:w="1145"/>
      </w:tblGrid>
      <w:tr>
        <w:trPr/>
        <w:tc>
          <w:tcPr>
            <w:tcW w:w="39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r>
      <w:tr>
        <w:trPr/>
        <w:tc>
          <w:tcPr>
            <w:tcW w:w="3935" w:type="dxa"/>
            <w:tcBorders/>
            <w:vAlign w:val="center"/>
          </w:tcPr>
          <w:p>
            <w:pPr>
              <w:pStyle w:val="TableContents"/>
              <w:bidi w:val="0"/>
              <w:spacing w:before="0" w:after="283"/>
              <w:jc w:val="center"/>
              <w:rPr>
                <w:b/>
              </w:rPr>
            </w:pPr>
            <w:r>
              <w:rPr>
                <w:b/>
              </w:rPr>
              <w:t>3222 Phoenixville Pike, Malvern, PA</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19355</w:t>
            </w:r>
          </w:p>
        </w:tc>
      </w:tr>
      <w:tr>
        <w:trPr/>
        <w:tc>
          <w:tcPr>
            <w:tcW w:w="3935" w:type="dxa"/>
            <w:tcBorders/>
            <w:vAlign w:val="center"/>
          </w:tcPr>
          <w:p>
            <w:pPr>
              <w:pStyle w:val="TableContents"/>
              <w:bidi w:val="0"/>
              <w:spacing w:before="0" w:after="283"/>
              <w:jc w:val="center"/>
              <w:rPr>
                <w:b/>
              </w:rPr>
            </w:pPr>
            <w:r>
              <w:rPr>
                <w:b/>
              </w:rPr>
              <w:t>(Address of principal executive offices)</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(Zip Code)</w:t>
            </w:r>
          </w:p>
        </w:tc>
      </w:tr>
    </w:tbl>
    <w:p>
      <w:pPr>
        <w:pStyle w:val="TextBody"/>
        <w:bidi w:val="0"/>
        <w:spacing w:before="240" w:after="0"/>
        <w:jc w:val="center"/>
        <w:rPr>
          <w:rFonts w:ascii="Times New Roman" w:hAnsi="Times New Roman"/>
          <w:b/>
          <w:sz w:val="20"/>
        </w:rPr>
      </w:pPr>
      <w:r>
        <w:rPr>
          <w:rFonts w:ascii="Times New Roman" w:hAnsi="Times New Roman"/>
          <w:b/>
          <w:sz w:val="20"/>
        </w:rPr>
        <w:t>Registrant’s telephone number, including area code: (877) 600-7555</w:t>
      </w:r>
    </w:p>
    <w:p>
      <w:pPr>
        <w:pStyle w:val="TextBody"/>
        <w:bidi w:val="0"/>
        <w:spacing w:before="0" w:after="0"/>
        <w:jc w:val="left"/>
        <w:rPr/>
      </w:pPr>
      <w:r>
        <w:rPr/>
        <w:t> </w:t>
      </w:r>
    </w:p>
    <w:p>
      <w:pPr>
        <w:pStyle w:val="TextBody"/>
        <w:bidi w:val="0"/>
        <w:spacing w:before="240" w:after="0"/>
        <w:jc w:val="center"/>
        <w:rPr>
          <w:rFonts w:ascii="Times New Roman" w:hAnsi="Times New Roman"/>
          <w:b/>
          <w:sz w:val="16"/>
        </w:rPr>
      </w:pPr>
      <w:r>
        <w:rPr>
          <w:rFonts w:ascii="Times New Roman" w:hAnsi="Times New Roman"/>
          <w:b/>
          <w:sz w:val="16"/>
        </w:rPr>
        <w:t>(Former name or former address, if changed since last report)</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240" w:after="0"/>
        <w:jc w:val="left"/>
        <w:rPr>
          <w:rFonts w:ascii="Times New Roman" w:hAnsi="Times New Roman"/>
          <w:sz w:val="20"/>
        </w:rPr>
      </w:pPr>
      <w:r>
        <w:rPr>
          <w:rFonts w:ascii="Times New Roman" w:hAnsi="Times New Roman"/>
          <w:sz w:val="20"/>
        </w:rPr>
        <w:t>Securities registered pursuant to Section 12(b) of the Act:</w:t>
      </w:r>
    </w:p>
    <w:p>
      <w:pPr>
        <w:pStyle w:val="TextBody"/>
        <w:bidi w:val="0"/>
        <w:spacing w:before="0" w:after="0"/>
        <w:jc w:val="left"/>
        <w:rPr/>
      </w:pPr>
      <w:r>
        <w:rPr/>
        <w:t> </w:t>
      </w:r>
    </w:p>
    <w:tbl>
      <w:tblPr>
        <w:tblW w:w="6690" w:type="dxa"/>
        <w:jc w:val="left"/>
        <w:tblInd w:w="0" w:type="dxa"/>
        <w:tblLayout w:type="fixed"/>
        <w:tblCellMar>
          <w:top w:w="0" w:type="dxa"/>
          <w:left w:w="0" w:type="dxa"/>
          <w:bottom w:w="0" w:type="dxa"/>
          <w:right w:w="0" w:type="dxa"/>
        </w:tblCellMar>
      </w:tblPr>
      <w:tblGrid>
        <w:gridCol w:w="3200"/>
        <w:gridCol w:w="60"/>
        <w:gridCol w:w="740"/>
        <w:gridCol w:w="60"/>
        <w:gridCol w:w="2630"/>
      </w:tblGrid>
      <w:tr>
        <w:trPr/>
        <w:tc>
          <w:tcPr>
            <w:tcW w:w="32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30" w:type="dxa"/>
            <w:tcBorders/>
            <w:vAlign w:val="center"/>
          </w:tcPr>
          <w:p>
            <w:pPr>
              <w:pStyle w:val="TableContents"/>
              <w:bidi w:val="0"/>
              <w:spacing w:before="0" w:after="283"/>
              <w:jc w:val="left"/>
              <w:rPr>
                <w:sz w:val="4"/>
                <w:szCs w:val="4"/>
              </w:rPr>
            </w:pPr>
            <w:r>
              <w:rPr>
                <w:sz w:val="4"/>
                <w:szCs w:val="4"/>
              </w:rPr>
            </w:r>
          </w:p>
        </w:tc>
      </w:tr>
      <w:tr>
        <w:trPr/>
        <w:tc>
          <w:tcPr>
            <w:tcW w:w="320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74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Trading</w:t>
              <w:br/>
              <w:t>Symbol(s)</w:t>
            </w:r>
          </w:p>
        </w:tc>
        <w:tc>
          <w:tcPr>
            <w:tcW w:w="60" w:type="dxa"/>
            <w:tcBorders/>
            <w:vAlign w:val="center"/>
          </w:tcPr>
          <w:p>
            <w:pPr>
              <w:pStyle w:val="TableContents"/>
              <w:bidi w:val="0"/>
              <w:spacing w:before="0" w:after="283"/>
              <w:jc w:val="left"/>
              <w:rPr/>
            </w:pPr>
            <w:r>
              <w:rPr/>
              <w:t> </w:t>
            </w:r>
          </w:p>
        </w:tc>
        <w:tc>
          <w:tcPr>
            <w:tcW w:w="263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Name of each exchange</w:t>
            </w:r>
          </w:p>
          <w:p>
            <w:pPr>
              <w:pStyle w:val="TableContents"/>
              <w:bidi w:val="0"/>
              <w:spacing w:before="0" w:after="20"/>
              <w:jc w:val="center"/>
              <w:rPr>
                <w:rFonts w:ascii="Times New Roman" w:hAnsi="Times New Roman"/>
                <w:b/>
                <w:sz w:val="16"/>
              </w:rPr>
            </w:pPr>
            <w:r>
              <w:rPr>
                <w:rFonts w:ascii="Times New Roman" w:hAnsi="Times New Roman"/>
                <w:b/>
                <w:sz w:val="16"/>
              </w:rPr>
              <w:t>on which registered</w:t>
            </w:r>
          </w:p>
        </w:tc>
      </w:tr>
      <w:tr>
        <w:trPr/>
        <w:tc>
          <w:tcPr>
            <w:tcW w:w="3200" w:type="dxa"/>
            <w:tcBorders/>
            <w:vAlign w:val="center"/>
          </w:tcPr>
          <w:p>
            <w:pPr>
              <w:pStyle w:val="TableContents"/>
              <w:bidi w:val="0"/>
              <w:spacing w:before="0" w:after="283"/>
              <w:jc w:val="center"/>
              <w:rPr/>
            </w:pPr>
            <w:r>
              <w:rPr/>
              <w:t>Common Stock ($0.01 par value)</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center"/>
              <w:rPr/>
            </w:pPr>
            <w:r>
              <w:rPr/>
              <w:t>STIM</w:t>
            </w:r>
          </w:p>
        </w:tc>
        <w:tc>
          <w:tcPr>
            <w:tcW w:w="60" w:type="dxa"/>
            <w:tcBorders/>
            <w:vAlign w:val="center"/>
          </w:tcPr>
          <w:p>
            <w:pPr>
              <w:pStyle w:val="TableContents"/>
              <w:bidi w:val="0"/>
              <w:spacing w:before="0" w:after="283"/>
              <w:jc w:val="left"/>
              <w:rPr/>
            </w:pPr>
            <w:r>
              <w:rPr/>
              <w:t> </w:t>
            </w:r>
          </w:p>
        </w:tc>
        <w:tc>
          <w:tcPr>
            <w:tcW w:w="2630" w:type="dxa"/>
            <w:tcBorders/>
            <w:vAlign w:val="center"/>
          </w:tcPr>
          <w:p>
            <w:pPr>
              <w:pStyle w:val="TableContents"/>
              <w:bidi w:val="0"/>
              <w:spacing w:before="0" w:after="283"/>
              <w:jc w:val="center"/>
              <w:rPr/>
            </w:pPr>
            <w:r>
              <w:rPr/>
              <w:t>The Nasdaq Global Market</w:t>
            </w:r>
          </w:p>
        </w:tc>
      </w:tr>
    </w:tbl>
    <w:p>
      <w:pPr>
        <w:pStyle w:val="TextBody"/>
        <w:bidi w:val="0"/>
        <w:spacing w:before="24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240" w:after="0"/>
        <w:jc w:val="right"/>
        <w:rPr>
          <w:rFonts w:ascii="Times New Roman" w:hAnsi="Times New Roman"/>
          <w:sz w:val="20"/>
        </w:rPr>
      </w:pPr>
      <w:r>
        <w:rPr>
          <w:rFonts w:ascii="Times New Roman" w:hAnsi="Times New Roman"/>
          <w:sz w:val="20"/>
        </w:rPr>
        <w:t>Emerging growth company ☐</w:t>
      </w:r>
    </w:p>
    <w:p>
      <w:pPr>
        <w:pStyle w:val="TextBody"/>
        <w:bidi w:val="0"/>
        <w:spacing w:before="24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tbl>
      <w:tblPr>
        <w:tblW w:w="10205" w:type="dxa"/>
        <w:jc w:val="left"/>
        <w:tblInd w:w="0" w:type="dxa"/>
        <w:tblLayout w:type="fixed"/>
        <w:tblCellMar>
          <w:top w:w="0" w:type="dxa"/>
          <w:left w:w="0" w:type="dxa"/>
          <w:bottom w:w="0" w:type="dxa"/>
          <w:right w:w="0" w:type="dxa"/>
        </w:tblCellMar>
      </w:tblPr>
      <w:tblGrid>
        <w:gridCol w:w="844"/>
        <w:gridCol w:w="9361"/>
      </w:tblGrid>
      <w:tr>
        <w:trPr/>
        <w:tc>
          <w:tcPr>
            <w:tcW w:w="844" w:type="dxa"/>
            <w:tcBorders/>
            <w:vAlign w:val="center"/>
          </w:tcPr>
          <w:p>
            <w:pPr>
              <w:pStyle w:val="TableContents"/>
              <w:bidi w:val="0"/>
              <w:spacing w:before="0" w:after="283"/>
              <w:jc w:val="left"/>
              <w:rPr>
                <w:b/>
              </w:rPr>
            </w:pPr>
            <w:r>
              <w:rPr>
                <w:b/>
              </w:rPr>
              <w:t>Item 5.02</w:t>
            </w:r>
          </w:p>
        </w:tc>
        <w:tc>
          <w:tcPr>
            <w:tcW w:w="9361"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Departure of Directors or Certain Officers; Election of Directors; Appointment of Certain Officers; Compensatory Arrangements of Certain Officers. </w:t>
            </w:r>
          </w:p>
        </w:tc>
      </w:tr>
    </w:tbl>
    <w:p>
      <w:pPr>
        <w:pStyle w:val="TextBody"/>
        <w:bidi w:val="0"/>
        <w:spacing w:before="120" w:after="0"/>
        <w:jc w:val="left"/>
        <w:rPr>
          <w:rFonts w:ascii="Times New Roman" w:hAnsi="Times New Roman"/>
          <w:sz w:val="20"/>
        </w:rPr>
      </w:pPr>
      <w:r>
        <w:rPr>
          <w:rFonts w:ascii="Times New Roman" w:hAnsi="Times New Roman"/>
          <w:sz w:val="20"/>
        </w:rPr>
        <w:t xml:space="preserve">(b) On August 11, 2026, in connection with Mr. Naor’s appointment (as described below), Francis X. Brown III’s appointment as Neuronetics, Inc.’s (the “Company”) interim principal financial and accounting officer ended. Such event is not the result of any dispute or disagreement between Mr. Brown and the Company, the Company’s management, or the Company’s Board on any matter relating to the Company’s operations, policies, or practices. Mr. Brown will continue to serve as a consultant. </w:t>
      </w:r>
    </w:p>
    <w:p>
      <w:pPr>
        <w:pStyle w:val="TextBody"/>
        <w:bidi w:val="0"/>
        <w:spacing w:before="240" w:after="0"/>
        <w:jc w:val="left"/>
        <w:rPr>
          <w:rFonts w:ascii="Times New Roman" w:hAnsi="Times New Roman"/>
          <w:sz w:val="20"/>
        </w:rPr>
      </w:pPr>
      <w:r>
        <w:rPr>
          <w:rFonts w:ascii="Times New Roman" w:hAnsi="Times New Roman"/>
          <w:sz w:val="20"/>
        </w:rPr>
        <w:t xml:space="preserve">(c) As previously disclosed, the Board of Directors of the Company (the “Board”) appointed Nir Naor as the Company’s Executive Vice President, Chief Financial Officer, and Treasurer with an effective date of July 23, 2026. On August 12, 2026, the Board appointed Mr. Naor to serve as the Company’s principal financial and accounting officer. Mr. Naor’s title is now Executive Vice President, Chief Financial Officer, Corporate Secretary, and Treasurer. Mr. Naor did not receive any new compensation in connection with his appointment as the principal financial and accounting officer, his appointment as the corporate secretary, or the modification of his title. Mr. Naor’s biographical information can be found in the Company’s Current Report on Form 8-K filed on July 20, 2026. </w:t>
      </w:r>
    </w:p>
    <w:p>
      <w:pPr>
        <w:pStyle w:val="TextBody"/>
        <w:bidi w:val="0"/>
        <w:spacing w:before="240" w:after="0"/>
        <w:jc w:val="left"/>
        <w:rPr>
          <w:rFonts w:ascii="Times New Roman" w:hAnsi="Times New Roman"/>
          <w:sz w:val="20"/>
        </w:rPr>
      </w:pPr>
      <w:r>
        <w:rPr>
          <w:rFonts w:ascii="Times New Roman" w:hAnsi="Times New Roman"/>
          <w:sz w:val="20"/>
        </w:rPr>
        <w:t xml:space="preserve">There is no arrangement or understanding between Mr. Naor and any other person pursuant to which Mr. Naor was selected as an officer of the Company, and there is no family relationship between Mr. Naor and any of the Company’s directors or other executive officers. There are no related party transactions between Mr. Naor and the Company that would require disclosure under Item 404(a) of Regulation S-K. </w:t>
      </w:r>
    </w:p>
    <w:p>
      <w:pPr>
        <w:pStyle w:val="TextBody"/>
        <w:bidi w:val="0"/>
        <w:spacing w:before="0" w:after="0"/>
        <w:jc w:val="left"/>
        <w:rPr/>
      </w:pPr>
      <w:r>
        <w:rPr/>
        <w:t> </w:t>
      </w:r>
    </w:p>
    <w:tbl>
      <w:tblPr>
        <w:tblW w:w="3970" w:type="dxa"/>
        <w:jc w:val="left"/>
        <w:tblInd w:w="0" w:type="dxa"/>
        <w:tblLayout w:type="fixed"/>
        <w:tblCellMar>
          <w:top w:w="0" w:type="dxa"/>
          <w:left w:w="0" w:type="dxa"/>
          <w:bottom w:w="0" w:type="dxa"/>
          <w:right w:w="0" w:type="dxa"/>
        </w:tblCellMar>
      </w:tblPr>
      <w:tblGrid>
        <w:gridCol w:w="965"/>
        <w:gridCol w:w="3005"/>
      </w:tblGrid>
      <w:tr>
        <w:trPr/>
        <w:tc>
          <w:tcPr>
            <w:tcW w:w="965" w:type="dxa"/>
            <w:tcBorders/>
            <w:vAlign w:val="center"/>
          </w:tcPr>
          <w:p>
            <w:pPr>
              <w:pStyle w:val="TableContents"/>
              <w:bidi w:val="0"/>
              <w:spacing w:before="0" w:after="283"/>
              <w:jc w:val="left"/>
              <w:rPr>
                <w:b/>
              </w:rPr>
            </w:pPr>
            <w:r>
              <w:rPr>
                <w:b/>
              </w:rPr>
              <w:t>Item 9.01</w:t>
            </w:r>
          </w:p>
        </w:tc>
        <w:tc>
          <w:tcPr>
            <w:tcW w:w="300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Financial Statements and Exhibits.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(d) Exhibits </w:t>
      </w:r>
    </w:p>
    <w:p>
      <w:pPr>
        <w:pStyle w:val="TextBody"/>
        <w:bidi w:val="0"/>
        <w:spacing w:before="0" w:after="0"/>
        <w:jc w:val="left"/>
        <w:rPr/>
      </w:pPr>
      <w:r>
        <w:rPr/>
        <w:t> </w:t>
      </w:r>
    </w:p>
    <w:tbl>
      <w:tblPr>
        <w:tblW w:w="8365" w:type="dxa"/>
        <w:jc w:val="left"/>
        <w:tblInd w:w="0" w:type="dxa"/>
        <w:tblLayout w:type="fixed"/>
        <w:tblCellMar>
          <w:top w:w="0" w:type="dxa"/>
          <w:left w:w="0" w:type="dxa"/>
          <w:bottom w:w="0" w:type="dxa"/>
          <w:right w:w="0" w:type="dxa"/>
        </w:tblCellMar>
      </w:tblPr>
      <w:tblGrid>
        <w:gridCol w:w="620"/>
        <w:gridCol w:w="120"/>
        <w:gridCol w:w="7625"/>
      </w:tblGrid>
      <w:tr>
        <w:trPr/>
        <w:tc>
          <w:tcPr>
            <w:tcW w:w="6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625" w:type="dxa"/>
            <w:tcBorders/>
            <w:vAlign w:val="center"/>
          </w:tcPr>
          <w:p>
            <w:pPr>
              <w:pStyle w:val="TableContents"/>
              <w:bidi w:val="0"/>
              <w:spacing w:before="0" w:after="283"/>
              <w:jc w:val="left"/>
              <w:rPr>
                <w:sz w:val="4"/>
                <w:szCs w:val="4"/>
              </w:rPr>
            </w:pPr>
            <w:r>
              <w:rPr>
                <w:sz w:val="4"/>
                <w:szCs w:val="4"/>
              </w:rPr>
            </w:r>
          </w:p>
        </w:tc>
      </w:tr>
      <w:tr>
        <w:trPr/>
        <w:tc>
          <w:tcPr>
            <w:tcW w:w="62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Exhibit</w:t>
            </w:r>
          </w:p>
          <w:p>
            <w:pPr>
              <w:pStyle w:val="TableContents"/>
              <w:bidi w:val="0"/>
              <w:spacing w:before="0" w:after="20"/>
              <w:jc w:val="center"/>
              <w:rPr>
                <w:rFonts w:ascii="Times New Roman" w:hAnsi="Times New Roman"/>
                <w:b/>
                <w:sz w:val="16"/>
              </w:rPr>
            </w:pPr>
            <w:r>
              <w:rPr>
                <w:rFonts w:ascii="Times New Roman" w:hAnsi="Times New Roman"/>
                <w:b/>
                <w:sz w:val="16"/>
              </w:rPr>
              <w:t>Number</w:t>
            </w:r>
          </w:p>
        </w:tc>
        <w:tc>
          <w:tcPr>
            <w:tcW w:w="120" w:type="dxa"/>
            <w:tcBorders/>
            <w:vAlign w:val="center"/>
          </w:tcPr>
          <w:p>
            <w:pPr>
              <w:pStyle w:val="TableContents"/>
              <w:bidi w:val="0"/>
              <w:spacing w:before="0" w:after="283"/>
              <w:jc w:val="left"/>
              <w:rPr/>
            </w:pPr>
            <w:r>
              <w:rPr/>
              <w:t>  </w:t>
            </w:r>
          </w:p>
        </w:tc>
        <w:tc>
          <w:tcPr>
            <w:tcW w:w="7625" w:type="dxa"/>
            <w:tcBorders/>
            <w:vAlign w:val="center"/>
          </w:tcPr>
          <w:p>
            <w:pPr>
              <w:pStyle w:val="TableContents"/>
              <w:bidi w:val="0"/>
              <w:spacing w:before="0" w:after="283"/>
              <w:jc w:val="left"/>
              <w:rPr>
                <w:b/>
              </w:rPr>
            </w:pPr>
            <w:r>
              <w:rPr>
                <w:b/>
              </w:rPr>
              <w:t>Description</w:t>
            </w:r>
          </w:p>
        </w:tc>
      </w:tr>
      <w:tr>
        <w:trPr/>
        <w:tc>
          <w:tcPr>
            <w:tcW w:w="620" w:type="dxa"/>
            <w:tcBorders/>
            <w:vAlign w:val="center"/>
          </w:tcPr>
          <w:p>
            <w:pPr>
              <w:pStyle w:val="TableContents"/>
              <w:bidi w:val="0"/>
              <w:spacing w:before="0" w:after="283"/>
              <w:jc w:val="left"/>
              <w:rPr>
                <w:sz w:val="4"/>
                <w:szCs w:val="4"/>
              </w:rPr>
            </w:pPr>
            <w:r>
              <w:rPr>
                <w:sz w:val="4"/>
                <w:szCs w:val="4"/>
              </w:rPr>
            </w:r>
          </w:p>
        </w:tc>
        <w:tc>
          <w:tcPr>
            <w:tcW w:w="7745" w:type="dxa"/>
            <w:gridSpan w:val="2"/>
            <w:tcBorders/>
            <w:vAlign w:val="center"/>
          </w:tcPr>
          <w:p>
            <w:pPr>
              <w:pStyle w:val="TableContents"/>
              <w:bidi w:val="0"/>
              <w:spacing w:before="0" w:after="283"/>
              <w:jc w:val="left"/>
              <w:rPr>
                <w:sz w:val="4"/>
                <w:szCs w:val="4"/>
              </w:rPr>
            </w:pPr>
            <w:r>
              <w:rPr>
                <w:sz w:val="4"/>
                <w:szCs w:val="4"/>
              </w:rPr>
            </w:r>
          </w:p>
        </w:tc>
      </w:tr>
      <w:tr>
        <w:trPr/>
        <w:tc>
          <w:tcPr>
            <w:tcW w:w="620" w:type="dxa"/>
            <w:tcBorders/>
            <w:vAlign w:val="center"/>
          </w:tcPr>
          <w:p>
            <w:pPr>
              <w:pStyle w:val="TableContents"/>
              <w:bidi w:val="0"/>
              <w:spacing w:before="0" w:after="283"/>
              <w:jc w:val="left"/>
              <w:rPr/>
            </w:pPr>
            <w:r>
              <w:rPr/>
              <w:t>104</w:t>
            </w:r>
          </w:p>
        </w:tc>
        <w:tc>
          <w:tcPr>
            <w:tcW w:w="120" w:type="dxa"/>
            <w:tcBorders/>
            <w:vAlign w:val="center"/>
          </w:tcPr>
          <w:p>
            <w:pPr>
              <w:pStyle w:val="TableContents"/>
              <w:bidi w:val="0"/>
              <w:spacing w:before="0" w:after="283"/>
              <w:jc w:val="left"/>
              <w:rPr/>
            </w:pPr>
            <w:r>
              <w:rPr/>
              <w:t>  </w:t>
            </w:r>
          </w:p>
        </w:tc>
        <w:tc>
          <w:tcPr>
            <w:tcW w:w="7625" w:type="dxa"/>
            <w:tcBorders/>
            <w:vAlign w:val="center"/>
          </w:tcPr>
          <w:p>
            <w:pPr>
              <w:pStyle w:val="TableContents"/>
              <w:bidi w:val="0"/>
              <w:spacing w:before="0" w:after="283"/>
              <w:jc w:val="left"/>
              <w:rPr/>
            </w:pPr>
            <w:r>
              <w:rPr/>
              <w:t>Cover Page Interactive Data File (embedded within the Inline XBRL document)</w:t>
            </w:r>
          </w:p>
        </w:tc>
      </w:tr>
    </w:tbl>
    <w:p>
      <w:pPr>
        <w:pStyle w:val="HorizontalLine"/>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hereunto duly authorized.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648"/>
        <w:gridCol w:w="1024"/>
        <w:gridCol w:w="393"/>
        <w:gridCol w:w="60"/>
        <w:gridCol w:w="365"/>
        <w:gridCol w:w="60"/>
        <w:gridCol w:w="7655"/>
      </w:tblGrid>
      <w:tr>
        <w:trPr/>
        <w:tc>
          <w:tcPr>
            <w:tcW w:w="648" w:type="dxa"/>
            <w:tcBorders/>
            <w:vAlign w:val="center"/>
          </w:tcPr>
          <w:p>
            <w:pPr>
              <w:pStyle w:val="TableContents"/>
              <w:bidi w:val="0"/>
              <w:spacing w:before="0" w:after="283"/>
              <w:jc w:val="left"/>
              <w:rPr>
                <w:sz w:val="4"/>
                <w:szCs w:val="4"/>
              </w:rPr>
            </w:pPr>
            <w:r>
              <w:rPr>
                <w:sz w:val="4"/>
                <w:szCs w:val="4"/>
              </w:rPr>
            </w:r>
          </w:p>
        </w:tc>
        <w:tc>
          <w:tcPr>
            <w:tcW w:w="1024"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655" w:type="dxa"/>
            <w:tcBorders/>
            <w:vAlign w:val="center"/>
          </w:tcPr>
          <w:p>
            <w:pPr>
              <w:pStyle w:val="TableContents"/>
              <w:bidi w:val="0"/>
              <w:spacing w:before="0" w:after="283"/>
              <w:jc w:val="left"/>
              <w:rPr>
                <w:sz w:val="4"/>
                <w:szCs w:val="4"/>
              </w:rPr>
            </w:pPr>
            <w:r>
              <w:rPr>
                <w:sz w:val="4"/>
                <w:szCs w:val="4"/>
              </w:rPr>
            </w:r>
          </w:p>
        </w:tc>
      </w:tr>
      <w:tr>
        <w:trPr/>
        <w:tc>
          <w:tcPr>
            <w:tcW w:w="2065" w:type="dxa"/>
            <w:gridSpan w:val="3"/>
            <w:tcBorders/>
            <w:vAlign w:val="center"/>
          </w:tcPr>
          <w:p>
            <w:pPr>
              <w:pStyle w:val="TableContents"/>
              <w:bidi w:val="0"/>
              <w:spacing w:before="0" w:after="283"/>
              <w:jc w:val="left"/>
              <w:rPr/>
            </w:pPr>
            <w:r>
              <w:rPr/>
              <w:t>Date: August 17, 2026</w:t>
            </w:r>
          </w:p>
        </w:tc>
        <w:tc>
          <w:tcPr>
            <w:tcW w:w="60" w:type="dxa"/>
            <w:tcBorders/>
            <w:vAlign w:val="center"/>
          </w:tcPr>
          <w:p>
            <w:pPr>
              <w:pStyle w:val="TableContents"/>
              <w:bidi w:val="0"/>
              <w:spacing w:before="0" w:after="283"/>
              <w:jc w:val="left"/>
              <w:rPr/>
            </w:pPr>
            <w:r>
              <w:rPr/>
              <w:t> </w:t>
            </w:r>
          </w:p>
        </w:tc>
        <w:tc>
          <w:tcPr>
            <w:tcW w:w="8080" w:type="dxa"/>
            <w:gridSpan w:val="3"/>
            <w:tcBorders/>
            <w:vAlign w:val="center"/>
          </w:tcPr>
          <w:p>
            <w:pPr>
              <w:pStyle w:val="TableContents"/>
              <w:bidi w:val="0"/>
              <w:spacing w:before="0" w:after="283"/>
              <w:jc w:val="left"/>
              <w:rPr>
                <w:b/>
              </w:rPr>
            </w:pPr>
            <w:r>
              <w:rPr>
                <w:b/>
              </w:rPr>
              <w:t>NEURONETICS, INC.</w:t>
            </w:r>
          </w:p>
        </w:tc>
      </w:tr>
      <w:tr>
        <w:trPr/>
        <w:tc>
          <w:tcPr>
            <w:tcW w:w="648" w:type="dxa"/>
            <w:tcBorders/>
            <w:vAlign w:val="center"/>
          </w:tcPr>
          <w:p>
            <w:pPr>
              <w:pStyle w:val="TableContents"/>
              <w:bidi w:val="0"/>
              <w:spacing w:before="0" w:after="283"/>
              <w:jc w:val="left"/>
              <w:rPr>
                <w:sz w:val="4"/>
                <w:szCs w:val="4"/>
              </w:rPr>
            </w:pPr>
            <w:r>
              <w:rPr>
                <w:sz w:val="4"/>
                <w:szCs w:val="4"/>
              </w:rPr>
            </w:r>
          </w:p>
        </w:tc>
        <w:tc>
          <w:tcPr>
            <w:tcW w:w="1417" w:type="dxa"/>
            <w:gridSpan w:val="2"/>
            <w:tcBorders/>
            <w:vAlign w:val="center"/>
          </w:tcPr>
          <w:p>
            <w:pPr>
              <w:pStyle w:val="TableContents"/>
              <w:bidi w:val="0"/>
              <w:spacing w:before="0" w:after="283"/>
              <w:jc w:val="left"/>
              <w:rPr>
                <w:sz w:val="4"/>
                <w:szCs w:val="4"/>
              </w:rPr>
            </w:pPr>
            <w:r>
              <w:rPr>
                <w:sz w:val="4"/>
                <w:szCs w:val="4"/>
              </w:rPr>
            </w:r>
          </w:p>
        </w:tc>
        <w:tc>
          <w:tcPr>
            <w:tcW w:w="425" w:type="dxa"/>
            <w:gridSpan w:val="2"/>
            <w:tcBorders/>
            <w:vAlign w:val="center"/>
          </w:tcPr>
          <w:p>
            <w:pPr>
              <w:pStyle w:val="TableContents"/>
              <w:bidi w:val="0"/>
              <w:spacing w:before="0" w:after="283"/>
              <w:jc w:val="left"/>
              <w:rPr>
                <w:sz w:val="4"/>
                <w:szCs w:val="4"/>
              </w:rPr>
            </w:pPr>
            <w:r>
              <w:rPr>
                <w:sz w:val="4"/>
                <w:szCs w:val="4"/>
              </w:rPr>
            </w:r>
          </w:p>
        </w:tc>
        <w:tc>
          <w:tcPr>
            <w:tcW w:w="7715" w:type="dxa"/>
            <w:gridSpan w:val="2"/>
            <w:tcBorders/>
            <w:vAlign w:val="center"/>
          </w:tcPr>
          <w:p>
            <w:pPr>
              <w:pStyle w:val="TableContents"/>
              <w:bidi w:val="0"/>
              <w:spacing w:before="0" w:after="283"/>
              <w:jc w:val="left"/>
              <w:rPr>
                <w:sz w:val="4"/>
                <w:szCs w:val="4"/>
              </w:rPr>
            </w:pPr>
            <w:r>
              <w:rPr>
                <w:sz w:val="4"/>
                <w:szCs w:val="4"/>
              </w:rPr>
            </w:r>
          </w:p>
        </w:tc>
      </w:tr>
      <w:tr>
        <w:trPr/>
        <w:tc>
          <w:tcPr>
            <w:tcW w:w="648" w:type="dxa"/>
            <w:tcBorders/>
            <w:vAlign w:val="center"/>
          </w:tcPr>
          <w:p>
            <w:pPr>
              <w:pStyle w:val="TableContents"/>
              <w:bidi w:val="0"/>
              <w:spacing w:before="0" w:after="283"/>
              <w:jc w:val="left"/>
              <w:rPr>
                <w:sz w:val="4"/>
                <w:szCs w:val="4"/>
              </w:rPr>
            </w:pPr>
            <w:r>
              <w:rPr>
                <w:sz w:val="4"/>
                <w:szCs w:val="4"/>
              </w:rPr>
            </w:r>
          </w:p>
        </w:tc>
        <w:tc>
          <w:tcPr>
            <w:tcW w:w="1024" w:type="dxa"/>
            <w:tcBorders/>
            <w:vAlign w:val="center"/>
          </w:tcPr>
          <w:p>
            <w:pPr>
              <w:pStyle w:val="TableContents"/>
              <w:bidi w:val="0"/>
              <w:spacing w:before="0" w:after="283"/>
              <w:jc w:val="left"/>
              <w:rPr/>
            </w:pPr>
            <w:r>
              <w:rPr/>
              <w:t> </w:t>
            </w:r>
          </w:p>
        </w:tc>
        <w:tc>
          <w:tcPr>
            <w:tcW w:w="39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7655"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Nir Naor</w:t>
            </w:r>
          </w:p>
        </w:tc>
      </w:tr>
      <w:tr>
        <w:trPr/>
        <w:tc>
          <w:tcPr>
            <w:tcW w:w="648" w:type="dxa"/>
            <w:tcBorders/>
            <w:vAlign w:val="center"/>
          </w:tcPr>
          <w:p>
            <w:pPr>
              <w:pStyle w:val="TableContents"/>
              <w:bidi w:val="0"/>
              <w:spacing w:before="0" w:after="283"/>
              <w:jc w:val="left"/>
              <w:rPr>
                <w:sz w:val="4"/>
                <w:szCs w:val="4"/>
              </w:rPr>
            </w:pPr>
            <w:r>
              <w:rPr>
                <w:sz w:val="4"/>
                <w:szCs w:val="4"/>
              </w:rPr>
            </w:r>
          </w:p>
        </w:tc>
        <w:tc>
          <w:tcPr>
            <w:tcW w:w="1024" w:type="dxa"/>
            <w:tcBorders/>
            <w:vAlign w:val="center"/>
          </w:tcPr>
          <w:p>
            <w:pPr>
              <w:pStyle w:val="TableContents"/>
              <w:bidi w:val="0"/>
              <w:spacing w:before="0" w:after="283"/>
              <w:jc w:val="left"/>
              <w:rPr/>
            </w:pPr>
            <w:r>
              <w:rPr/>
              <w:t> </w:t>
            </w:r>
          </w:p>
        </w:tc>
        <w:tc>
          <w:tcPr>
            <w:tcW w:w="39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655" w:type="dxa"/>
            <w:tcBorders/>
            <w:vAlign w:val="center"/>
          </w:tcPr>
          <w:p>
            <w:pPr>
              <w:pStyle w:val="TableContents"/>
              <w:bidi w:val="0"/>
              <w:spacing w:before="0" w:after="283"/>
              <w:jc w:val="left"/>
              <w:rPr/>
            </w:pPr>
            <w:r>
              <w:rPr/>
              <w:t>Nir Naor</w:t>
            </w:r>
          </w:p>
        </w:tc>
      </w:tr>
      <w:tr>
        <w:trPr/>
        <w:tc>
          <w:tcPr>
            <w:tcW w:w="648" w:type="dxa"/>
            <w:tcBorders/>
            <w:vAlign w:val="center"/>
          </w:tcPr>
          <w:p>
            <w:pPr>
              <w:pStyle w:val="TableContents"/>
              <w:bidi w:val="0"/>
              <w:spacing w:before="0" w:after="283"/>
              <w:jc w:val="left"/>
              <w:rPr>
                <w:sz w:val="4"/>
                <w:szCs w:val="4"/>
              </w:rPr>
            </w:pPr>
            <w:r>
              <w:rPr>
                <w:sz w:val="4"/>
                <w:szCs w:val="4"/>
              </w:rPr>
            </w:r>
          </w:p>
        </w:tc>
        <w:tc>
          <w:tcPr>
            <w:tcW w:w="1024" w:type="dxa"/>
            <w:tcBorders/>
            <w:vAlign w:val="center"/>
          </w:tcPr>
          <w:p>
            <w:pPr>
              <w:pStyle w:val="TableContents"/>
              <w:bidi w:val="0"/>
              <w:spacing w:before="0" w:after="283"/>
              <w:jc w:val="left"/>
              <w:rPr/>
            </w:pPr>
            <w:r>
              <w:rPr/>
              <w:t> </w:t>
            </w:r>
          </w:p>
        </w:tc>
        <w:tc>
          <w:tcPr>
            <w:tcW w:w="39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655" w:type="dxa"/>
            <w:tcBorders/>
            <w:vAlign w:val="center"/>
          </w:tcPr>
          <w:p>
            <w:pPr>
              <w:pStyle w:val="TableContents"/>
              <w:bidi w:val="0"/>
              <w:spacing w:before="0" w:after="283"/>
              <w:jc w:val="left"/>
              <w:rPr/>
            </w:pPr>
            <w:r>
              <w:rPr/>
              <w:t>Executive Vice President, Chief Financial Officer, Corporate Secretary, and Treasurer</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655</Words>
  <Characters>3633</Characters>
  <CharactersWithSpaces>4281</CharactersWithSpaces>
  <Paragraphs>114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