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stim-20220331x10q.htm"/>
        <w:bookmarkStart w:id="1" w:name="ksstim20220331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spacing w:before="0" w:after="200"/>
        <w:ind w:left="0" w:right="0" w:hanging="0"/>
        <w:jc w:val="center"/>
        <w:rPr/>
      </w:pPr>
      <w:r>
        <w:rPr/>
        <w:t>​</w:t>
      </w:r>
    </w:p>
    <w:p>
      <w:pPr>
        <w:pStyle w:val="TextBody"/>
        <w:spacing w:before="0" w:after="200"/>
        <w:ind w:left="0" w:right="0" w:hanging="0"/>
        <w:jc w:val="center"/>
        <w:rPr/>
      </w:pPr>
      <w:r>
        <w:rPr/>
        <w:t>​</w:t>
      </w:r>
    </w:p>
    <w:p>
      <w:pPr>
        <w:pStyle w:val="TextBody"/>
        <w:spacing w:before="0" w:after="0"/>
        <w:ind w:left="0" w:right="0" w:hanging="0"/>
        <w:jc w:val="center"/>
        <w:rPr>
          <w:rFonts w:ascii="Arial;Helvetica;sans-serif" w:hAnsi="Arial;Helvetica;sans-serif"/>
          <w:b/>
          <w:sz w:val="22"/>
        </w:rPr>
      </w:pPr>
      <w:bookmarkStart w:id="2" w:name="_dfea472c_a4a7_4ffb_8cf4_a1e60c24492b"/>
      <w:bookmarkEnd w:id="2"/>
      <w:r>
        <w:rPr>
          <w:rFonts w:ascii="Arial;Helvetica;sans-serif" w:hAnsi="Arial;Helvetica;sans-serif"/>
          <w:b/>
          <w:sz w:val="22"/>
        </w:rPr>
        <w:t>UNITED STATES</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spacing w:before="0" w:after="100"/>
        <w:ind w:left="0" w:right="0" w:hanging="0"/>
        <w:jc w:val="center"/>
        <w:rPr>
          <w:rFonts w:ascii="Arial;Helvetica;sans-serif" w:hAnsi="Arial;Helvetica;sans-serif"/>
          <w:b/>
          <w:sz w:val="22"/>
        </w:rPr>
      </w:pPr>
      <w:r>
        <w:rPr>
          <w:rFonts w:ascii="Arial;Helvetica;sans-serif" w:hAnsi="Arial;Helvetica;sans-serif"/>
          <w:b/>
          <w:sz w:val="22"/>
        </w:rPr>
        <w:t>FORM 10-Q</w:t>
      </w:r>
    </w:p>
    <w:p>
      <w:pPr>
        <w:pStyle w:val="TextBody"/>
        <w:spacing w:before="0" w:after="100"/>
        <w:ind w:left="0" w:right="0" w:hanging="0"/>
        <w:rPr>
          <w:rFonts w:ascii="Arial;Helvetica;sans-serif" w:hAnsi="Arial;Helvetica;sans-serif"/>
          <w:sz w:val="16"/>
        </w:rPr>
      </w:pPr>
      <w:r>
        <w:rPr>
          <w:rFonts w:ascii="Arial;Helvetica;sans-serif" w:hAnsi="Arial;Helvetica;sans-serif"/>
          <w:sz w:val="16"/>
        </w:rPr>
        <w:t>(Mark One)</w:t>
      </w:r>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100"/>
              <w:rPr/>
            </w:pPr>
            <w:r>
              <w:rPr/>
              <w:t>☒</w:t>
            </w:r>
          </w:p>
        </w:tc>
        <w:tc>
          <w:tcPr>
            <w:tcW w:w="9874" w:type="dxa"/>
            <w:tcBorders/>
            <w:shd w:fill="auto" w:val="clear"/>
            <w:vAlign w:val="center"/>
          </w:tcPr>
          <w:p>
            <w:pPr>
              <w:pStyle w:val="TableContents"/>
              <w:spacing w:before="0" w:after="100"/>
              <w:rPr>
                <w:rFonts w:ascii="Arial;Helvetica;sans-serif" w:hAnsi="Arial;Helvetica;sans-serif"/>
                <w:sz w:val="20"/>
              </w:rPr>
            </w:pPr>
            <w:r>
              <w:rPr>
                <w:rFonts w:ascii="Arial;Helvetica;sans-serif" w:hAnsi="Arial;Helvetica;sans-serif"/>
                <w:sz w:val="16"/>
              </w:rPr>
              <w:t>QUARTERLY REPORT PURSUANT TO SECTION</w:t>
            </w:r>
            <w:r>
              <w:rPr>
                <w:rFonts w:ascii="Arial;Helvetica;sans-serif" w:hAnsi="Arial;Helvetica;sans-serif"/>
                <w:sz w:val="20"/>
              </w:rPr>
              <w:t> </w:t>
            </w:r>
            <w:r>
              <w:rPr>
                <w:rFonts w:ascii="Arial;Helvetica;sans-serif" w:hAnsi="Arial;Helvetica;sans-serif"/>
                <w:sz w:val="16"/>
              </w:rPr>
              <w:t>13 OR 15(d)</w:t>
            </w:r>
            <w:r>
              <w:rPr>
                <w:rFonts w:ascii="Arial;Helvetica;sans-serif" w:hAnsi="Arial;Helvetica;sans-serif"/>
                <w:sz w:val="20"/>
              </w:rPr>
              <w:t> </w:t>
            </w:r>
            <w:r>
              <w:rPr>
                <w:rFonts w:ascii="Arial;Helvetica;sans-serif" w:hAnsi="Arial;Helvetica;sans-serif"/>
                <w:sz w:val="16"/>
              </w:rPr>
              <w:t>OF THE SECURITIES EXCHANGE ACT OF 1934 For the quarterly period ended March 31, 2022</w:t>
            </w:r>
          </w:p>
        </w:tc>
      </w:tr>
    </w:tbl>
    <w:p>
      <w:pPr>
        <w:pStyle w:val="TextBody"/>
        <w:spacing w:before="0" w:after="100"/>
        <w:ind w:left="0" w:right="0" w:hanging="0"/>
        <w:jc w:val="center"/>
        <w:rPr>
          <w:rFonts w:ascii="Arial;Helvetica;sans-serif" w:hAnsi="Arial;Helvetica;sans-serif"/>
          <w:sz w:val="16"/>
        </w:rPr>
      </w:pPr>
      <w:r>
        <w:rPr>
          <w:rFonts w:ascii="Arial;Helvetica;sans-serif" w:hAnsi="Arial;Helvetica;sans-serif"/>
          <w:sz w:val="16"/>
        </w:rPr>
        <w:t>OR</w:t>
      </w:r>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240"/>
              <w:rPr/>
            </w:pPr>
            <w:r>
              <w:rPr/>
              <w:t>☐</w:t>
            </w:r>
          </w:p>
        </w:tc>
        <w:tc>
          <w:tcPr>
            <w:tcW w:w="9874"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16"/>
              </w:rPr>
              <w:t>TRANSITION REPORT PURSUANT TO SECTION</w:t>
            </w:r>
            <w:r>
              <w:rPr>
                <w:rFonts w:ascii="Arial;Helvetica;sans-serif" w:hAnsi="Arial;Helvetica;sans-serif"/>
                <w:sz w:val="20"/>
              </w:rPr>
              <w:t> </w:t>
            </w:r>
            <w:r>
              <w:rPr>
                <w:rFonts w:ascii="Arial;Helvetica;sans-serif" w:hAnsi="Arial;Helvetica;sans-serif"/>
                <w:sz w:val="16"/>
              </w:rPr>
              <w:t>13 OR 15(d)</w:t>
            </w:r>
            <w:r>
              <w:rPr>
                <w:rFonts w:ascii="Arial;Helvetica;sans-serif" w:hAnsi="Arial;Helvetica;sans-serif"/>
                <w:sz w:val="20"/>
              </w:rPr>
              <w:t> </w:t>
            </w:r>
            <w:r>
              <w:rPr>
                <w:rFonts w:ascii="Arial;Helvetica;sans-serif" w:hAnsi="Arial;Helvetica;sans-serif"/>
                <w:sz w:val="16"/>
              </w:rPr>
              <w:t>OF THE SECURITIES EXCHANGE ACT OF 1934 For the transition period from _______ to _______</w:t>
            </w:r>
          </w:p>
        </w:tc>
      </w:tr>
    </w:tbl>
    <w:p>
      <w:pPr>
        <w:pStyle w:val="TextBody"/>
        <w:spacing w:before="0" w:after="100"/>
        <w:ind w:left="0" w:right="0" w:hanging="0"/>
        <w:jc w:val="center"/>
        <w:rPr>
          <w:rFonts w:ascii="Arial;Helvetica;sans-serif" w:hAnsi="Arial;Helvetica;sans-serif"/>
          <w:sz w:val="20"/>
        </w:rPr>
      </w:pPr>
      <w:r>
        <w:rPr>
          <w:rFonts w:ascii="Arial;Helvetica;sans-serif" w:hAnsi="Arial;Helvetica;sans-serif"/>
          <w:sz w:val="16"/>
        </w:rPr>
        <w:t xml:space="preserve">Commission File Number: </w:t>
      </w:r>
      <w:r>
        <w:rPr>
          <w:rFonts w:ascii="Arial;Helvetica;sans-serif" w:hAnsi="Arial;Helvetica;sans-serif"/>
          <w:b/>
          <w:sz w:val="16"/>
        </w:rPr>
        <w:t>001-38546</w:t>
      </w:r>
    </w:p>
    <w:p>
      <w:pPr>
        <w:pStyle w:val="TextBody"/>
        <w:spacing w:before="0" w:after="100"/>
        <w:ind w:left="0" w:right="0" w:hanging="0"/>
        <w:jc w:val="center"/>
        <w:rPr>
          <w:rFonts w:ascii="Arial;Helvetica;sans-serif" w:hAnsi="Arial;Helvetica;sans-serif"/>
          <w:b/>
          <w:sz w:val="42"/>
        </w:rPr>
      </w:pPr>
      <w:r>
        <w:rPr>
          <w:rFonts w:ascii="Arial;Helvetica;sans-serif" w:hAnsi="Arial;Helvetica;sans-serif"/>
          <w:b/>
          <w:sz w:val="42"/>
        </w:rPr>
        <w:t>NEURONETICS, INC.</w:t>
      </w:r>
    </w:p>
    <w:p>
      <w:pPr>
        <w:pStyle w:val="TextBody"/>
        <w:spacing w:before="0" w:after="100"/>
        <w:ind w:left="0" w:right="0" w:hanging="0"/>
        <w:jc w:val="center"/>
        <w:rPr>
          <w:rFonts w:ascii="Arial;Helvetica;sans-serif" w:hAnsi="Arial;Helvetica;sans-serif"/>
          <w:sz w:val="12"/>
        </w:rPr>
      </w:pPr>
      <w:r>
        <w:rPr>
          <w:rFonts w:ascii="Arial;Helvetica;sans-serif" w:hAnsi="Arial;Helvetica;sans-serif"/>
          <w:sz w:val="12"/>
        </w:rPr>
        <w:t>(Exact name of registrant as specified in its charter)</w:t>
      </w:r>
    </w:p>
    <w:p>
      <w:pPr>
        <w:pStyle w:val="Normal"/>
        <w:spacing w:before="0" w:after="0"/>
        <w:rPr>
          <w:sz w:val="4"/>
          <w:szCs w:val="4"/>
        </w:rPr>
      </w:pPr>
      <w:r>
        <w:rPr>
          <w:sz w:val="4"/>
          <w:szCs w:val="4"/>
        </w:rPr>
      </w:r>
      <w:bookmarkStart w:id="3" w:name="Tc_5FR0JhUEwEuc3uxf3XqjsA_8_0"/>
      <w:bookmarkStart w:id="4" w:name="Tc_SDZGTsMpVUCBHXAZj-PxRw_7_0"/>
      <w:bookmarkStart w:id="5" w:name="Tc_8F6Pud6Jj0mMFp5jmmfr1Q_6_1"/>
      <w:bookmarkStart w:id="6" w:name="Tc__T1izzAjB0Cn3rk_1cZyJA_6_0"/>
      <w:bookmarkStart w:id="7" w:name="Tc__k4r66W6Q0OK2LUbOcgw5Q_5_0"/>
      <w:bookmarkStart w:id="8" w:name="Tc_cnS7UrbbhEqnq16Lg2qxzg_3_0"/>
      <w:bookmarkStart w:id="9" w:name="Tc_hX6u7Ms6P0quABdw5w4RGQ_2_1"/>
      <w:bookmarkStart w:id="10" w:name="Tc_R-xvcdvPZUerciNHGMqSYQ_2_0"/>
      <w:bookmarkStart w:id="11" w:name="_ec82af97_dc44_4c46_9e94_2313c816db73"/>
      <w:bookmarkStart w:id="12" w:name="Tc_5FR0JhUEwEuc3uxf3XqjsA_8_0"/>
      <w:bookmarkStart w:id="13" w:name="Tc_SDZGTsMpVUCBHXAZj-PxRw_7_0"/>
      <w:bookmarkStart w:id="14" w:name="Tc_8F6Pud6Jj0mMFp5jmmfr1Q_6_1"/>
      <w:bookmarkStart w:id="15" w:name="Tc__T1izzAjB0Cn3rk_1cZyJA_6_0"/>
      <w:bookmarkStart w:id="16" w:name="Tc__k4r66W6Q0OK2LUbOcgw5Q_5_0"/>
      <w:bookmarkStart w:id="17" w:name="Tc_cnS7UrbbhEqnq16Lg2qxzg_3_0"/>
      <w:bookmarkStart w:id="18" w:name="Tc_hX6u7Ms6P0quABdw5w4RGQ_2_1"/>
      <w:bookmarkStart w:id="19" w:name="Tc_R-xvcdvPZUerciNHGMqSYQ_2_0"/>
      <w:bookmarkStart w:id="20" w:name="_ec82af97_dc44_4c46_9e94_2313c816db73"/>
      <w:bookmarkEnd w:id="12"/>
      <w:bookmarkEnd w:id="13"/>
      <w:bookmarkEnd w:id="14"/>
      <w:bookmarkEnd w:id="15"/>
      <w:bookmarkEnd w:id="16"/>
      <w:bookmarkEnd w:id="17"/>
      <w:bookmarkEnd w:id="18"/>
      <w:bookmarkEnd w:id="19"/>
      <w:bookmarkEnd w:id="20"/>
    </w:p>
    <w:tbl>
      <w:tblPr>
        <w:tblW w:w="4802" w:type="dxa"/>
        <w:jc w:val="left"/>
        <w:tblInd w:w="0" w:type="dxa"/>
        <w:tblCellMar>
          <w:top w:w="0" w:type="dxa"/>
          <w:left w:w="0" w:type="dxa"/>
          <w:bottom w:w="0" w:type="dxa"/>
          <w:right w:w="0" w:type="dxa"/>
        </w:tblCellMar>
      </w:tblPr>
      <w:tblGrid>
        <w:gridCol w:w="2881"/>
        <w:gridCol w:w="1921"/>
      </w:tblGrid>
      <w:tr>
        <w:trPr/>
        <w:tc>
          <w:tcPr>
            <w:tcW w:w="2881" w:type="dxa"/>
            <w:tcBorders/>
            <w:shd w:fill="auto" w:val="clear"/>
            <w:vAlign w:val="center"/>
          </w:tcPr>
          <w:p>
            <w:pPr>
              <w:pStyle w:val="TableContents"/>
              <w:spacing w:before="0" w:after="0"/>
              <w:ind w:left="0" w:right="0" w:hanging="0"/>
              <w:rPr/>
            </w:pPr>
            <w:r>
              <w:rPr/>
              <w:t>​</w:t>
            </w:r>
          </w:p>
        </w:tc>
        <w:tc>
          <w:tcPr>
            <w:tcW w:w="1921" w:type="dxa"/>
            <w:tcBorders/>
            <w:shd w:fill="auto" w:val="clear"/>
            <w:vAlign w:val="center"/>
          </w:tcPr>
          <w:p>
            <w:pPr>
              <w:pStyle w:val="TableContents"/>
              <w:spacing w:before="0" w:after="0"/>
              <w:ind w:left="0" w:right="0" w:hanging="0"/>
              <w:rPr/>
            </w:pPr>
            <w:r>
              <w:rPr/>
              <w:t>​</w:t>
            </w:r>
          </w:p>
        </w:tc>
      </w:tr>
      <w:tr>
        <w:trPr/>
        <w:tc>
          <w:tcPr>
            <w:tcW w:w="288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192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33-1051425</w:t>
            </w:r>
          </w:p>
        </w:tc>
      </w:tr>
      <w:tr>
        <w:trPr/>
        <w:tc>
          <w:tcPr>
            <w:tcW w:w="2881" w:type="dxa"/>
            <w:tcBorders/>
            <w:shd w:fill="auto" w:val="clear"/>
            <w:vAlign w:val="center"/>
          </w:tcPr>
          <w:p>
            <w:pPr>
              <w:pStyle w:val="TableContents"/>
              <w:spacing w:before="0" w:after="0"/>
              <w:ind w:left="0" w:right="0" w:hanging="0"/>
              <w:jc w:val="center"/>
              <w:rPr>
                <w:rFonts w:ascii="Arial;Helvetica;sans-serif" w:hAnsi="Arial;Helvetica;sans-serif"/>
                <w:sz w:val="12"/>
              </w:rPr>
            </w:pPr>
            <w:r>
              <w:rPr>
                <w:rFonts w:ascii="Arial;Helvetica;sans-serif" w:hAnsi="Arial;Helvetica;sans-serif"/>
                <w:sz w:val="12"/>
              </w:rPr>
              <w:t>(State or other jurisdiction of</w:t>
            </w:r>
          </w:p>
        </w:tc>
        <w:tc>
          <w:tcPr>
            <w:tcW w:w="1921" w:type="dxa"/>
            <w:tcBorders/>
            <w:shd w:fill="auto" w:val="clear"/>
            <w:vAlign w:val="center"/>
          </w:tcPr>
          <w:p>
            <w:pPr>
              <w:pStyle w:val="TableContents"/>
              <w:spacing w:before="0" w:after="0"/>
              <w:ind w:left="0" w:right="0" w:hanging="0"/>
              <w:jc w:val="center"/>
              <w:rPr>
                <w:rFonts w:ascii="Arial;Helvetica;sans-serif" w:hAnsi="Arial;Helvetica;sans-serif"/>
                <w:sz w:val="12"/>
              </w:rPr>
            </w:pPr>
            <w:r>
              <w:rPr>
                <w:rFonts w:ascii="Arial;Helvetica;sans-serif" w:hAnsi="Arial;Helvetica;sans-serif"/>
                <w:sz w:val="12"/>
              </w:rPr>
              <w:t>(I.R.S. Employer Identification No.)</w:t>
            </w:r>
          </w:p>
        </w:tc>
      </w:tr>
      <w:tr>
        <w:trPr/>
        <w:tc>
          <w:tcPr>
            <w:tcW w:w="2881" w:type="dxa"/>
            <w:tcBorders/>
            <w:shd w:fill="auto" w:val="clear"/>
            <w:vAlign w:val="center"/>
          </w:tcPr>
          <w:p>
            <w:pPr>
              <w:pStyle w:val="TableContents"/>
              <w:spacing w:before="0" w:after="0"/>
              <w:ind w:left="0" w:right="0" w:hanging="0"/>
              <w:jc w:val="center"/>
              <w:rPr>
                <w:rFonts w:ascii="Arial;Helvetica;sans-serif" w:hAnsi="Arial;Helvetica;sans-serif"/>
                <w:sz w:val="12"/>
              </w:rPr>
            </w:pPr>
            <w:r>
              <w:rPr>
                <w:rFonts w:ascii="Arial;Helvetica;sans-serif" w:hAnsi="Arial;Helvetica;sans-serif"/>
                <w:sz w:val="12"/>
              </w:rPr>
              <w:t>incorporation or organization)</w:t>
            </w:r>
          </w:p>
        </w:tc>
        <w:tc>
          <w:tcPr>
            <w:tcW w:w="1921" w:type="dxa"/>
            <w:tcBorders/>
            <w:shd w:fill="auto" w:val="clear"/>
            <w:vAlign w:val="center"/>
          </w:tcPr>
          <w:p>
            <w:pPr>
              <w:pStyle w:val="TableContents"/>
              <w:spacing w:before="0" w:after="200"/>
              <w:ind w:left="0" w:right="0" w:hanging="0"/>
              <w:jc w:val="center"/>
              <w:rPr/>
            </w:pPr>
            <w:r>
              <w:rPr/>
              <w:t>​</w:t>
            </w:r>
          </w:p>
        </w:tc>
      </w:tr>
      <w:tr>
        <w:trPr/>
        <w:tc>
          <w:tcPr>
            <w:tcW w:w="2881" w:type="dxa"/>
            <w:tcBorders/>
            <w:shd w:fill="auto" w:val="clear"/>
            <w:vAlign w:val="center"/>
          </w:tcPr>
          <w:p>
            <w:pPr>
              <w:pStyle w:val="TableContents"/>
              <w:spacing w:before="0" w:after="200"/>
              <w:ind w:left="0" w:right="0" w:hanging="0"/>
              <w:jc w:val="center"/>
              <w:rPr/>
            </w:pPr>
            <w:r>
              <w:rPr/>
              <w:t>​</w:t>
            </w:r>
          </w:p>
        </w:tc>
        <w:tc>
          <w:tcPr>
            <w:tcW w:w="1921" w:type="dxa"/>
            <w:tcBorders/>
            <w:shd w:fill="auto" w:val="clear"/>
            <w:vAlign w:val="center"/>
          </w:tcPr>
          <w:p>
            <w:pPr>
              <w:pStyle w:val="TableContents"/>
              <w:spacing w:before="0" w:after="200"/>
              <w:ind w:left="0" w:right="0" w:hanging="0"/>
              <w:jc w:val="center"/>
              <w:rPr/>
            </w:pPr>
            <w:r>
              <w:rPr/>
              <w:t>​</w:t>
            </w:r>
          </w:p>
        </w:tc>
      </w:tr>
      <w:tr>
        <w:trPr/>
        <w:tc>
          <w:tcPr>
            <w:tcW w:w="288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3222 Phoenixville Pike, Malvern, PA</w:t>
            </w:r>
          </w:p>
        </w:tc>
        <w:tc>
          <w:tcPr>
            <w:tcW w:w="192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19355</w:t>
            </w:r>
          </w:p>
        </w:tc>
      </w:tr>
      <w:tr>
        <w:trPr/>
        <w:tc>
          <w:tcPr>
            <w:tcW w:w="2881" w:type="dxa"/>
            <w:tcBorders/>
            <w:shd w:fill="auto" w:val="clear"/>
            <w:vAlign w:val="center"/>
          </w:tcPr>
          <w:p>
            <w:pPr>
              <w:pStyle w:val="TableContents"/>
              <w:spacing w:before="0" w:after="0"/>
              <w:ind w:left="0" w:right="0" w:hanging="0"/>
              <w:jc w:val="center"/>
              <w:rPr>
                <w:rFonts w:ascii="Arial;Helvetica;sans-serif" w:hAnsi="Arial;Helvetica;sans-serif"/>
                <w:sz w:val="12"/>
              </w:rPr>
            </w:pPr>
            <w:r>
              <w:rPr>
                <w:rFonts w:ascii="Arial;Helvetica;sans-serif" w:hAnsi="Arial;Helvetica;sans-serif"/>
                <w:sz w:val="12"/>
              </w:rPr>
              <w:t>(Address of principal executive offices)</w:t>
            </w:r>
          </w:p>
        </w:tc>
        <w:tc>
          <w:tcPr>
            <w:tcW w:w="1921" w:type="dxa"/>
            <w:tcBorders/>
            <w:shd w:fill="auto" w:val="clear"/>
            <w:vAlign w:val="center"/>
          </w:tcPr>
          <w:p>
            <w:pPr>
              <w:pStyle w:val="TableContents"/>
              <w:spacing w:before="0" w:after="0"/>
              <w:ind w:left="0" w:right="0" w:hanging="0"/>
              <w:jc w:val="center"/>
              <w:rPr>
                <w:rFonts w:ascii="Arial;Helvetica;sans-serif" w:hAnsi="Arial;Helvetica;sans-serif"/>
                <w:sz w:val="12"/>
              </w:rPr>
            </w:pPr>
            <w:r>
              <w:rPr>
                <w:rFonts w:ascii="Arial;Helvetica;sans-serif" w:hAnsi="Arial;Helvetica;sans-serif"/>
                <w:sz w:val="12"/>
              </w:rPr>
              <w:t>(Zip Code)</w:t>
            </w:r>
          </w:p>
        </w:tc>
      </w:tr>
      <w:tr>
        <w:trPr/>
        <w:tc>
          <w:tcPr>
            <w:tcW w:w="288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(610) 640-4202</w:t>
            </w:r>
          </w:p>
        </w:tc>
        <w:tc>
          <w:tcPr>
            <w:tcW w:w="1921" w:type="dxa"/>
            <w:tcBorders/>
            <w:shd w:fill="auto" w:val="clear"/>
            <w:vAlign w:val="center"/>
          </w:tcPr>
          <w:p>
            <w:pPr>
              <w:pStyle w:val="TableContents"/>
              <w:spacing w:before="0" w:after="200"/>
              <w:ind w:left="0" w:right="0" w:hanging="0"/>
              <w:rPr/>
            </w:pPr>
            <w:r>
              <w:rPr/>
              <w:t>​</w:t>
            </w:r>
          </w:p>
        </w:tc>
      </w:tr>
      <w:tr>
        <w:trPr/>
        <w:tc>
          <w:tcPr>
            <w:tcW w:w="2881" w:type="dxa"/>
            <w:tcBorders/>
            <w:shd w:fill="auto" w:val="clear"/>
            <w:vAlign w:val="center"/>
          </w:tcPr>
          <w:p>
            <w:pPr>
              <w:pStyle w:val="TableContents"/>
              <w:spacing w:before="0" w:after="0"/>
              <w:ind w:left="0" w:right="0" w:hanging="0"/>
              <w:jc w:val="center"/>
              <w:rPr>
                <w:rFonts w:ascii="Arial;Helvetica;sans-serif" w:hAnsi="Arial;Helvetica;sans-serif"/>
                <w:sz w:val="12"/>
              </w:rPr>
            </w:pPr>
            <w:r>
              <w:rPr>
                <w:rFonts w:ascii="Arial;Helvetica;sans-serif" w:hAnsi="Arial;Helvetica;sans-serif"/>
                <w:sz w:val="12"/>
              </w:rPr>
              <w:t>(Registrant’s telephone number, including area code)</w:t>
            </w:r>
          </w:p>
        </w:tc>
        <w:tc>
          <w:tcPr>
            <w:tcW w:w="1921" w:type="dxa"/>
            <w:tcBorders/>
            <w:shd w:fill="auto" w:val="clear"/>
            <w:vAlign w:val="center"/>
          </w:tcPr>
          <w:p>
            <w:pPr>
              <w:pStyle w:val="TableContents"/>
              <w:spacing w:before="0" w:after="200"/>
              <w:ind w:left="0" w:right="0" w:hanging="0"/>
              <w:rPr/>
            </w:pPr>
            <w:r>
              <w:rPr/>
              <w:t>​</w:t>
            </w:r>
          </w:p>
        </w:tc>
      </w:tr>
    </w:tbl>
    <w:p>
      <w:pPr>
        <w:pStyle w:val="TextBody"/>
        <w:spacing w:before="0" w:after="0"/>
        <w:ind w:left="0" w:right="0" w:hanging="0"/>
        <w:rPr/>
      </w:pPr>
      <w:r>
        <w:rPr/>
        <w:t>​</w:t>
      </w:r>
    </w:p>
    <w:p>
      <w:pPr>
        <w:pStyle w:val="TextBody"/>
        <w:spacing w:before="0" w:after="100"/>
        <w:ind w:left="0" w:right="0" w:hanging="0"/>
        <w:jc w:val="center"/>
        <w:rPr>
          <w:rFonts w:ascii="Arial;Helvetica;sans-serif" w:hAnsi="Arial;Helvetica;sans-serif"/>
          <w:b/>
          <w:sz w:val="16"/>
        </w:rPr>
      </w:pPr>
      <w:r>
        <w:rPr>
          <w:rFonts w:ascii="Arial;Helvetica;sans-serif" w:hAnsi="Arial;Helvetica;sans-serif"/>
          <w:b/>
          <w:sz w:val="16"/>
        </w:rPr>
        <w:t>Not applicable.</w:t>
      </w:r>
    </w:p>
    <w:p>
      <w:pPr>
        <w:pStyle w:val="TextBody"/>
        <w:spacing w:before="0" w:after="100"/>
        <w:ind w:left="0" w:right="0" w:hanging="0"/>
        <w:jc w:val="center"/>
        <w:rPr>
          <w:rFonts w:ascii="Arial;Helvetica;sans-serif" w:hAnsi="Arial;Helvetica;sans-serif"/>
          <w:sz w:val="12"/>
        </w:rPr>
      </w:pPr>
      <w:r>
        <w:rPr>
          <w:rFonts w:ascii="Arial;Helvetica;sans-serif" w:hAnsi="Arial;Helvetica;sans-serif"/>
          <w:sz w:val="12"/>
        </w:rPr>
        <w:t>(Former name, former address and former fiscal year, if changed since last report)</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Securities registered pursuant to Section 12(b) of the Act:</w:t>
      </w:r>
    </w:p>
    <w:p>
      <w:pPr>
        <w:pStyle w:val="TextBody"/>
        <w:spacing w:before="0" w:after="200"/>
        <w:ind w:left="0" w:right="0" w:hanging="0"/>
        <w:rPr/>
      </w:pPr>
      <w:r>
        <w:rPr/>
        <w:t>​</w:t>
      </w:r>
    </w:p>
    <w:p>
      <w:pPr>
        <w:pStyle w:val="Normal"/>
        <w:spacing w:before="0" w:after="0"/>
        <w:rPr>
          <w:sz w:val="4"/>
          <w:szCs w:val="4"/>
        </w:rPr>
      </w:pPr>
      <w:r>
        <w:rPr>
          <w:sz w:val="4"/>
          <w:szCs w:val="4"/>
        </w:rPr>
      </w:r>
      <w:bookmarkStart w:id="21" w:name="Tc_n0DuwYdRQkO8AY6VtpcEoQ_1_4"/>
      <w:bookmarkStart w:id="22" w:name="Tc_FxU27hnC1kGsmoU5JijOJQ_1_2"/>
      <w:bookmarkStart w:id="23" w:name="Tc__NpSP6L24kOoHXyrM0_Ijg_1_0"/>
      <w:bookmarkStart w:id="24" w:name="_075b92ff_4e66_4a55_bd6d_9d052ef3f423"/>
      <w:bookmarkStart w:id="25" w:name="Tc_n0DuwYdRQkO8AY6VtpcEoQ_1_4"/>
      <w:bookmarkStart w:id="26" w:name="Tc_FxU27hnC1kGsmoU5JijOJQ_1_2"/>
      <w:bookmarkStart w:id="27" w:name="Tc__NpSP6L24kOoHXyrM0_Ijg_1_0"/>
      <w:bookmarkStart w:id="28" w:name="_075b92ff_4e66_4a55_bd6d_9d052ef3f423"/>
      <w:bookmarkEnd w:id="25"/>
      <w:bookmarkEnd w:id="26"/>
      <w:bookmarkEnd w:id="27"/>
      <w:bookmarkEnd w:id="28"/>
    </w:p>
    <w:tbl>
      <w:tblPr>
        <w:tblW w:w="7855" w:type="dxa"/>
        <w:jc w:val="left"/>
        <w:tblInd w:w="0" w:type="dxa"/>
        <w:tblCellMar>
          <w:top w:w="0" w:type="dxa"/>
          <w:left w:w="0" w:type="dxa"/>
          <w:bottom w:w="0" w:type="dxa"/>
          <w:right w:w="0" w:type="dxa"/>
        </w:tblCellMar>
      </w:tblPr>
      <w:tblGrid>
        <w:gridCol w:w="2536"/>
        <w:gridCol w:w="326"/>
        <w:gridCol w:w="961"/>
        <w:gridCol w:w="326"/>
        <w:gridCol w:w="3706"/>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10360" cy="175260"/>
                      <wp:effectExtent l="0" t="0" r="0" b="0"/>
                      <wp:wrapNone/>
                      <wp:docPr id="1" name="Frame1"/>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10235" cy="175260"/>
                      <wp:effectExtent l="0" t="0" r="0" b="0"/>
                      <wp:wrapNone/>
                      <wp:docPr id="2" name="Frame2"/>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53310" cy="175260"/>
                      <wp:effectExtent l="0" t="0" r="0" b="0"/>
                      <wp:wrapNone/>
                      <wp:docPr id="3" name="Frame3"/>
                      <a:graphic xmlns:a="http://schemas.openxmlformats.org/drawingml/2006/main">
                        <a:graphicData uri="http://schemas.microsoft.com/office/word/2010/wordprocessingShape">
                          <wps:wsp>
                            <wps:cNvSpPr txBox="1"/>
                            <wps:spPr>
                              <a:xfrm>
                                <a:off x="0" y="0"/>
                                <a:ext cx="2353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3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Trading</w:t>
              <w:br/>
              <w:t>Symbol (s)</w:t>
            </w:r>
          </w:p>
        </w:tc>
        <w:tc>
          <w:tcPr>
            <w:tcW w:w="326" w:type="dxa"/>
            <w:tcBorders/>
            <w:shd w:fill="auto" w:val="clear"/>
            <w:vAlign w:val="center"/>
          </w:tcPr>
          <w:p>
            <w:pPr>
              <w:pStyle w:val="TableContents"/>
              <w:spacing w:before="0" w:after="0"/>
              <w:ind w:left="0" w:right="0" w:hanging="0"/>
              <w:rPr/>
            </w:pPr>
            <w:r>
              <w:rPr/>
              <w:t>    </w:t>
            </w:r>
          </w:p>
        </w:tc>
        <w:tc>
          <w:tcPr>
            <w:tcW w:w="370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Name on each exchange on which registered</w:t>
            </w:r>
          </w:p>
        </w:tc>
      </w:tr>
      <w:tr>
        <w:trPr/>
        <w:tc>
          <w:tcPr>
            <w:tcW w:w="253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Common Stock ($0.01 par value)</w:t>
            </w:r>
          </w:p>
        </w:tc>
        <w:tc>
          <w:tcPr>
            <w:tcW w:w="326" w:type="dxa"/>
            <w:tcBorders/>
            <w:shd w:fill="auto" w:val="clear"/>
            <w:vAlign w:val="center"/>
          </w:tcPr>
          <w:p>
            <w:pPr>
              <w:pStyle w:val="TableContents"/>
              <w:spacing w:before="0" w:after="0"/>
              <w:ind w:left="0" w:right="0" w:hanging="0"/>
              <w:rPr/>
            </w:pPr>
            <w:r>
              <w:rPr/>
              <w:t>​</w:t>
            </w:r>
          </w:p>
        </w:tc>
        <w:tc>
          <w:tcPr>
            <w:tcW w:w="961"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STIM</w:t>
            </w:r>
          </w:p>
        </w:tc>
        <w:tc>
          <w:tcPr>
            <w:tcW w:w="326" w:type="dxa"/>
            <w:tcBorders/>
            <w:shd w:fill="auto" w:val="clear"/>
            <w:vAlign w:val="center"/>
          </w:tcPr>
          <w:p>
            <w:pPr>
              <w:pStyle w:val="TableContents"/>
              <w:spacing w:before="0" w:after="0"/>
              <w:ind w:left="0" w:right="0" w:hanging="0"/>
              <w:rPr/>
            </w:pPr>
            <w:r>
              <w:rPr/>
              <w:t>​</w:t>
            </w:r>
          </w:p>
        </w:tc>
        <w:tc>
          <w:tcPr>
            <w:tcW w:w="370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The Nasdaq Global Market</w:t>
            </w:r>
          </w:p>
        </w:tc>
      </w:tr>
    </w:tbl>
    <w:p>
      <w:pPr>
        <w:pStyle w:val="TextBody"/>
        <w:spacing w:before="0" w:after="0"/>
        <w:ind w:left="0" w:right="0" w:hanging="0"/>
        <w:rPr/>
      </w:pPr>
      <w:r>
        <w:rPr/>
        <w:t>​</w:t>
      </w:r>
    </w:p>
    <w:p>
      <w:pPr>
        <w:pStyle w:val="TextBody"/>
        <w:spacing w:before="0" w:after="100"/>
        <w:ind w:left="0" w:right="0" w:hanging="0"/>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spacing w:before="0" w:after="100"/>
        <w:ind w:left="0" w:right="0" w:hanging="0"/>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200"/>
        <w:ind w:left="0" w:right="0" w:hanging="0"/>
        <w:rPr/>
      </w:pPr>
      <w:r>
        <w:rPr/>
        <w:t>​</w:t>
      </w:r>
    </w:p>
    <w:p>
      <w:pPr>
        <w:pStyle w:val="Normal"/>
        <w:spacing w:before="0" w:after="0"/>
        <w:rPr>
          <w:sz w:val="4"/>
          <w:szCs w:val="4"/>
        </w:rPr>
      </w:pPr>
      <w:r>
        <w:rPr>
          <w:sz w:val="4"/>
          <w:szCs w:val="4"/>
        </w:rPr>
      </w:r>
      <w:bookmarkStart w:id="29" w:name="Tc_6M8iiNvfQ0maATO5TAwqzA_3_2"/>
      <w:bookmarkStart w:id="30" w:name="Tc_VRbhDfO5-UawnL99Er6l3A_2_2"/>
      <w:bookmarkStart w:id="31" w:name="Tc_StoQXRxXGkatHfvUg6EO8Q_2_1"/>
      <w:bookmarkStart w:id="32" w:name="Tc_-A40aeU1jUGuGTWz9T4_fA_1_3"/>
      <w:bookmarkStart w:id="33" w:name="Tc_nYdX-MJyqke9fMIVZha8QQ_1_2"/>
      <w:bookmarkStart w:id="34" w:name="Tc_MXyYdnFGeUGcnFqtfMbifw_1_1"/>
      <w:bookmarkStart w:id="35" w:name="Tc_ri2JaSmpJ0SdIG4RYbRswQ_1_0"/>
      <w:bookmarkStart w:id="36" w:name="_d60860df_f18c_4bec_9d29_6d5f22c17201"/>
      <w:bookmarkStart w:id="37" w:name="Tc_6M8iiNvfQ0maATO5TAwqzA_3_2"/>
      <w:bookmarkStart w:id="38" w:name="Tc_VRbhDfO5-UawnL99Er6l3A_2_2"/>
      <w:bookmarkStart w:id="39" w:name="Tc_StoQXRxXGkatHfvUg6EO8Q_2_1"/>
      <w:bookmarkStart w:id="40" w:name="Tc_-A40aeU1jUGuGTWz9T4_fA_1_3"/>
      <w:bookmarkStart w:id="41" w:name="Tc_nYdX-MJyqke9fMIVZha8QQ_1_2"/>
      <w:bookmarkStart w:id="42" w:name="Tc_MXyYdnFGeUGcnFqtfMbifw_1_1"/>
      <w:bookmarkStart w:id="43" w:name="Tc_ri2JaSmpJ0SdIG4RYbRswQ_1_0"/>
      <w:bookmarkStart w:id="44" w:name="_d60860df_f18c_4bec_9d29_6d5f22c17201"/>
      <w:bookmarkEnd w:id="37"/>
      <w:bookmarkEnd w:id="38"/>
      <w:bookmarkEnd w:id="39"/>
      <w:bookmarkEnd w:id="40"/>
      <w:bookmarkEnd w:id="41"/>
      <w:bookmarkEnd w:id="42"/>
      <w:bookmarkEnd w:id="43"/>
      <w:bookmarkEnd w:id="44"/>
    </w:p>
    <w:tbl>
      <w:tblPr>
        <w:tblW w:w="4474" w:type="dxa"/>
        <w:jc w:val="left"/>
        <w:tblInd w:w="0" w:type="dxa"/>
        <w:tblCellMar>
          <w:top w:w="0" w:type="dxa"/>
          <w:left w:w="0" w:type="dxa"/>
          <w:bottom w:w="0" w:type="dxa"/>
          <w:right w:w="0" w:type="dxa"/>
        </w:tblCellMar>
      </w:tblPr>
      <w:tblGrid>
        <w:gridCol w:w="1741"/>
        <w:gridCol w:w="316"/>
        <w:gridCol w:w="2056"/>
        <w:gridCol w:w="361"/>
      </w:tblGrid>
      <w:tr>
        <w:trPr/>
        <w:tc>
          <w:tcPr>
            <w:tcW w:w="174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205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Large accelerated filer</w:t>
            </w:r>
          </w:p>
        </w:tc>
        <w:tc>
          <w:tcPr>
            <w:tcW w:w="316" w:type="dxa"/>
            <w:tcBorders/>
            <w:shd w:fill="auto" w:val="clear"/>
            <w:vAlign w:val="center"/>
          </w:tcPr>
          <w:p>
            <w:pPr>
              <w:pStyle w:val="TableContents"/>
              <w:spacing w:before="0" w:after="0"/>
              <w:ind w:left="0" w:right="0" w:hanging="0"/>
              <w:rPr/>
            </w:pPr>
            <w:r>
              <w:rPr/>
              <w:t>☐</w:t>
            </w:r>
          </w:p>
        </w:tc>
        <w:tc>
          <w:tcPr>
            <w:tcW w:w="20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Accelerated filer</w:t>
            </w:r>
          </w:p>
        </w:tc>
        <w:tc>
          <w:tcPr>
            <w:tcW w:w="361"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Non-accelerated filer</w:t>
            </w:r>
          </w:p>
        </w:tc>
        <w:tc>
          <w:tcPr>
            <w:tcW w:w="316" w:type="dxa"/>
            <w:tcBorders/>
            <w:shd w:fill="auto" w:val="clear"/>
            <w:vAlign w:val="center"/>
          </w:tcPr>
          <w:p>
            <w:pPr>
              <w:pStyle w:val="TableContents"/>
              <w:spacing w:before="0" w:after="0"/>
              <w:ind w:left="0" w:right="0" w:hanging="0"/>
              <w:rPr/>
            </w:pPr>
            <w:r>
              <w:rPr/>
              <w:t>☒</w:t>
            </w:r>
          </w:p>
        </w:tc>
        <w:tc>
          <w:tcPr>
            <w:tcW w:w="20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Smaller reporting company</w:t>
            </w:r>
          </w:p>
        </w:tc>
        <w:tc>
          <w:tcPr>
            <w:tcW w:w="361"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200"/>
              <w:ind w:left="0" w:right="0" w:hanging="0"/>
              <w:rPr/>
            </w:pPr>
            <w:r>
              <w:rPr/>
              <w:t>​</w:t>
            </w:r>
          </w:p>
        </w:tc>
        <w:tc>
          <w:tcPr>
            <w:tcW w:w="316" w:type="dxa"/>
            <w:tcBorders/>
            <w:shd w:fill="auto" w:val="clear"/>
            <w:vAlign w:val="center"/>
          </w:tcPr>
          <w:p>
            <w:pPr>
              <w:pStyle w:val="TableContents"/>
              <w:spacing w:before="0" w:after="200"/>
              <w:ind w:left="0" w:right="0" w:hanging="0"/>
              <w:rPr/>
            </w:pPr>
            <w:r>
              <w:rPr/>
              <w:t>​</w:t>
            </w:r>
          </w:p>
        </w:tc>
        <w:tc>
          <w:tcPr>
            <w:tcW w:w="205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Emerging growth company</w:t>
            </w:r>
          </w:p>
        </w:tc>
        <w:tc>
          <w:tcPr>
            <w:tcW w:w="36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100"/>
        <w:ind w:left="0" w:right="0" w:hanging="0"/>
        <w:jc w:val="both"/>
        <w:rPr>
          <w:rFonts w:ascii="Arial;Helvetica;sans-serif" w:hAnsi="Arial;Helvetica;sans-serif"/>
          <w:sz w:val="20"/>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 xml:space="preserve">☐ </w:t>
      </w:r>
    </w:p>
    <w:p>
      <w:pPr>
        <w:pStyle w:val="TextBody"/>
        <w:spacing w:before="0" w:after="0"/>
        <w:ind w:left="0" w:right="0" w:hanging="0"/>
        <w:rPr>
          <w:rFonts w:ascii="Times New Roman;Times;serif" w:hAnsi="Times New Roman;Times;serif"/>
          <w:sz w:val="20"/>
        </w:rPr>
      </w:pPr>
      <w:r>
        <w:rPr>
          <w:rFonts w:ascii="Arial;Helvetica;sans-serif" w:hAnsi="Arial;Helvetica;sans-serif"/>
          <w:sz w:val="16"/>
        </w:rPr>
        <w:t>Indicate by check mark whether the registrant is a shell company (as defined in Rule 12b-2 of the Exchange Act)</w:t>
      </w:r>
      <w:r>
        <w:rPr>
          <w:rFonts w:ascii="Times New Roman;Times;serif" w:hAnsi="Times New Roman;Times;serif"/>
          <w:sz w:val="16"/>
        </w:rPr>
        <w:t xml:space="preserve">.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 xml:space="preserve">☒ </w:t>
      </w:r>
    </w:p>
    <w:p>
      <w:pPr>
        <w:pStyle w:val="TextBody"/>
        <w:spacing w:before="0" w:after="200"/>
        <w:ind w:left="0" w:right="0" w:hanging="0"/>
        <w:rPr/>
      </w:pPr>
      <w:r>
        <w:rPr/>
        <w:t>​</w:t>
      </w:r>
    </w:p>
    <w:p>
      <w:pPr>
        <w:pStyle w:val="TextBody"/>
        <w:spacing w:before="0" w:after="0"/>
        <w:ind w:left="0" w:right="0" w:hanging="0"/>
        <w:rPr>
          <w:rFonts w:ascii="Arial;Helvetica;sans-serif" w:hAnsi="Arial;Helvetica;sans-serif"/>
          <w:sz w:val="16"/>
        </w:rPr>
      </w:pPr>
      <w:r>
        <w:rPr>
          <w:rFonts w:ascii="Arial;Helvetica;sans-serif" w:hAnsi="Arial;Helvetica;sans-serif"/>
          <w:sz w:val="16"/>
        </w:rPr>
        <w:t>There were 26,772,249 shares of the registrant’s common stock outstanding as of May 5, 2022.</w:t>
      </w:r>
    </w:p>
    <w:p>
      <w:pPr>
        <w:pStyle w:val="TextBody"/>
        <w:spacing w:before="0" w:after="200"/>
        <w:ind w:left="0" w:right="0" w:hanging="0"/>
        <w:rPr/>
      </w:pPr>
      <w:r>
        <w:rPr/>
        <w:t>​</w:t>
      </w:r>
    </w:p>
    <w:p>
      <w:pPr>
        <w:pStyle w:val="TextBody"/>
        <w:pBdr>
          <w:top w:val="single" w:sz="8" w:space="1" w:color="000000"/>
          <w:bottom w:val="single" w:sz="24" w:space="1" w:color="000000"/>
        </w:pBdr>
        <w:spacing w:before="0" w:after="20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jc w:val="center"/>
        <w:rPr>
          <w:rFonts w:ascii="Arial;Helvetica;sans-serif" w:hAnsi="Arial;Helvetica;sans-serif"/>
          <w:b/>
          <w:sz w:val="20"/>
        </w:rPr>
      </w:pPr>
      <w:bookmarkStart w:id="45" w:name="_69a3884f_cead_47da_8ab3_45a7988e8059"/>
      <w:bookmarkEnd w:id="45"/>
      <w:r>
        <w:rPr>
          <w:rFonts w:ascii="Arial;Helvetica;sans-serif" w:hAnsi="Arial;Helvetica;sans-serif"/>
          <w:b/>
          <w:sz w:val="20"/>
        </w:rPr>
        <w:t>NEURONETICS, INC.</w:t>
      </w:r>
    </w:p>
    <w:p>
      <w:pPr>
        <w:pStyle w:val="TextBody"/>
        <w:spacing w:before="0" w:after="200"/>
        <w:ind w:left="0" w:right="0" w:hanging="0"/>
        <w:jc w:val="center"/>
        <w:rPr>
          <w:rFonts w:ascii="Arial;Helvetica;sans-serif" w:hAnsi="Arial;Helvetica;sans-serif"/>
          <w:sz w:val="18"/>
        </w:rPr>
      </w:pPr>
      <w:r>
        <w:rPr>
          <w:rFonts w:ascii="Arial;Helvetica;sans-serif" w:hAnsi="Arial;Helvetica;sans-serif"/>
          <w:b/>
          <w:sz w:val="18"/>
        </w:rPr>
        <w:t xml:space="preserve">Quarterly Report on </w:t>
      </w:r>
      <w:r>
        <w:rPr>
          <w:rFonts w:ascii="Arial;Helvetica;sans-serif" w:hAnsi="Arial;Helvetica;sans-serif"/>
          <w:b/>
          <w:sz w:val="20"/>
        </w:rPr>
        <w:t>Form</w:t>
      </w:r>
      <w:r>
        <w:rPr>
          <w:rFonts w:ascii="Arial;Helvetica;sans-serif" w:hAnsi="Arial;Helvetica;sans-serif"/>
          <w:sz w:val="18"/>
        </w:rPr>
        <w:t> </w:t>
      </w:r>
      <w:r>
        <w:rPr>
          <w:rFonts w:ascii="Arial;Helvetica;sans-serif" w:hAnsi="Arial;Helvetica;sans-serif"/>
          <w:b/>
          <w:sz w:val="18"/>
        </w:rPr>
        <w:t>10-Q for the quarterly period ended March 31, 2022</w:t>
      </w:r>
    </w:p>
    <w:p>
      <w:pPr>
        <w:pStyle w:val="TextBody"/>
        <w:spacing w:before="0" w:after="0"/>
        <w:ind w:left="0" w:right="0" w:hanging="0"/>
        <w:jc w:val="center"/>
        <w:rPr>
          <w:rFonts w:ascii="Arial;Helvetica;sans-serif" w:hAnsi="Arial;Helvetica;sans-serif"/>
          <w:b/>
          <w:sz w:val="18"/>
        </w:rPr>
      </w:pPr>
      <w:bookmarkStart w:id="46" w:name="TOC"/>
      <w:bookmarkEnd w:id="46"/>
      <w:r>
        <w:rPr>
          <w:rFonts w:ascii="Arial;Helvetica;sans-serif" w:hAnsi="Arial;Helvetica;sans-serif"/>
          <w:b/>
          <w:sz w:val="18"/>
        </w:rPr>
        <w:t>Table of Contents</w:t>
      </w:r>
    </w:p>
    <w:p>
      <w:pPr>
        <w:pStyle w:val="TextBody"/>
        <w:spacing w:before="0" w:after="200"/>
        <w:ind w:left="0" w:right="0" w:hanging="0"/>
        <w:jc w:val="center"/>
        <w:rPr/>
      </w:pPr>
      <w:r>
        <w:rPr/>
        <w:t>​</w:t>
      </w:r>
    </w:p>
    <w:tbl>
      <w:tblPr>
        <w:tblW w:w="10205" w:type="dxa"/>
        <w:jc w:val="left"/>
        <w:tblInd w:w="0" w:type="dxa"/>
        <w:tblCellMar>
          <w:top w:w="0" w:type="dxa"/>
          <w:left w:w="0" w:type="dxa"/>
          <w:bottom w:w="0" w:type="dxa"/>
          <w:right w:w="0" w:type="dxa"/>
        </w:tblCellMar>
      </w:tblPr>
      <w:tblGrid>
        <w:gridCol w:w="853"/>
        <w:gridCol w:w="8735"/>
        <w:gridCol w:w="617"/>
      </w:tblGrid>
      <w:tr>
        <w:trPr/>
        <w:tc>
          <w:tcPr>
            <w:tcW w:w="8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41655" cy="175260"/>
                      <wp:effectExtent l="0" t="0" r="0" b="0"/>
                      <wp:wrapNone/>
                      <wp:docPr id="4" name="Frame4"/>
                      <a:graphic xmlns:a="http://schemas.openxmlformats.org/drawingml/2006/main">
                        <a:graphicData uri="http://schemas.microsoft.com/office/word/2010/wordprocessingShape">
                          <wps:wsp>
                            <wps:cNvSpPr txBox="1"/>
                            <wps:spPr>
                              <a:xfrm>
                                <a:off x="0" y="0"/>
                                <a:ext cx="541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546725" cy="175260"/>
                      <wp:effectExtent l="0" t="0" r="0" b="0"/>
                      <wp:wrapNone/>
                      <wp:docPr id="5" name="Frame5"/>
                      <a:graphic xmlns:a="http://schemas.openxmlformats.org/drawingml/2006/main">
                        <a:graphicData uri="http://schemas.microsoft.com/office/word/2010/wordprocessingShape">
                          <wps:wsp>
                            <wps:cNvSpPr txBox="1"/>
                            <wps:spPr>
                              <a:xfrm>
                                <a:off x="0" y="0"/>
                                <a:ext cx="5546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91795" cy="175260"/>
                      <wp:effectExtent l="0" t="0" r="0" b="0"/>
                      <wp:wrapNone/>
                      <wp:docPr id="6" name="Frame6"/>
                      <a:graphic xmlns:a="http://schemas.openxmlformats.org/drawingml/2006/main">
                        <a:graphicData uri="http://schemas.microsoft.com/office/word/2010/wordprocessingShape">
                          <wps:wsp>
                            <wps:cNvSpPr txBox="1"/>
                            <wps:spPr>
                              <a:xfrm>
                                <a:off x="0" y="0"/>
                                <a:ext cx="391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588" w:type="dxa"/>
            <w:gridSpan w:val="2"/>
            <w:tcBorders/>
            <w:shd w:fill="auto" w:val="clear"/>
            <w:vAlign w:val="center"/>
          </w:tcPr>
          <w:p>
            <w:pPr>
              <w:pStyle w:val="TableContents"/>
              <w:spacing w:before="0" w:after="0"/>
              <w:ind w:left="0" w:right="0" w:hanging="0"/>
              <w:jc w:val="center"/>
              <w:rPr/>
            </w:pPr>
            <w:r>
              <w:rPr/>
              <w:t>​</w:t>
            </w:r>
          </w:p>
        </w:tc>
        <w:tc>
          <w:tcPr>
            <w:tcW w:w="617"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0205" w:type="dxa"/>
            <w:gridSpan w:val="3"/>
            <w:tcBorders/>
            <w:shd w:fill="auto" w:val="clear"/>
            <w:vAlign w:val="center"/>
          </w:tcPr>
          <w:p>
            <w:pPr>
              <w:pStyle w:val="TableContents"/>
              <w:spacing w:before="0" w:after="0"/>
              <w:ind w:left="0" w:right="0" w:hanging="0"/>
              <w:jc w:val="center"/>
              <w:rPr/>
            </w:pPr>
            <w:hyperlink w:anchor="PARTIFINANCIALINFORMATION_127712">
              <w:r>
                <w:rPr>
                  <w:rStyle w:val="InternetLink"/>
                  <w:rFonts w:ascii="Arial;Helvetica;sans-serif" w:hAnsi="Arial;Helvetica;sans-serif"/>
                  <w:b/>
                  <w:i w:val="false"/>
                  <w:caps w:val="false"/>
                  <w:smallCaps w:val="false"/>
                  <w:sz w:val="20"/>
                </w:rPr>
                <w:t>PART I – FINANCIAL INFORMATION</w:t>
              </w:r>
            </w:hyperlink>
          </w:p>
        </w:tc>
      </w:tr>
      <w:tr>
        <w:trPr/>
        <w:tc>
          <w:tcPr>
            <w:tcW w:w="853" w:type="dxa"/>
            <w:tcBorders/>
            <w:shd w:fill="auto" w:val="clear"/>
            <w:vAlign w:val="center"/>
          </w:tcPr>
          <w:p>
            <w:pPr>
              <w:pStyle w:val="TableContents"/>
              <w:spacing w:before="0" w:after="0"/>
              <w:ind w:left="0" w:right="0" w:hanging="0"/>
              <w:rPr/>
            </w:pPr>
            <w:r>
              <w:rPr/>
              <w:t>​</w:t>
            </w:r>
          </w:p>
        </w:tc>
        <w:tc>
          <w:tcPr>
            <w:tcW w:w="8735" w:type="dxa"/>
            <w:tcBorders/>
            <w:shd w:fill="auto" w:val="clear"/>
            <w:vAlign w:val="center"/>
          </w:tcPr>
          <w:p>
            <w:pPr>
              <w:pStyle w:val="TableContents"/>
              <w:spacing w:before="0" w:after="0"/>
              <w:ind w:left="0" w:right="0" w:hanging="0"/>
              <w:rPr/>
            </w:pPr>
            <w:r>
              <w:rPr/>
              <w:t>​</w:t>
            </w:r>
          </w:p>
        </w:tc>
        <w:tc>
          <w:tcPr>
            <w:tcW w:w="617" w:type="dxa"/>
            <w:tcBorders/>
            <w:shd w:fill="auto" w:val="clear"/>
            <w:vAlign w:val="center"/>
          </w:tcPr>
          <w:p>
            <w:pPr>
              <w:pStyle w:val="TableContents"/>
              <w:spacing w:before="0" w:after="0"/>
              <w:ind w:left="0" w:right="0" w:hanging="0"/>
              <w:jc w:val="right"/>
              <w:rPr/>
            </w:pPr>
            <w:r>
              <w:rPr/>
              <w:t>​</w:t>
            </w:r>
          </w:p>
        </w:tc>
      </w:tr>
      <w:tr>
        <w:trPr/>
        <w:tc>
          <w:tcPr>
            <w:tcW w:w="853" w:type="dxa"/>
            <w:tcBorders/>
            <w:shd w:fill="auto" w:val="clear"/>
            <w:vAlign w:val="center"/>
          </w:tcPr>
          <w:p>
            <w:pPr>
              <w:pStyle w:val="TableContents"/>
              <w:spacing w:before="0" w:after="0"/>
              <w:ind w:left="0" w:right="0" w:hanging="0"/>
              <w:rPr/>
            </w:pPr>
            <w:hyperlink w:anchor="Item1FinancialStatements_941444">
              <w:r>
                <w:rPr>
                  <w:rStyle w:val="InternetLink"/>
                  <w:rFonts w:ascii="Arial;Helvetica;sans-serif" w:hAnsi="Arial;Helvetica;sans-serif"/>
                  <w:b/>
                  <w:i w:val="false"/>
                  <w:caps w:val="false"/>
                  <w:smallCaps w:val="false"/>
                  <w:sz w:val="20"/>
                </w:rPr>
                <w:t>Item 1.</w:t>
              </w:r>
            </w:hyperlink>
          </w:p>
        </w:tc>
        <w:tc>
          <w:tcPr>
            <w:tcW w:w="8735" w:type="dxa"/>
            <w:tcBorders/>
            <w:shd w:fill="auto" w:val="clear"/>
            <w:vAlign w:val="center"/>
          </w:tcPr>
          <w:p>
            <w:pPr>
              <w:pStyle w:val="TableContents"/>
              <w:spacing w:before="0" w:after="0"/>
              <w:ind w:left="0" w:right="0" w:hanging="0"/>
              <w:rPr/>
            </w:pPr>
            <w:hyperlink w:anchor="Item1FinancialStatements_941444">
              <w:r>
                <w:rPr>
                  <w:rStyle w:val="InternetLink"/>
                  <w:rFonts w:ascii="Arial;Helvetica;sans-serif" w:hAnsi="Arial;Helvetica;sans-serif"/>
                  <w:b/>
                  <w:i w:val="false"/>
                  <w:caps w:val="false"/>
                  <w:smallCaps w:val="false"/>
                  <w:sz w:val="20"/>
                </w:rPr>
                <w:t>Financial Statements.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53" w:type="dxa"/>
            <w:tcBorders/>
            <w:shd w:fill="auto" w:val="clear"/>
            <w:vAlign w:val="center"/>
          </w:tcPr>
          <w:p>
            <w:pPr>
              <w:pStyle w:val="TableContents"/>
              <w:spacing w:before="0" w:after="0"/>
              <w:ind w:left="0" w:right="0" w:hanging="0"/>
              <w:rPr/>
            </w:pPr>
            <w:r>
              <w:rPr/>
              <w:t>​</w:t>
            </w:r>
          </w:p>
        </w:tc>
        <w:tc>
          <w:tcPr>
            <w:tcW w:w="8735" w:type="dxa"/>
            <w:tcBorders/>
            <w:shd w:fill="auto" w:val="clear"/>
            <w:vAlign w:val="center"/>
          </w:tcPr>
          <w:p>
            <w:pPr>
              <w:pStyle w:val="TableContents"/>
              <w:spacing w:before="0" w:after="0"/>
              <w:ind w:left="0" w:right="0" w:hanging="0"/>
              <w:rPr/>
            </w:pPr>
            <w:hyperlink w:anchor="BalanceSheets_181538">
              <w:r>
                <w:rPr>
                  <w:rStyle w:val="InternetLink"/>
                  <w:rFonts w:ascii="Arial;Helvetica;sans-serif" w:hAnsi="Arial;Helvetica;sans-serif"/>
                  <w:b/>
                  <w:i w:val="false"/>
                  <w:caps w:val="false"/>
                  <w:smallCaps w:val="false"/>
                  <w:sz w:val="20"/>
                </w:rPr>
                <w:t>Balance Sheets as of March 31, 2022 and December 31, 2021</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53" w:type="dxa"/>
            <w:tcBorders/>
            <w:shd w:fill="auto" w:val="clear"/>
            <w:vAlign w:val="center"/>
          </w:tcPr>
          <w:p>
            <w:pPr>
              <w:pStyle w:val="TableContents"/>
              <w:spacing w:before="0" w:after="0"/>
              <w:ind w:left="0" w:right="0" w:hanging="0"/>
              <w:rPr/>
            </w:pPr>
            <w:r>
              <w:rPr/>
              <w:t>​</w:t>
            </w:r>
          </w:p>
        </w:tc>
        <w:tc>
          <w:tcPr>
            <w:tcW w:w="8735" w:type="dxa"/>
            <w:tcBorders/>
            <w:shd w:fill="auto" w:val="clear"/>
            <w:vAlign w:val="center"/>
          </w:tcPr>
          <w:p>
            <w:pPr>
              <w:pStyle w:val="TableContents"/>
              <w:spacing w:before="0" w:after="0"/>
              <w:ind w:left="0" w:right="0" w:hanging="0"/>
              <w:rPr/>
            </w:pPr>
            <w:hyperlink w:anchor="StatementsofOperations_587719">
              <w:r>
                <w:rPr>
                  <w:rStyle w:val="InternetLink"/>
                  <w:rFonts w:ascii="Arial;Helvetica;sans-serif" w:hAnsi="Arial;Helvetica;sans-serif"/>
                  <w:b/>
                  <w:i w:val="false"/>
                  <w:caps w:val="false"/>
                  <w:smallCaps w:val="false"/>
                  <w:sz w:val="20"/>
                </w:rPr>
                <w:t>Statements of Operations for the Three Months ended March 31, 2022 and 2021</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4</w:t>
            </w:r>
          </w:p>
        </w:tc>
      </w:tr>
      <w:tr>
        <w:trPr/>
        <w:tc>
          <w:tcPr>
            <w:tcW w:w="853" w:type="dxa"/>
            <w:tcBorders/>
            <w:shd w:fill="auto" w:val="clear"/>
            <w:vAlign w:val="center"/>
          </w:tcPr>
          <w:p>
            <w:pPr>
              <w:pStyle w:val="TableContents"/>
              <w:spacing w:before="0" w:after="0"/>
              <w:ind w:left="0" w:right="0" w:hanging="0"/>
              <w:rPr/>
            </w:pPr>
            <w:r>
              <w:rPr/>
              <w:t>​</w:t>
            </w:r>
          </w:p>
        </w:tc>
        <w:tc>
          <w:tcPr>
            <w:tcW w:w="8735" w:type="dxa"/>
            <w:tcBorders/>
            <w:shd w:fill="auto" w:val="clear"/>
            <w:vAlign w:val="center"/>
          </w:tcPr>
          <w:p>
            <w:pPr>
              <w:pStyle w:val="TableContents"/>
              <w:spacing w:before="0" w:after="0"/>
              <w:ind w:left="0" w:right="0" w:hanging="0"/>
              <w:rPr/>
            </w:pPr>
            <w:hyperlink w:anchor="StatementofChangesinStockholders_240276">
              <w:r>
                <w:rPr>
                  <w:rStyle w:val="InternetLink"/>
                  <w:rFonts w:ascii="Arial;Helvetica;sans-serif" w:hAnsi="Arial;Helvetica;sans-serif"/>
                  <w:b/>
                  <w:i w:val="false"/>
                  <w:caps w:val="false"/>
                  <w:smallCaps w:val="false"/>
                  <w:sz w:val="20"/>
                </w:rPr>
                <w:t>Statements of Changes in Stockholders’ Equity for the Three Months ended March 31, 2022 and 2021</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5</w:t>
            </w:r>
          </w:p>
        </w:tc>
      </w:tr>
      <w:tr>
        <w:trPr/>
        <w:tc>
          <w:tcPr>
            <w:tcW w:w="853" w:type="dxa"/>
            <w:tcBorders/>
            <w:shd w:fill="auto" w:val="clear"/>
            <w:vAlign w:val="center"/>
          </w:tcPr>
          <w:p>
            <w:pPr>
              <w:pStyle w:val="TableContents"/>
              <w:spacing w:before="0" w:after="0"/>
              <w:ind w:left="0" w:right="0" w:hanging="0"/>
              <w:rPr/>
            </w:pPr>
            <w:r>
              <w:rPr/>
              <w:t>​</w:t>
            </w:r>
          </w:p>
        </w:tc>
        <w:tc>
          <w:tcPr>
            <w:tcW w:w="8735" w:type="dxa"/>
            <w:tcBorders/>
            <w:shd w:fill="auto" w:val="clear"/>
            <w:vAlign w:val="center"/>
          </w:tcPr>
          <w:p>
            <w:pPr>
              <w:pStyle w:val="TableContents"/>
              <w:spacing w:before="0" w:after="0"/>
              <w:ind w:left="0" w:right="0" w:hanging="0"/>
              <w:rPr/>
            </w:pPr>
            <w:hyperlink w:anchor="StatementsofCashFlows_296622">
              <w:r>
                <w:rPr>
                  <w:rStyle w:val="InternetLink"/>
                  <w:rFonts w:ascii="Arial;Helvetica;sans-serif" w:hAnsi="Arial;Helvetica;sans-serif"/>
                  <w:b/>
                  <w:i w:val="false"/>
                  <w:caps w:val="false"/>
                  <w:smallCaps w:val="false"/>
                  <w:sz w:val="20"/>
                </w:rPr>
                <w:t>Statements of Cash Flows for the Three Months ended March 31, 2022 and 2021</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6</w:t>
            </w:r>
          </w:p>
        </w:tc>
      </w:tr>
      <w:tr>
        <w:trPr/>
        <w:tc>
          <w:tcPr>
            <w:tcW w:w="853" w:type="dxa"/>
            <w:tcBorders/>
            <w:shd w:fill="auto" w:val="clear"/>
            <w:vAlign w:val="center"/>
          </w:tcPr>
          <w:p>
            <w:pPr>
              <w:pStyle w:val="TableContents"/>
              <w:spacing w:before="0" w:after="0"/>
              <w:ind w:left="0" w:right="0" w:hanging="0"/>
              <w:rPr/>
            </w:pPr>
            <w:r>
              <w:rPr/>
              <w:t>​</w:t>
            </w:r>
          </w:p>
        </w:tc>
        <w:tc>
          <w:tcPr>
            <w:tcW w:w="8735" w:type="dxa"/>
            <w:tcBorders/>
            <w:shd w:fill="auto" w:val="clear"/>
            <w:vAlign w:val="center"/>
          </w:tcPr>
          <w:p>
            <w:pPr>
              <w:pStyle w:val="TableContents"/>
              <w:spacing w:before="0" w:after="0"/>
              <w:ind w:left="0" w:right="0" w:hanging="0"/>
              <w:rPr/>
            </w:pPr>
            <w:hyperlink w:anchor="a1DESCRIPTIONOFBUSINESS_936106">
              <w:r>
                <w:rPr>
                  <w:rStyle w:val="InternetLink"/>
                  <w:rFonts w:ascii="Arial;Helvetica;sans-serif" w:hAnsi="Arial;Helvetica;sans-serif"/>
                  <w:b/>
                  <w:i w:val="false"/>
                  <w:caps w:val="false"/>
                  <w:smallCaps w:val="false"/>
                  <w:sz w:val="20"/>
                </w:rPr>
                <w:t>Notes to Interim Financial Statements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7</w:t>
            </w:r>
          </w:p>
        </w:tc>
      </w:tr>
      <w:tr>
        <w:trPr/>
        <w:tc>
          <w:tcPr>
            <w:tcW w:w="853" w:type="dxa"/>
            <w:tcBorders/>
            <w:shd w:fill="auto" w:val="clear"/>
            <w:vAlign w:val="center"/>
          </w:tcPr>
          <w:p>
            <w:pPr>
              <w:pStyle w:val="TableContents"/>
              <w:spacing w:before="0" w:after="0"/>
              <w:ind w:left="0" w:right="0" w:hanging="0"/>
              <w:jc w:val="both"/>
              <w:rPr/>
            </w:pPr>
            <w:hyperlink w:anchor="Item2ManagementsDiscussionandAnalysisofF">
              <w:r>
                <w:rPr>
                  <w:rStyle w:val="InternetLink"/>
                  <w:rFonts w:ascii="Arial;Helvetica;sans-serif" w:hAnsi="Arial;Helvetica;sans-serif"/>
                  <w:b/>
                  <w:i w:val="false"/>
                  <w:caps w:val="false"/>
                  <w:smallCaps w:val="false"/>
                  <w:sz w:val="20"/>
                </w:rPr>
                <w:t>Item 2.</w:t>
              </w:r>
            </w:hyperlink>
          </w:p>
        </w:tc>
        <w:tc>
          <w:tcPr>
            <w:tcW w:w="8735" w:type="dxa"/>
            <w:tcBorders/>
            <w:shd w:fill="auto" w:val="clear"/>
            <w:vAlign w:val="center"/>
          </w:tcPr>
          <w:p>
            <w:pPr>
              <w:pStyle w:val="TableContents"/>
              <w:spacing w:before="0" w:after="0"/>
              <w:ind w:left="0" w:right="0" w:hanging="0"/>
              <w:rPr/>
            </w:pPr>
            <w:hyperlink w:anchor="Item2ManagementsDiscussionandAnalysisofF">
              <w:r>
                <w:rPr>
                  <w:rStyle w:val="InternetLink"/>
                  <w:rFonts w:ascii="Arial;Helvetica;sans-serif" w:hAnsi="Arial;Helvetica;sans-serif"/>
                  <w:b/>
                  <w:i w:val="false"/>
                  <w:caps w:val="false"/>
                  <w:smallCaps w:val="false"/>
                  <w:sz w:val="20"/>
                </w:rPr>
                <w:t>Management’s Discussion and Analysis of Financial Condition and Results of Operations.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22</w:t>
            </w:r>
          </w:p>
        </w:tc>
      </w:tr>
      <w:tr>
        <w:trPr/>
        <w:tc>
          <w:tcPr>
            <w:tcW w:w="853" w:type="dxa"/>
            <w:tcBorders/>
            <w:shd w:fill="auto" w:val="clear"/>
            <w:vAlign w:val="center"/>
          </w:tcPr>
          <w:p>
            <w:pPr>
              <w:pStyle w:val="TableContents"/>
              <w:spacing w:before="0" w:after="0"/>
              <w:ind w:left="0" w:right="0" w:hanging="0"/>
              <w:rPr/>
            </w:pPr>
            <w:hyperlink w:anchor="Item3QuantitativeandQualitativeDisclosur">
              <w:r>
                <w:rPr>
                  <w:rStyle w:val="InternetLink"/>
                  <w:rFonts w:ascii="Arial;Helvetica;sans-serif" w:hAnsi="Arial;Helvetica;sans-serif"/>
                  <w:b/>
                  <w:i w:val="false"/>
                  <w:caps w:val="false"/>
                  <w:smallCaps w:val="false"/>
                  <w:sz w:val="20"/>
                </w:rPr>
                <w:t>Item 3.</w:t>
              </w:r>
            </w:hyperlink>
          </w:p>
        </w:tc>
        <w:tc>
          <w:tcPr>
            <w:tcW w:w="8735" w:type="dxa"/>
            <w:tcBorders/>
            <w:shd w:fill="auto" w:val="clear"/>
            <w:vAlign w:val="center"/>
          </w:tcPr>
          <w:p>
            <w:pPr>
              <w:pStyle w:val="TableContents"/>
              <w:spacing w:before="0" w:after="0"/>
              <w:ind w:left="0" w:right="0" w:hanging="0"/>
              <w:rPr/>
            </w:pPr>
            <w:hyperlink w:anchor="Item3QuantitativeandQualitativeDisclosur">
              <w:r>
                <w:rPr>
                  <w:rStyle w:val="InternetLink"/>
                  <w:rFonts w:ascii="Arial;Helvetica;sans-serif" w:hAnsi="Arial;Helvetica;sans-serif"/>
                  <w:b/>
                  <w:i w:val="false"/>
                  <w:caps w:val="false"/>
                  <w:smallCaps w:val="false"/>
                  <w:sz w:val="20"/>
                </w:rPr>
                <w:t>Quantitative and Qualitative Disclosures About Market Risk.</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31</w:t>
            </w:r>
          </w:p>
        </w:tc>
      </w:tr>
      <w:tr>
        <w:trPr/>
        <w:tc>
          <w:tcPr>
            <w:tcW w:w="853" w:type="dxa"/>
            <w:tcBorders/>
            <w:shd w:fill="auto" w:val="clear"/>
            <w:vAlign w:val="center"/>
          </w:tcPr>
          <w:p>
            <w:pPr>
              <w:pStyle w:val="TableContents"/>
              <w:spacing w:before="0" w:after="0"/>
              <w:ind w:left="0" w:right="0" w:hanging="0"/>
              <w:rPr/>
            </w:pPr>
            <w:hyperlink w:anchor="Item4ControlsandProcedures_938545">
              <w:r>
                <w:rPr>
                  <w:rStyle w:val="InternetLink"/>
                  <w:rFonts w:ascii="Arial;Helvetica;sans-serif" w:hAnsi="Arial;Helvetica;sans-serif"/>
                  <w:b/>
                  <w:i w:val="false"/>
                  <w:caps w:val="false"/>
                  <w:smallCaps w:val="false"/>
                  <w:sz w:val="20"/>
                </w:rPr>
                <w:t>Item 4.</w:t>
              </w:r>
            </w:hyperlink>
          </w:p>
        </w:tc>
        <w:tc>
          <w:tcPr>
            <w:tcW w:w="8735" w:type="dxa"/>
            <w:tcBorders/>
            <w:shd w:fill="auto" w:val="clear"/>
            <w:vAlign w:val="center"/>
          </w:tcPr>
          <w:p>
            <w:pPr>
              <w:pStyle w:val="TableContents"/>
              <w:spacing w:before="0" w:after="0"/>
              <w:ind w:left="0" w:right="0" w:hanging="0"/>
              <w:rPr/>
            </w:pPr>
            <w:hyperlink w:anchor="Item4ControlsandProcedures_938545">
              <w:r>
                <w:rPr>
                  <w:rStyle w:val="InternetLink"/>
                  <w:rFonts w:ascii="Arial;Helvetica;sans-serif" w:hAnsi="Arial;Helvetica;sans-serif"/>
                  <w:b/>
                  <w:i w:val="false"/>
                  <w:caps w:val="false"/>
                  <w:smallCaps w:val="false"/>
                  <w:sz w:val="20"/>
                </w:rPr>
                <w:t>Controls and Procedures.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32</w:t>
            </w:r>
          </w:p>
        </w:tc>
      </w:tr>
      <w:tr>
        <w:trPr/>
        <w:tc>
          <w:tcPr>
            <w:tcW w:w="10205" w:type="dxa"/>
            <w:gridSpan w:val="3"/>
            <w:tcBorders/>
            <w:shd w:fill="auto" w:val="clear"/>
            <w:vAlign w:val="center"/>
          </w:tcPr>
          <w:p>
            <w:pPr>
              <w:pStyle w:val="TableContents"/>
              <w:spacing w:before="0" w:after="0"/>
              <w:ind w:left="0" w:right="0" w:hanging="0"/>
              <w:jc w:val="center"/>
              <w:rPr/>
            </w:pPr>
            <w:hyperlink w:anchor="PARTIIOTHERINFORMATION_867954">
              <w:r>
                <w:rPr>
                  <w:rStyle w:val="InternetLink"/>
                  <w:rFonts w:ascii="Arial;Helvetica;sans-serif" w:hAnsi="Arial;Helvetica;sans-serif"/>
                  <w:b/>
                  <w:i w:val="false"/>
                  <w:caps w:val="false"/>
                  <w:smallCaps w:val="false"/>
                  <w:sz w:val="20"/>
                </w:rPr>
                <w:t>PART II – OTHER INFORMATION</w:t>
              </w:r>
            </w:hyperlink>
          </w:p>
        </w:tc>
      </w:tr>
      <w:tr>
        <w:trPr/>
        <w:tc>
          <w:tcPr>
            <w:tcW w:w="853" w:type="dxa"/>
            <w:tcBorders/>
            <w:shd w:fill="auto" w:val="clear"/>
            <w:vAlign w:val="center"/>
          </w:tcPr>
          <w:p>
            <w:pPr>
              <w:pStyle w:val="TableContents"/>
              <w:spacing w:before="0" w:after="0"/>
              <w:ind w:left="0" w:right="0" w:hanging="0"/>
              <w:rPr/>
            </w:pPr>
            <w:hyperlink w:anchor="Item1LegalProceedings_301773">
              <w:r>
                <w:rPr>
                  <w:rStyle w:val="InternetLink"/>
                  <w:rFonts w:ascii="Arial;Helvetica;sans-serif" w:hAnsi="Arial;Helvetica;sans-serif"/>
                  <w:b/>
                  <w:i w:val="false"/>
                  <w:caps w:val="false"/>
                  <w:smallCaps w:val="false"/>
                  <w:sz w:val="20"/>
                </w:rPr>
                <w:t>Item 1.</w:t>
              </w:r>
            </w:hyperlink>
          </w:p>
        </w:tc>
        <w:tc>
          <w:tcPr>
            <w:tcW w:w="8735" w:type="dxa"/>
            <w:tcBorders/>
            <w:shd w:fill="auto" w:val="clear"/>
            <w:vAlign w:val="center"/>
          </w:tcPr>
          <w:p>
            <w:pPr>
              <w:pStyle w:val="TableContents"/>
              <w:spacing w:before="0" w:after="0"/>
              <w:ind w:left="0" w:right="0" w:hanging="0"/>
              <w:rPr/>
            </w:pPr>
            <w:hyperlink w:anchor="Item1LegalProceedings_301773">
              <w:r>
                <w:rPr>
                  <w:rStyle w:val="InternetLink"/>
                  <w:rFonts w:ascii="Arial;Helvetica;sans-serif" w:hAnsi="Arial;Helvetica;sans-serif"/>
                  <w:b/>
                  <w:i w:val="false"/>
                  <w:caps w:val="false"/>
                  <w:smallCaps w:val="false"/>
                  <w:sz w:val="20"/>
                </w:rPr>
                <w:t>Legal Proceedings.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853" w:type="dxa"/>
            <w:tcBorders/>
            <w:shd w:fill="auto" w:val="clear"/>
            <w:vAlign w:val="center"/>
          </w:tcPr>
          <w:p>
            <w:pPr>
              <w:pStyle w:val="TableContents"/>
              <w:spacing w:before="0" w:after="0"/>
              <w:ind w:left="0" w:right="0" w:hanging="0"/>
              <w:rPr/>
            </w:pPr>
            <w:hyperlink w:anchor="Item1ARiskFactors_843057">
              <w:r>
                <w:rPr>
                  <w:rStyle w:val="InternetLink"/>
                  <w:rFonts w:ascii="Arial;Helvetica;sans-serif" w:hAnsi="Arial;Helvetica;sans-serif"/>
                  <w:b/>
                  <w:i w:val="false"/>
                  <w:caps w:val="false"/>
                  <w:smallCaps w:val="false"/>
                  <w:sz w:val="20"/>
                </w:rPr>
                <w:t>Item 1A</w:t>
              </w:r>
            </w:hyperlink>
            <w:r>
              <w:rPr>
                <w:rFonts w:ascii="Arial;Helvetica;sans-serif" w:hAnsi="Arial;Helvetica;sans-serif"/>
                <w:b/>
                <w:sz w:val="20"/>
              </w:rPr>
              <w:t>.</w:t>
            </w:r>
          </w:p>
        </w:tc>
        <w:tc>
          <w:tcPr>
            <w:tcW w:w="8735" w:type="dxa"/>
            <w:tcBorders/>
            <w:shd w:fill="auto" w:val="clear"/>
            <w:vAlign w:val="center"/>
          </w:tcPr>
          <w:p>
            <w:pPr>
              <w:pStyle w:val="TableContents"/>
              <w:spacing w:before="0" w:after="0"/>
              <w:ind w:left="0" w:right="0" w:hanging="0"/>
              <w:rPr/>
            </w:pPr>
            <w:hyperlink w:anchor="Item1ARiskFactors_843057">
              <w:r>
                <w:rPr>
                  <w:rStyle w:val="InternetLink"/>
                  <w:rFonts w:ascii="Arial;Helvetica;sans-serif" w:hAnsi="Arial;Helvetica;sans-serif"/>
                  <w:b/>
                  <w:i w:val="false"/>
                  <w:caps w:val="false"/>
                  <w:smallCaps w:val="false"/>
                  <w:sz w:val="20"/>
                </w:rPr>
                <w:t>Risk Factors</w:t>
              </w:r>
            </w:hyperlink>
            <w:r>
              <w:rPr>
                <w:rFonts w:ascii="Arial;Helvetica;sans-serif" w:hAnsi="Arial;Helvetica;sans-serif"/>
                <w:b/>
                <w:sz w:val="20"/>
              </w:rPr>
              <w:t>.</w:t>
            </w:r>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853" w:type="dxa"/>
            <w:tcBorders/>
            <w:shd w:fill="auto" w:val="clear"/>
            <w:vAlign w:val="center"/>
          </w:tcPr>
          <w:p>
            <w:pPr>
              <w:pStyle w:val="TableContents"/>
              <w:spacing w:before="0" w:after="0"/>
              <w:ind w:left="0" w:right="0" w:hanging="0"/>
              <w:rPr/>
            </w:pPr>
            <w:hyperlink w:anchor="Item2UnregisteredSalesofEquitySecurities">
              <w:r>
                <w:rPr>
                  <w:rStyle w:val="InternetLink"/>
                  <w:rFonts w:ascii="Arial;Helvetica;sans-serif" w:hAnsi="Arial;Helvetica;sans-serif"/>
                  <w:b/>
                  <w:i w:val="false"/>
                  <w:caps w:val="false"/>
                  <w:smallCaps w:val="false"/>
                  <w:sz w:val="20"/>
                </w:rPr>
                <w:t>Item 2.</w:t>
              </w:r>
            </w:hyperlink>
          </w:p>
        </w:tc>
        <w:tc>
          <w:tcPr>
            <w:tcW w:w="8735" w:type="dxa"/>
            <w:tcBorders/>
            <w:shd w:fill="auto" w:val="clear"/>
            <w:vAlign w:val="center"/>
          </w:tcPr>
          <w:p>
            <w:pPr>
              <w:pStyle w:val="TableContents"/>
              <w:spacing w:before="0" w:after="0"/>
              <w:ind w:left="0" w:right="0" w:hanging="0"/>
              <w:rPr/>
            </w:pPr>
            <w:hyperlink w:anchor="Item2UnregisteredSalesofEquitySecurities">
              <w:r>
                <w:rPr>
                  <w:rStyle w:val="InternetLink"/>
                  <w:rFonts w:ascii="Arial;Helvetica;sans-serif" w:hAnsi="Arial;Helvetica;sans-serif"/>
                  <w:b/>
                  <w:i w:val="false"/>
                  <w:caps w:val="false"/>
                  <w:smallCaps w:val="false"/>
                  <w:sz w:val="20"/>
                </w:rPr>
                <w:t>Unregistered Sales of Equity Securities and Use of Proceeds.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853" w:type="dxa"/>
            <w:tcBorders/>
            <w:shd w:fill="auto" w:val="clear"/>
            <w:vAlign w:val="center"/>
          </w:tcPr>
          <w:p>
            <w:pPr>
              <w:pStyle w:val="TableContents"/>
              <w:spacing w:before="0" w:after="0"/>
              <w:ind w:left="0" w:right="0" w:hanging="0"/>
              <w:rPr/>
            </w:pPr>
            <w:hyperlink w:anchor="Item3DefaultsUponSeniorSecurities_544144">
              <w:r>
                <w:rPr>
                  <w:rStyle w:val="InternetLink"/>
                  <w:rFonts w:ascii="Arial;Helvetica;sans-serif" w:hAnsi="Arial;Helvetica;sans-serif"/>
                  <w:b/>
                  <w:i w:val="false"/>
                  <w:caps w:val="false"/>
                  <w:smallCaps w:val="false"/>
                  <w:sz w:val="20"/>
                </w:rPr>
                <w:t>Item 3.</w:t>
              </w:r>
            </w:hyperlink>
          </w:p>
        </w:tc>
        <w:tc>
          <w:tcPr>
            <w:tcW w:w="8735" w:type="dxa"/>
            <w:tcBorders/>
            <w:shd w:fill="auto" w:val="clear"/>
            <w:vAlign w:val="center"/>
          </w:tcPr>
          <w:p>
            <w:pPr>
              <w:pStyle w:val="TableContents"/>
              <w:spacing w:before="0" w:after="0"/>
              <w:ind w:left="0" w:right="0" w:hanging="0"/>
              <w:rPr/>
            </w:pPr>
            <w:hyperlink w:anchor="Item3DefaultsUponSeniorSecurities_544144">
              <w:r>
                <w:rPr>
                  <w:rStyle w:val="InternetLink"/>
                  <w:rFonts w:ascii="Arial;Helvetica;sans-serif" w:hAnsi="Arial;Helvetica;sans-serif"/>
                  <w:b/>
                  <w:i w:val="false"/>
                  <w:caps w:val="false"/>
                  <w:smallCaps w:val="false"/>
                  <w:sz w:val="20"/>
                </w:rPr>
                <w:t>Defaults Upon Senior Securities.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853" w:type="dxa"/>
            <w:tcBorders/>
            <w:shd w:fill="auto" w:val="clear"/>
            <w:vAlign w:val="center"/>
          </w:tcPr>
          <w:p>
            <w:pPr>
              <w:pStyle w:val="TableContents"/>
              <w:spacing w:before="0" w:after="0"/>
              <w:ind w:left="0" w:right="0" w:hanging="0"/>
              <w:rPr/>
            </w:pPr>
            <w:hyperlink w:anchor="Item4MineSafetyDisclosures_535317">
              <w:r>
                <w:rPr>
                  <w:rStyle w:val="InternetLink"/>
                  <w:rFonts w:ascii="Arial;Helvetica;sans-serif" w:hAnsi="Arial;Helvetica;sans-serif"/>
                  <w:b/>
                  <w:i w:val="false"/>
                  <w:caps w:val="false"/>
                  <w:smallCaps w:val="false"/>
                  <w:sz w:val="20"/>
                </w:rPr>
                <w:t>Item 4.</w:t>
              </w:r>
            </w:hyperlink>
          </w:p>
        </w:tc>
        <w:tc>
          <w:tcPr>
            <w:tcW w:w="8735" w:type="dxa"/>
            <w:tcBorders/>
            <w:shd w:fill="auto" w:val="clear"/>
            <w:vAlign w:val="center"/>
          </w:tcPr>
          <w:p>
            <w:pPr>
              <w:pStyle w:val="TableContents"/>
              <w:spacing w:before="0" w:after="0"/>
              <w:ind w:left="0" w:right="0" w:hanging="0"/>
              <w:rPr/>
            </w:pPr>
            <w:hyperlink w:anchor="Item4MineSafetyDisclosures_535317">
              <w:r>
                <w:rPr>
                  <w:rStyle w:val="InternetLink"/>
                  <w:rFonts w:ascii="Arial;Helvetica;sans-serif" w:hAnsi="Arial;Helvetica;sans-serif"/>
                  <w:b/>
                  <w:i w:val="false"/>
                  <w:caps w:val="false"/>
                  <w:smallCaps w:val="false"/>
                  <w:sz w:val="20"/>
                </w:rPr>
                <w:t>Mine Safety Disclosures.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853" w:type="dxa"/>
            <w:tcBorders/>
            <w:shd w:fill="auto" w:val="clear"/>
            <w:vAlign w:val="center"/>
          </w:tcPr>
          <w:p>
            <w:pPr>
              <w:pStyle w:val="TableContents"/>
              <w:spacing w:before="0" w:after="0"/>
              <w:ind w:left="0" w:right="0" w:hanging="0"/>
              <w:rPr/>
            </w:pPr>
            <w:hyperlink w:anchor="Item5OtherInformation_821519">
              <w:r>
                <w:rPr>
                  <w:rStyle w:val="InternetLink"/>
                  <w:rFonts w:ascii="Arial;Helvetica;sans-serif" w:hAnsi="Arial;Helvetica;sans-serif"/>
                  <w:b/>
                  <w:i w:val="false"/>
                  <w:caps w:val="false"/>
                  <w:smallCaps w:val="false"/>
                  <w:sz w:val="20"/>
                </w:rPr>
                <w:t>Item 5.</w:t>
              </w:r>
            </w:hyperlink>
          </w:p>
        </w:tc>
        <w:tc>
          <w:tcPr>
            <w:tcW w:w="8735" w:type="dxa"/>
            <w:tcBorders/>
            <w:shd w:fill="auto" w:val="clear"/>
            <w:vAlign w:val="center"/>
          </w:tcPr>
          <w:p>
            <w:pPr>
              <w:pStyle w:val="TableContents"/>
              <w:spacing w:before="0" w:after="0"/>
              <w:ind w:left="0" w:right="0" w:hanging="0"/>
              <w:rPr/>
            </w:pPr>
            <w:hyperlink w:anchor="Item5OtherInformation_821519">
              <w:r>
                <w:rPr>
                  <w:rStyle w:val="InternetLink"/>
                  <w:rFonts w:ascii="Arial;Helvetica;sans-serif" w:hAnsi="Arial;Helvetica;sans-serif"/>
                  <w:b/>
                  <w:i w:val="false"/>
                  <w:caps w:val="false"/>
                  <w:smallCaps w:val="false"/>
                  <w:sz w:val="20"/>
                </w:rPr>
                <w:t>Other Information.</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853" w:type="dxa"/>
            <w:tcBorders/>
            <w:shd w:fill="auto" w:val="clear"/>
            <w:vAlign w:val="center"/>
          </w:tcPr>
          <w:p>
            <w:pPr>
              <w:pStyle w:val="TableContents"/>
              <w:spacing w:before="0" w:after="0"/>
              <w:ind w:left="0" w:right="0" w:hanging="0"/>
              <w:rPr/>
            </w:pPr>
            <w:hyperlink w:anchor="Exhibits">
              <w:r>
                <w:rPr>
                  <w:rStyle w:val="InternetLink"/>
                  <w:rFonts w:ascii="Arial;Helvetica;sans-serif" w:hAnsi="Arial;Helvetica;sans-serif"/>
                  <w:b/>
                  <w:i w:val="false"/>
                  <w:caps w:val="false"/>
                  <w:smallCaps w:val="false"/>
                  <w:sz w:val="20"/>
                </w:rPr>
                <w:t>Item 6.</w:t>
              </w:r>
            </w:hyperlink>
          </w:p>
        </w:tc>
        <w:tc>
          <w:tcPr>
            <w:tcW w:w="8735" w:type="dxa"/>
            <w:tcBorders/>
            <w:shd w:fill="auto" w:val="clear"/>
            <w:vAlign w:val="center"/>
          </w:tcPr>
          <w:p>
            <w:pPr>
              <w:pStyle w:val="TableContents"/>
              <w:spacing w:before="0" w:after="0"/>
              <w:ind w:left="0" w:right="0" w:hanging="0"/>
              <w:rPr/>
            </w:pPr>
            <w:hyperlink w:anchor="Exhibits">
              <w:r>
                <w:rPr>
                  <w:rStyle w:val="InternetLink"/>
                  <w:rFonts w:ascii="Arial;Helvetica;sans-serif" w:hAnsi="Arial;Helvetica;sans-serif"/>
                  <w:b/>
                  <w:i w:val="false"/>
                  <w:caps w:val="false"/>
                  <w:smallCaps w:val="false"/>
                  <w:sz w:val="20"/>
                </w:rPr>
                <w:t>Exhibits.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53" w:type="dxa"/>
            <w:tcBorders/>
            <w:shd w:fill="auto" w:val="clear"/>
            <w:vAlign w:val="center"/>
          </w:tcPr>
          <w:p>
            <w:pPr>
              <w:pStyle w:val="TableContents"/>
              <w:spacing w:before="0" w:after="0"/>
              <w:ind w:left="0" w:right="0" w:hanging="0"/>
              <w:rPr/>
            </w:pPr>
            <w:r>
              <w:rPr/>
              <w:t>​</w:t>
            </w:r>
          </w:p>
        </w:tc>
        <w:tc>
          <w:tcPr>
            <w:tcW w:w="8735" w:type="dxa"/>
            <w:tcBorders/>
            <w:shd w:fill="auto" w:val="clear"/>
            <w:vAlign w:val="center"/>
          </w:tcPr>
          <w:p>
            <w:pPr>
              <w:pStyle w:val="TableContents"/>
              <w:spacing w:before="0" w:after="0"/>
              <w:ind w:left="0" w:right="0" w:hanging="0"/>
              <w:rPr/>
            </w:pPr>
            <w:hyperlink w:anchor="SIGNATURES_811098">
              <w:r>
                <w:rPr>
                  <w:rStyle w:val="InternetLink"/>
                  <w:rFonts w:ascii="Arial;Helvetica;sans-serif" w:hAnsi="Arial;Helvetica;sans-serif"/>
                  <w:b/>
                  <w:i w:val="false"/>
                  <w:caps w:val="false"/>
                  <w:smallCaps w:val="false"/>
                  <w:sz w:val="20"/>
                </w:rPr>
                <w:t>SIGNATURES</w:t>
              </w:r>
            </w:hyperlink>
          </w:p>
        </w:tc>
        <w:tc>
          <w:tcPr>
            <w:tcW w:w="617"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35</w:t>
            </w:r>
          </w:p>
        </w:tc>
      </w:tr>
    </w:tbl>
    <w:p>
      <w:pPr>
        <w:pStyle w:val="TextBody"/>
        <w:spacing w:before="0" w:after="0"/>
        <w:ind w:left="0" w:right="0" w:hanging="0"/>
        <w:rPr/>
      </w:pPr>
      <w:r>
        <w:rPr/>
        <w:t>​</w:t>
      </w:r>
    </w:p>
    <w:p>
      <w:pPr>
        <w:pStyle w:val="TextBody"/>
        <w:spacing w:before="0" w:after="200"/>
        <w:ind w:left="0" w:right="0" w:hanging="0"/>
        <w:rPr/>
      </w:pPr>
      <w:r>
        <w:rPr/>
        <w:t>​</w:t>
      </w:r>
    </w:p>
    <w:p>
      <w:pPr>
        <w:pStyle w:val="TextBody"/>
        <w:spacing w:before="0" w:after="200"/>
        <w:ind w:left="0" w:right="0" w:hanging="0"/>
        <w:rPr/>
      </w:pPr>
      <w:r>
        <w:rPr/>
        <w:t>​</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spacing w:before="0" w:after="6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jc w:val="center"/>
        <w:rPr>
          <w:rFonts w:ascii="Arial;Helvetica;sans-serif" w:hAnsi="Arial;Helvetica;sans-serif"/>
          <w:b/>
          <w:sz w:val="19"/>
        </w:rPr>
      </w:pPr>
      <w:bookmarkStart w:id="47" w:name="PARTIFINANCIALINFORMATION_127712"/>
      <w:bookmarkStart w:id="48" w:name="_b98df6c9_6652_41d8_8e47_6f2e9480b8d7"/>
      <w:bookmarkEnd w:id="47"/>
      <w:bookmarkEnd w:id="48"/>
      <w:r>
        <w:rPr>
          <w:rFonts w:ascii="Arial;Helvetica;sans-serif" w:hAnsi="Arial;Helvetica;sans-serif"/>
          <w:b/>
          <w:sz w:val="19"/>
        </w:rPr>
        <w:t>PART I - FINANCIAL INFORMATION</w:t>
      </w:r>
    </w:p>
    <w:p>
      <w:pPr>
        <w:pStyle w:val="TextBody"/>
        <w:spacing w:before="0" w:after="200"/>
        <w:ind w:left="0" w:right="0" w:hanging="0"/>
        <w:rPr>
          <w:rFonts w:ascii="Arial;Helvetica;sans-serif" w:hAnsi="Arial;Helvetica;sans-serif"/>
          <w:b/>
          <w:sz w:val="19"/>
        </w:rPr>
      </w:pPr>
      <w:bookmarkStart w:id="49" w:name="Item1FinancialStatements_941444"/>
      <w:bookmarkEnd w:id="49"/>
      <w:r>
        <w:rPr>
          <w:rFonts w:ascii="Arial;Helvetica;sans-serif" w:hAnsi="Arial;Helvetica;sans-serif"/>
          <w:b/>
          <w:sz w:val="19"/>
        </w:rPr>
        <w:t>Item 1.     Financial Statements.</w:t>
      </w:r>
    </w:p>
    <w:p>
      <w:pPr>
        <w:pStyle w:val="TextBody"/>
        <w:spacing w:before="0" w:after="0"/>
        <w:ind w:left="0" w:right="0" w:hanging="0"/>
        <w:jc w:val="center"/>
        <w:rPr>
          <w:rFonts w:ascii="Arial;Helvetica;sans-serif" w:hAnsi="Arial;Helvetica;sans-serif"/>
          <w:b/>
          <w:sz w:val="19"/>
        </w:rPr>
      </w:pPr>
      <w:r>
        <w:rPr>
          <w:rFonts w:ascii="Arial;Helvetica;sans-serif" w:hAnsi="Arial;Helvetica;sans-serif"/>
          <w:b/>
          <w:sz w:val="19"/>
        </w:rPr>
        <w:t>NEURONETICS, INC.</w:t>
      </w:r>
    </w:p>
    <w:p>
      <w:pPr>
        <w:pStyle w:val="TextBody"/>
        <w:spacing w:before="0" w:after="0"/>
        <w:ind w:left="0" w:right="0" w:hanging="0"/>
        <w:jc w:val="center"/>
        <w:rPr>
          <w:rFonts w:ascii="Arial;Helvetica;sans-serif" w:hAnsi="Arial;Helvetica;sans-serif"/>
          <w:b/>
          <w:sz w:val="19"/>
        </w:rPr>
      </w:pPr>
      <w:bookmarkStart w:id="50" w:name="BalanceSheets_181538"/>
      <w:bookmarkEnd w:id="50"/>
      <w:r>
        <w:rPr>
          <w:rFonts w:ascii="Arial;Helvetica;sans-serif" w:hAnsi="Arial;Helvetica;sans-serif"/>
          <w:b/>
          <w:sz w:val="19"/>
        </w:rPr>
        <w:t>Balance Sheets</w:t>
      </w:r>
    </w:p>
    <w:p>
      <w:pPr>
        <w:pStyle w:val="TextBody"/>
        <w:spacing w:before="0" w:after="0"/>
        <w:ind w:left="0" w:right="0" w:hanging="0"/>
        <w:jc w:val="center"/>
        <w:rPr>
          <w:rFonts w:ascii="Arial;Helvetica;sans-serif" w:hAnsi="Arial;Helvetica;sans-serif"/>
          <w:b/>
          <w:sz w:val="19"/>
        </w:rPr>
      </w:pPr>
      <w:r>
        <w:rPr>
          <w:rFonts w:ascii="Arial;Helvetica;sans-serif" w:hAnsi="Arial;Helvetica;sans-serif"/>
          <w:b/>
          <w:sz w:val="19"/>
        </w:rPr>
        <w:t>(Unaudited; In thousands, except per share data)</w:t>
      </w:r>
    </w:p>
    <w:p>
      <w:pPr>
        <w:pStyle w:val="TextBody"/>
        <w:spacing w:before="0" w:after="200"/>
        <w:ind w:left="0" w:right="0" w:hanging="0"/>
        <w:rPr/>
      </w:pPr>
      <w:r>
        <w:rPr/>
        <w:t>​</w:t>
      </w:r>
    </w:p>
    <w:p>
      <w:pPr>
        <w:pStyle w:val="Normal"/>
        <w:spacing w:before="0" w:after="0"/>
        <w:rPr>
          <w:sz w:val="4"/>
          <w:szCs w:val="4"/>
        </w:rPr>
      </w:pPr>
      <w:r>
        <w:rPr>
          <w:sz w:val="4"/>
          <w:szCs w:val="4"/>
        </w:rPr>
      </w:r>
      <w:bookmarkStart w:id="51" w:name="Tc_nhr7pL591EiapaBEKdc2OA_41_5"/>
      <w:bookmarkStart w:id="52" w:name="Tc_sEO2fJSJQUGrp5BKmqB-RQ_41_2"/>
      <w:bookmarkStart w:id="53" w:name="Tc_89uW9zIiREWG_esfZ9WDDg_41_0"/>
      <w:bookmarkStart w:id="54" w:name="Tc_n5VYO60mRkSMPi1gVP-k0g_40_0"/>
      <w:bookmarkStart w:id="55" w:name="Tc_FfD-_BJFj0aDl84D3wb2tQ_39_0"/>
      <w:bookmarkStart w:id="56" w:name="Tc_m5jA7xrAykmWidQEnb6zxA_38_0"/>
      <w:bookmarkStart w:id="57" w:name="Tc_8HQyd-myXEeaCHVCBnwiiQ_37_0"/>
      <w:bookmarkStart w:id="58" w:name="Tc_Fwxy-eCVQUGDSZ0AEk-dIA_36_0"/>
      <w:bookmarkStart w:id="59" w:name="Tc_pSmKB_ztJkGL_hMnoEfn-w_35_0"/>
      <w:bookmarkStart w:id="60" w:name="_5004f9ad_97d8_4d4a_8d55_fb21bb0df282_3"/>
      <w:bookmarkStart w:id="61" w:name="_5004f9ad_97d8_4d4a_8d55_fb21bb0df282_2"/>
      <w:bookmarkStart w:id="62" w:name="_5004f9ad_97d8_4d4a_8d55_fb21bb0df282"/>
      <w:bookmarkStart w:id="63" w:name="Tc_XY_cnt3Jq0SVkLQlpK-KhA_34_0"/>
      <w:bookmarkStart w:id="64" w:name="Tc_FZUAhnvPA0ORqix9AEFr2w_33_0"/>
      <w:bookmarkStart w:id="65" w:name="Tc_-1YvMGcun0uj6xSoT3KIug_32_0"/>
      <w:bookmarkStart w:id="66" w:name="Tc_EN8KngQdxEGlv2pOubjEzQ_31_0"/>
      <w:bookmarkStart w:id="67" w:name="Tc_oVXE_hiu-0OCtdxPCFELxw_30_0"/>
      <w:bookmarkStart w:id="68" w:name="Tc_PaML1Yq7nUSHhU6SGlObfA_29_0"/>
      <w:bookmarkStart w:id="69" w:name="Tc_thhICe39iU2bjqwsqPGH6Q_28_0"/>
      <w:bookmarkStart w:id="70" w:name="Tc_U-2cHWDNn0eUteCbPuJgPw_27_0"/>
      <w:bookmarkStart w:id="71" w:name="Tc_J6ZFVxnrgU6A2xSb5iEh9w_26_6"/>
      <w:bookmarkStart w:id="72" w:name="Tc_emrR1gaLJEuqvIageAlMaA_26_3"/>
      <w:bookmarkStart w:id="73" w:name="Tc_2AraQqQzs0GcQn4alQeH7Q_26_0"/>
      <w:bookmarkStart w:id="74" w:name="Tc_aF5I5pRZ-0Ggq6XwWWZTRw_25_0"/>
      <w:bookmarkStart w:id="75" w:name="Tc_s8UZIGBOmUiAckOVLYaQjQ_24_0"/>
      <w:bookmarkStart w:id="76" w:name="Tc_gGb-tsMK1UCdkgQn0YqX0Q_23_0"/>
      <w:bookmarkStart w:id="77" w:name="Tc_bNGc861vcUKFBQIiDNLzcg_22_5"/>
      <w:bookmarkStart w:id="78" w:name="Tc_5tKkdzBJCEaqAL2I65DHLQ_22_2"/>
      <w:bookmarkStart w:id="79" w:name="Tc_baOBsgRnxkiPcHwd92AbXw_22_0"/>
      <w:bookmarkStart w:id="80" w:name="Tc_H6QUUOERxEyWxQRGL-1SRw_21_0"/>
      <w:bookmarkStart w:id="81" w:name="Tc_x67mZPGbyEuJOyugcAQLqw_20_0"/>
      <w:bookmarkStart w:id="82" w:name="Tc_aPZVX033w0eomWLbYdiCWw_19_5"/>
      <w:bookmarkStart w:id="83" w:name="Tc_P1TdjmQ4GUGpy9PoQ36wYw_19_2"/>
      <w:bookmarkStart w:id="84" w:name="Tc_4CMLb6GhqEK_9e9EpTHXoQ_19_0"/>
      <w:bookmarkStart w:id="85" w:name="Tc_dQtqhAhDF0aZdssx0AQPlg_18_0"/>
      <w:bookmarkStart w:id="86" w:name="Tc_hEE0pFCBhUG7MoZFttaCVg_17_0"/>
      <w:bookmarkStart w:id="87" w:name="Tc_Z8B-faWuRkelq-a79cpnIg_16_0"/>
      <w:bookmarkStart w:id="88" w:name="Tc_5G6NKK8-6EOCATDlTdyYeQ_15_0"/>
      <w:bookmarkStart w:id="89" w:name="Tc_i4PEdf_ieUGEZ5CXO3ynog_14_0"/>
      <w:bookmarkStart w:id="90" w:name="Tc_ssBYsshYq0CIcA0XiDqnTQ_13_0"/>
      <w:bookmarkStart w:id="91" w:name="Tc_kn2_BT5T_UeuGKpmALOxvw_12_0"/>
      <w:bookmarkStart w:id="92" w:name="Tc_IhsVK6K-o06BSGyGWClsZg_11_0"/>
      <w:bookmarkStart w:id="93" w:name="Tc_TYNTcRsAhk6jV8TuWktXFw_10_0"/>
      <w:bookmarkStart w:id="94" w:name="Tc_-F0s3inOk0CSeLlM0rx4dA_9_0"/>
      <w:bookmarkStart w:id="95" w:name="Tc_x8XwyACVZEyvkfe4imzKsw_8_0"/>
      <w:bookmarkStart w:id="96" w:name="Tc_TPZwWb1p-Uivdi1SHKynqw_7_0"/>
      <w:bookmarkStart w:id="97" w:name="Tc_9EU6f8CABk-tvzNrPBj_jw_6_0"/>
      <w:bookmarkStart w:id="98" w:name="Tc_kR8fvL6OxE-X53vUCI8BqQ_5_5"/>
      <w:bookmarkStart w:id="99" w:name="Tc_Rk6johQEQES-LREH8ST50g_5_2"/>
      <w:bookmarkStart w:id="100" w:name="Tc_w-a-NW92L0CIVp_xc8WaGQ_5_0"/>
      <w:bookmarkStart w:id="101" w:name="Tc_weWcTHCNvki4Nava1BkDxQ_4_0"/>
      <w:bookmarkStart w:id="102" w:name="Tc_FwgWQZwGXk6L4I8235Sxgg_3_0"/>
      <w:bookmarkStart w:id="103" w:name="Tc_VQazW9E4SE6iBycWjfcUnw_2_5"/>
      <w:bookmarkStart w:id="104" w:name="Tc_LniXyHIRH0SnkQ8OeW4Trw_2_2"/>
      <w:bookmarkStart w:id="105" w:name="Tc_PMAgT2-_HUmrkZAwowlK9A_1_5"/>
      <w:bookmarkStart w:id="106" w:name="Tc_pZURDUG3GEuMADxyH4mPbQ_1_2"/>
      <w:bookmarkStart w:id="107" w:name="_aaff082b_7635_44cb_8d6f_041faac73a23"/>
      <w:bookmarkStart w:id="108" w:name="Tc_nhr7pL591EiapaBEKdc2OA_41_5"/>
      <w:bookmarkStart w:id="109" w:name="Tc_sEO2fJSJQUGrp5BKmqB-RQ_41_2"/>
      <w:bookmarkStart w:id="110" w:name="Tc_89uW9zIiREWG_esfZ9WDDg_41_0"/>
      <w:bookmarkStart w:id="111" w:name="Tc_n5VYO60mRkSMPi1gVP-k0g_40_0"/>
      <w:bookmarkStart w:id="112" w:name="Tc_FfD-_BJFj0aDl84D3wb2tQ_39_0"/>
      <w:bookmarkStart w:id="113" w:name="Tc_m5jA7xrAykmWidQEnb6zxA_38_0"/>
      <w:bookmarkStart w:id="114" w:name="Tc_8HQyd-myXEeaCHVCBnwiiQ_37_0"/>
      <w:bookmarkStart w:id="115" w:name="Tc_Fwxy-eCVQUGDSZ0AEk-dIA_36_0"/>
      <w:bookmarkStart w:id="116" w:name="Tc_pSmKB_ztJkGL_hMnoEfn-w_35_0"/>
      <w:bookmarkStart w:id="117" w:name="_5004f9ad_97d8_4d4a_8d55_fb21bb0df282_3"/>
      <w:bookmarkStart w:id="118" w:name="_5004f9ad_97d8_4d4a_8d55_fb21bb0df282_2"/>
      <w:bookmarkStart w:id="119" w:name="_5004f9ad_97d8_4d4a_8d55_fb21bb0df282"/>
      <w:bookmarkStart w:id="120" w:name="Tc_XY_cnt3Jq0SVkLQlpK-KhA_34_0"/>
      <w:bookmarkStart w:id="121" w:name="Tc_FZUAhnvPA0ORqix9AEFr2w_33_0"/>
      <w:bookmarkStart w:id="122" w:name="Tc_-1YvMGcun0uj6xSoT3KIug_32_0"/>
      <w:bookmarkStart w:id="123" w:name="Tc_EN8KngQdxEGlv2pOubjEzQ_31_0"/>
      <w:bookmarkStart w:id="124" w:name="Tc_oVXE_hiu-0OCtdxPCFELxw_30_0"/>
      <w:bookmarkStart w:id="125" w:name="Tc_PaML1Yq7nUSHhU6SGlObfA_29_0"/>
      <w:bookmarkStart w:id="126" w:name="Tc_thhICe39iU2bjqwsqPGH6Q_28_0"/>
      <w:bookmarkStart w:id="127" w:name="Tc_U-2cHWDNn0eUteCbPuJgPw_27_0"/>
      <w:bookmarkStart w:id="128" w:name="Tc_J6ZFVxnrgU6A2xSb5iEh9w_26_6"/>
      <w:bookmarkStart w:id="129" w:name="Tc_emrR1gaLJEuqvIageAlMaA_26_3"/>
      <w:bookmarkStart w:id="130" w:name="Tc_2AraQqQzs0GcQn4alQeH7Q_26_0"/>
      <w:bookmarkStart w:id="131" w:name="Tc_aF5I5pRZ-0Ggq6XwWWZTRw_25_0"/>
      <w:bookmarkStart w:id="132" w:name="Tc_s8UZIGBOmUiAckOVLYaQjQ_24_0"/>
      <w:bookmarkStart w:id="133" w:name="Tc_gGb-tsMK1UCdkgQn0YqX0Q_23_0"/>
      <w:bookmarkStart w:id="134" w:name="Tc_bNGc861vcUKFBQIiDNLzcg_22_5"/>
      <w:bookmarkStart w:id="135" w:name="Tc_5tKkdzBJCEaqAL2I65DHLQ_22_2"/>
      <w:bookmarkStart w:id="136" w:name="Tc_baOBsgRnxkiPcHwd92AbXw_22_0"/>
      <w:bookmarkStart w:id="137" w:name="Tc_H6QUUOERxEyWxQRGL-1SRw_21_0"/>
      <w:bookmarkStart w:id="138" w:name="Tc_x67mZPGbyEuJOyugcAQLqw_20_0"/>
      <w:bookmarkStart w:id="139" w:name="Tc_aPZVX033w0eomWLbYdiCWw_19_5"/>
      <w:bookmarkStart w:id="140" w:name="Tc_P1TdjmQ4GUGpy9PoQ36wYw_19_2"/>
      <w:bookmarkStart w:id="141" w:name="Tc_4CMLb6GhqEK_9e9EpTHXoQ_19_0"/>
      <w:bookmarkStart w:id="142" w:name="Tc_dQtqhAhDF0aZdssx0AQPlg_18_0"/>
      <w:bookmarkStart w:id="143" w:name="Tc_hEE0pFCBhUG7MoZFttaCVg_17_0"/>
      <w:bookmarkStart w:id="144" w:name="Tc_Z8B-faWuRkelq-a79cpnIg_16_0"/>
      <w:bookmarkStart w:id="145" w:name="Tc_5G6NKK8-6EOCATDlTdyYeQ_15_0"/>
      <w:bookmarkStart w:id="146" w:name="Tc_i4PEdf_ieUGEZ5CXO3ynog_14_0"/>
      <w:bookmarkStart w:id="147" w:name="Tc_ssBYsshYq0CIcA0XiDqnTQ_13_0"/>
      <w:bookmarkStart w:id="148" w:name="Tc_kn2_BT5T_UeuGKpmALOxvw_12_0"/>
      <w:bookmarkStart w:id="149" w:name="Tc_IhsVK6K-o06BSGyGWClsZg_11_0"/>
      <w:bookmarkStart w:id="150" w:name="Tc_TYNTcRsAhk6jV8TuWktXFw_10_0"/>
      <w:bookmarkStart w:id="151" w:name="Tc_-F0s3inOk0CSeLlM0rx4dA_9_0"/>
      <w:bookmarkStart w:id="152" w:name="Tc_x8XwyACVZEyvkfe4imzKsw_8_0"/>
      <w:bookmarkStart w:id="153" w:name="Tc_TPZwWb1p-Uivdi1SHKynqw_7_0"/>
      <w:bookmarkStart w:id="154" w:name="Tc_9EU6f8CABk-tvzNrPBj_jw_6_0"/>
      <w:bookmarkStart w:id="155" w:name="Tc_kR8fvL6OxE-X53vUCI8BqQ_5_5"/>
      <w:bookmarkStart w:id="156" w:name="Tc_Rk6johQEQES-LREH8ST50g_5_2"/>
      <w:bookmarkStart w:id="157" w:name="Tc_w-a-NW92L0CIVp_xc8WaGQ_5_0"/>
      <w:bookmarkStart w:id="158" w:name="Tc_weWcTHCNvki4Nava1BkDxQ_4_0"/>
      <w:bookmarkStart w:id="159" w:name="Tc_FwgWQZwGXk6L4I8235Sxgg_3_0"/>
      <w:bookmarkStart w:id="160" w:name="Tc_VQazW9E4SE6iBycWjfcUnw_2_5"/>
      <w:bookmarkStart w:id="161" w:name="Tc_LniXyHIRH0SnkQ8OeW4Trw_2_2"/>
      <w:bookmarkStart w:id="162" w:name="Tc_PMAgT2-_HUmrkZAwowlK9A_1_5"/>
      <w:bookmarkStart w:id="163" w:name="Tc_pZURDUG3GEuMADxyH4mPbQ_1_2"/>
      <w:bookmarkStart w:id="164" w:name="_aaff082b_7635_44cb_8d6f_041faac73a2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10205" w:type="dxa"/>
        <w:jc w:val="left"/>
        <w:tblInd w:w="0" w:type="dxa"/>
        <w:tblCellMar>
          <w:top w:w="0" w:type="dxa"/>
          <w:left w:w="0" w:type="dxa"/>
          <w:bottom w:w="0" w:type="dxa"/>
          <w:right w:w="0" w:type="dxa"/>
        </w:tblCellMar>
      </w:tblPr>
      <w:tblGrid>
        <w:gridCol w:w="7179"/>
        <w:gridCol w:w="326"/>
        <w:gridCol w:w="211"/>
        <w:gridCol w:w="910"/>
        <w:gridCol w:w="326"/>
        <w:gridCol w:w="225"/>
        <w:gridCol w:w="1028"/>
      </w:tblGrid>
      <w:tr>
        <w:trPr/>
        <w:tc>
          <w:tcPr>
            <w:tcW w:w="71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558665" cy="175260"/>
                      <wp:effectExtent l="0" t="0" r="0" b="0"/>
                      <wp:wrapNone/>
                      <wp:docPr id="7" name="Frame7"/>
                      <a:graphic xmlns:a="http://schemas.openxmlformats.org/drawingml/2006/main">
                        <a:graphicData uri="http://schemas.microsoft.com/office/word/2010/wordprocessingShape">
                          <wps:wsp>
                            <wps:cNvSpPr txBox="1"/>
                            <wps:spPr>
                              <a:xfrm>
                                <a:off x="0" y="0"/>
                                <a:ext cx="4558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7850" cy="175260"/>
                      <wp:effectExtent l="0" t="0" r="0" b="0"/>
                      <wp:wrapNone/>
                      <wp:docPr id="10" name="Frame10"/>
                      <a:graphic xmlns:a="http://schemas.openxmlformats.org/drawingml/2006/main">
                        <a:graphicData uri="http://schemas.microsoft.com/office/word/2010/wordprocessingShape">
                          <wps:wsp>
                            <wps:cNvSpPr txBox="1"/>
                            <wps:spPr>
                              <a:xfrm>
                                <a:off x="0" y="0"/>
                                <a:ext cx="577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2875" cy="175260"/>
                      <wp:effectExtent l="0" t="0" r="0" b="0"/>
                      <wp:wrapNone/>
                      <wp:docPr id="12" name="Frame12"/>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2780" cy="175260"/>
                      <wp:effectExtent l="0" t="0" r="0" b="0"/>
                      <wp:wrapNone/>
                      <wp:docPr id="13" name="Frame13"/>
                      <a:graphic xmlns:a="http://schemas.openxmlformats.org/drawingml/2006/main">
                        <a:graphicData uri="http://schemas.microsoft.com/office/word/2010/wordprocessingShape">
                          <wps:wsp>
                            <wps:cNvSpPr txBox="1"/>
                            <wps:spPr>
                              <a:xfrm>
                                <a:off x="0" y="0"/>
                                <a:ext cx="652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1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2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1253"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1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25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91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25" w:type="dxa"/>
            <w:tcBorders/>
            <w:shd w:fill="CCEEFF" w:val="clear"/>
            <w:vAlign w:val="center"/>
          </w:tcPr>
          <w:p>
            <w:pPr>
              <w:pStyle w:val="TableContents"/>
              <w:spacing w:before="0" w:after="1"/>
              <w:ind w:left="0" w:right="0" w:hanging="0"/>
              <w:rPr/>
            </w:pPr>
            <w:r>
              <w:rPr/>
              <w:t>​</w:t>
            </w:r>
          </w:p>
        </w:tc>
        <w:tc>
          <w:tcPr>
            <w:tcW w:w="1028" w:type="dxa"/>
            <w:tcBorders/>
            <w:shd w:fill="CCEEFF" w:val="clear"/>
            <w:vAlign w:val="center"/>
          </w:tcPr>
          <w:p>
            <w:pPr>
              <w:pStyle w:val="TableContents"/>
              <w:spacing w:before="0" w:after="1"/>
              <w:ind w:left="0" w:right="0" w:hanging="0"/>
              <w:jc w:val="right"/>
              <w:rPr/>
            </w:pPr>
            <w:r>
              <w:rPr/>
              <w:t>  </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assets:</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91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25" w:type="dxa"/>
            <w:tcBorders/>
            <w:shd w:fill="auto" w:val="clear"/>
            <w:vAlign w:val="center"/>
          </w:tcPr>
          <w:p>
            <w:pPr>
              <w:pStyle w:val="TableContents"/>
              <w:spacing w:before="0" w:after="1"/>
              <w:ind w:left="0" w:right="0" w:hanging="0"/>
              <w:rPr/>
            </w:pPr>
            <w:r>
              <w:rPr/>
              <w:t>​</w:t>
            </w:r>
          </w:p>
        </w:tc>
        <w:tc>
          <w:tcPr>
            <w:tcW w:w="1028" w:type="dxa"/>
            <w:tcBorders/>
            <w:shd w:fill="auto" w:val="clear"/>
            <w:vAlign w:val="center"/>
          </w:tcPr>
          <w:p>
            <w:pPr>
              <w:pStyle w:val="TableContents"/>
              <w:spacing w:before="0" w:after="1"/>
              <w:ind w:left="0" w:right="0" w:hanging="0"/>
              <w:jc w:val="right"/>
              <w:rPr/>
            </w:pPr>
            <w:r>
              <w:rPr/>
              <w:t>  </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80,837</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94,141</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Accounts receivable, net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8,251</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7,706</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Inventory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7,551</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6,563</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portion of net investments in sales-type leases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2,136</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2,198</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portion of prepaid commission expense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1,660</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1,559</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portion of note receivables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1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90</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10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2,589</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3,090</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103,114</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115,331</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1,822</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1,220</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right-of-use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3,750</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3,884</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investments in sales-type leases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1,369</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1,697</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Prepaid commission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6,956</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6,763</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Long-term note receivable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10,094</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10,110</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2,839</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2,218</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1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129,944</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2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141,223</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Liabilities and 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pPr>
            <w:r>
              <w:rPr/>
              <w:t>​</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pPr>
            <w:r>
              <w:rPr/>
              <w:t>​</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Accounts payable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1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2,757</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4,299</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7,785</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8,233</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Deferred revenue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1,912</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2,501</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portion of operating lease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729</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670</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portion of long-term debt, net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13,183</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15,703</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Long-term debt, net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35,442</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35,335</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Deferred revenue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1,326</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1,471</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3,395</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3,539</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53,346</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56,048</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Commitments and contingencies (Note 17)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Stockholders’ Equity: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pPr>
            <w:r>
              <w:rPr/>
              <w:t>​</w:t>
            </w:r>
          </w:p>
        </w:tc>
      </w:tr>
      <w:tr>
        <w:trPr/>
        <w:tc>
          <w:tcPr>
            <w:tcW w:w="717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Arial;Helvetica;sans-serif" w:hAnsi="Arial;Helvetica;sans-serif"/>
                <w:sz w:val="20"/>
              </w:rPr>
              <w:t>Preferred stock, $0.01</w:t>
            </w:r>
            <w:r>
              <w:rPr>
                <w:rFonts w:ascii="Times New Roman;Times;serif" w:hAnsi="Times New Roman;Times;serif"/>
                <w:sz w:val="20"/>
              </w:rPr>
              <w:t xml:space="preserve"> </w:t>
            </w:r>
            <w:r>
              <w:rPr>
                <w:rFonts w:ascii="Arial;Helvetica;sans-serif" w:hAnsi="Arial;Helvetica;sans-serif"/>
                <w:sz w:val="20"/>
              </w:rPr>
              <w:t>par value: 10,000</w:t>
            </w:r>
            <w:r>
              <w:rPr>
                <w:rFonts w:ascii="Times New Roman;Times;serif" w:hAnsi="Times New Roman;Times;serif"/>
                <w:sz w:val="20"/>
              </w:rPr>
              <w:t xml:space="preserve"> </w:t>
            </w:r>
            <w:r>
              <w:rPr>
                <w:rFonts w:ascii="Arial;Helvetica;sans-serif" w:hAnsi="Arial;Helvetica;sans-serif"/>
                <w:sz w:val="20"/>
              </w:rPr>
              <w:t>shares authorized; no</w:t>
            </w:r>
            <w:r>
              <w:rPr>
                <w:rFonts w:ascii="Times New Roman;Times;serif" w:hAnsi="Times New Roman;Times;serif"/>
                <w:sz w:val="20"/>
              </w:rPr>
              <w:t xml:space="preserve"> </w:t>
            </w:r>
            <w:r>
              <w:rPr>
                <w:rFonts w:ascii="Arial;Helvetica;sans-serif" w:hAnsi="Arial;Helvetica;sans-serif"/>
                <w:sz w:val="20"/>
              </w:rPr>
              <w:t>shares issued</w:t>
            </w:r>
            <w:r>
              <w:rPr>
                <w:rFonts w:ascii="Times New Roman;Times;serif" w:hAnsi="Times New Roman;Times;serif"/>
                <w:sz w:val="20"/>
              </w:rPr>
              <w:t xml:space="preserve"> </w:t>
            </w:r>
            <w:r>
              <w:rPr>
                <w:rFonts w:ascii="Arial;Helvetica;sans-serif" w:hAnsi="Arial;Helvetica;sans-serif"/>
                <w:sz w:val="20"/>
              </w:rPr>
              <w:t>or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pPr>
            <w:r>
              <w:rPr/>
              <w:t>​</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outstanding on March 31, 2022 and December 31, 2021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717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Arial;Helvetica;sans-serif" w:hAnsi="Arial;Helvetica;sans-serif"/>
                <w:sz w:val="20"/>
              </w:rPr>
              <w:t>Common stock, $0.01</w:t>
            </w:r>
            <w:r>
              <w:rPr>
                <w:rFonts w:ascii="Times New Roman;Times;serif" w:hAnsi="Times New Roman;Times;serif"/>
                <w:sz w:val="20"/>
              </w:rPr>
              <w:t xml:space="preserve"> </w:t>
            </w:r>
            <w:r>
              <w:rPr>
                <w:rFonts w:ascii="Arial;Helvetica;sans-serif" w:hAnsi="Arial;Helvetica;sans-serif"/>
                <w:sz w:val="20"/>
              </w:rPr>
              <w:t>par value: 200,000</w:t>
            </w:r>
            <w:r>
              <w:rPr>
                <w:rFonts w:ascii="Times New Roman;Times;serif" w:hAnsi="Times New Roman;Times;serif"/>
                <w:sz w:val="20"/>
              </w:rPr>
              <w:t xml:space="preserve"> </w:t>
            </w:r>
            <w:r>
              <w:rPr>
                <w:rFonts w:ascii="Arial;Helvetica;sans-serif" w:hAnsi="Arial;Helvetica;sans-serif"/>
                <w:sz w:val="20"/>
              </w:rPr>
              <w:t>shares authorized; 26,717</w:t>
            </w:r>
            <w:r>
              <w:rPr>
                <w:rFonts w:ascii="Times New Roman;Times;serif" w:hAnsi="Times New Roman;Times;serif"/>
                <w:sz w:val="20"/>
              </w:rPr>
              <w:t xml:space="preserve"> </w:t>
            </w:r>
            <w:r>
              <w:rPr>
                <w:rFonts w:ascii="Arial;Helvetica;sans-serif" w:hAnsi="Arial;Helvetica;sans-serif"/>
                <w:sz w:val="20"/>
              </w:rPr>
              <w:t>and 26,395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pPr>
            <w:r>
              <w:rPr/>
              <w:t>​</w:t>
            </w:r>
          </w:p>
        </w:tc>
      </w:tr>
      <w:tr>
        <w:trPr/>
        <w:tc>
          <w:tcPr>
            <w:tcW w:w="717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Arial;Helvetica;sans-serif" w:hAnsi="Arial;Helvetica;sans-serif"/>
                <w:sz w:val="20"/>
              </w:rPr>
              <w:t xml:space="preserve">shares </w:t>
            </w:r>
            <w:r>
              <w:rPr>
                <w:rFonts w:ascii="Arial;Helvetica;sans-serif" w:hAnsi="Arial;Helvetica;sans-serif"/>
                <w:b w:val="false"/>
                <w:i w:val="false"/>
                <w:caps w:val="false"/>
                <w:smallCaps w:val="false"/>
                <w:sz w:val="20"/>
              </w:rPr>
              <w:t>issued</w:t>
            </w:r>
            <w:r>
              <w:rPr>
                <w:rFonts w:ascii="Times New Roman;Times;serif" w:hAnsi="Times New Roman;Times;serif"/>
                <w:sz w:val="20"/>
              </w:rPr>
              <w:t xml:space="preserve"> </w:t>
            </w:r>
            <w:r>
              <w:rPr>
                <w:rFonts w:ascii="Arial;Helvetica;sans-serif" w:hAnsi="Arial;Helvetica;sans-serif"/>
                <w:sz w:val="20"/>
              </w:rPr>
              <w:t xml:space="preserve">and </w:t>
            </w:r>
            <w:r>
              <w:rPr>
                <w:rFonts w:ascii="Arial;Helvetica;sans-serif" w:hAnsi="Arial;Helvetica;sans-serif"/>
                <w:b w:val="false"/>
                <w:i w:val="false"/>
                <w:caps w:val="false"/>
                <w:smallCaps w:val="false"/>
                <w:sz w:val="20"/>
              </w:rPr>
              <w:t>outstanding</w:t>
            </w:r>
            <w:r>
              <w:rPr>
                <w:rFonts w:ascii="Times New Roman;Times;serif" w:hAnsi="Times New Roman;Times;serif"/>
                <w:sz w:val="20"/>
              </w:rPr>
              <w:t xml:space="preserve"> </w:t>
            </w:r>
            <w:r>
              <w:rPr>
                <w:rFonts w:ascii="Arial;Helvetica;sans-serif" w:hAnsi="Arial;Helvetica;sans-serif"/>
                <w:sz w:val="20"/>
              </w:rPr>
              <w:t>on March 31, 2022 and December 31, 2021, respectively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267</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264</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Additional paid-in capital</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395,902</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10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393,644</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Accumulated deficit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(319,571)</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(308,733)</w:t>
            </w:r>
          </w:p>
        </w:tc>
      </w:tr>
      <w:tr>
        <w:trPr/>
        <w:tc>
          <w:tcPr>
            <w:tcW w:w="71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76,598</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85,175</w:t>
            </w:r>
          </w:p>
        </w:tc>
      </w:tr>
      <w:tr>
        <w:trPr/>
        <w:tc>
          <w:tcPr>
            <w:tcW w:w="717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Liabilities and Stockholders’ Equity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1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129,944</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28"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Arial;Helvetica;sans-serif" w:hAnsi="Arial;Helvetica;sans-serif"/>
                <w:sz w:val="20"/>
              </w:rPr>
            </w:pPr>
            <w:r>
              <w:rPr>
                <w:rFonts w:ascii="Arial;Helvetica;sans-serif" w:hAnsi="Arial;Helvetica;sans-serif"/>
                <w:sz w:val="20"/>
              </w:rPr>
              <w:t>141,223</w:t>
            </w:r>
          </w:p>
        </w:tc>
      </w:tr>
    </w:tbl>
    <w:p>
      <w:pPr>
        <w:pStyle w:val="TextBody"/>
        <w:spacing w:before="0" w:after="200"/>
        <w:ind w:left="0" w:right="0" w:hanging="0"/>
        <w:rPr/>
      </w:pPr>
      <w:r>
        <w:rPr/>
        <w:t>​</w:t>
      </w:r>
    </w:p>
    <w:p>
      <w:pPr>
        <w:pStyle w:val="TextBody"/>
        <w:spacing w:before="0" w:after="200"/>
        <w:ind w:left="0" w:right="0" w:hanging="0"/>
        <w:jc w:val="center"/>
        <w:rPr>
          <w:rFonts w:ascii="Arial;Helvetica;sans-serif" w:hAnsi="Arial;Helvetica;sans-serif"/>
          <w:sz w:val="19"/>
        </w:rPr>
      </w:pPr>
      <w:r>
        <w:rPr>
          <w:rFonts w:ascii="Arial;Helvetica;sans-serif" w:hAnsi="Arial;Helvetica;sans-serif"/>
          <w:sz w:val="19"/>
        </w:rPr>
        <w:t>The accompanying notes are an integral part of these unaudited interim financial statements.</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spacing w:before="0" w:after="6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20"/>
        </w:rPr>
      </w:pPr>
      <w:bookmarkStart w:id="165" w:name="_4cd880bd_a661_42ac_9ff0_3abfc486430c"/>
      <w:bookmarkEnd w:id="165"/>
      <w:r>
        <w:rPr>
          <w:rFonts w:ascii="Arial;Helvetica;sans-serif" w:hAnsi="Arial;Helvetica;sans-serif"/>
          <w:b/>
          <w:sz w:val="20"/>
        </w:rPr>
        <w:t>NEURONETICS, INC.</w:t>
      </w:r>
    </w:p>
    <w:p>
      <w:pPr>
        <w:pStyle w:val="TextBody"/>
        <w:spacing w:before="0" w:after="0"/>
        <w:ind w:left="0" w:right="0" w:hanging="0"/>
        <w:jc w:val="center"/>
        <w:rPr>
          <w:rFonts w:ascii="Arial;Helvetica;sans-serif" w:hAnsi="Arial;Helvetica;sans-serif"/>
          <w:b/>
          <w:sz w:val="20"/>
        </w:rPr>
      </w:pPr>
      <w:bookmarkStart w:id="166" w:name="StatementsofOperations_587719"/>
      <w:bookmarkEnd w:id="166"/>
      <w:r>
        <w:rPr>
          <w:rFonts w:ascii="Arial;Helvetica;sans-serif" w:hAnsi="Arial;Helvetica;sans-serif"/>
          <w:b/>
          <w:sz w:val="20"/>
        </w:rPr>
        <w:t>Statements of Operations</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 except per share data)</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167" w:name="Tc_ldBtw2stz0iedWQ_fbzbAg_18_0"/>
      <w:bookmarkStart w:id="168" w:name="Tc_3pyY09R7YU6qcjanKdgktA_17_5"/>
      <w:bookmarkStart w:id="169" w:name="Tc_mMEIeoJaHEyKWGXe1mS0Kw_17_2"/>
      <w:bookmarkStart w:id="170" w:name="Tc_pvFTJRIob0GeHYBKYTjU8g_17_0"/>
      <w:bookmarkStart w:id="171" w:name="Tc_b1uuVEe-EEiRLSx9Rzz6OA_16_5"/>
      <w:bookmarkStart w:id="172" w:name="Tc_J_99cTlDWEqQSc5afNNioA_16_2"/>
      <w:bookmarkStart w:id="173" w:name="Tc_lGaga5nBIUik2yV9x19fZw_16_0"/>
      <w:bookmarkStart w:id="174" w:name="Tc_amfbPiTtBk2lBZ6UZXKo-Q_15_0"/>
      <w:bookmarkStart w:id="175" w:name="Tc_47B-4AAcLkyy0ljpBztwOg_14_0"/>
      <w:bookmarkStart w:id="176" w:name="Tc_aZfGqE9Ndka1aAvNNM6pTw_13_0"/>
      <w:bookmarkStart w:id="177" w:name="Tc_k2wgNwH7JkSseorH-w0HRQ_12_0"/>
      <w:bookmarkStart w:id="178" w:name="Tc_0WPcXGoqbESftTVi9h2hSg_11_0"/>
      <w:bookmarkStart w:id="179" w:name="Tc_QRVcjNStC0OBeKSPozR6YA_10_0"/>
      <w:bookmarkStart w:id="180" w:name="Tc_NPmWbwKvPkmfpM44nziAsg_9_0"/>
      <w:bookmarkStart w:id="181" w:name="Tc_M_f0N58u2EmSDmpeAItdNw_8_0"/>
      <w:bookmarkStart w:id="182" w:name="Tc_1OJ5KniYKkCm46UCwVRg3Q_7_0"/>
      <w:bookmarkStart w:id="183" w:name="Tc_Xa9lR7ft5kqWKcitoEXKIg_6_0"/>
      <w:bookmarkStart w:id="184" w:name="Tc_qVazkkpjpUGb8jo_gP23nA_5_0"/>
      <w:bookmarkStart w:id="185" w:name="Tc_xleaNuuzw0ucnyeL1S0oYA_4_5"/>
      <w:bookmarkStart w:id="186" w:name="Tc_ovN8PJDM8EWkSIa2bIOPlQ_4_2"/>
      <w:bookmarkStart w:id="187" w:name="Tc_qICs1B3ieECb0aHb0jncLg_4_0"/>
      <w:bookmarkStart w:id="188" w:name="Tc_1L2SYmVDbES6jaTgndd2Hg_3_5"/>
      <w:bookmarkStart w:id="189" w:name="Tc_41cgY8pLSUGKWtVBSeWDCA_3_2"/>
      <w:bookmarkStart w:id="190" w:name="Tc_bkyxxg7PP06z85B8jf2opA_2_2"/>
      <w:bookmarkStart w:id="191" w:name="Tc_w1KEEZ5hbkyXY3YjRhyiyQ_1_2"/>
      <w:bookmarkStart w:id="192" w:name="_419ae29e_2ba3_4e2c_bb44_7608597810fc"/>
      <w:bookmarkStart w:id="193" w:name="Tc_ldBtw2stz0iedWQ_fbzbAg_18_0"/>
      <w:bookmarkStart w:id="194" w:name="Tc_3pyY09R7YU6qcjanKdgktA_17_5"/>
      <w:bookmarkStart w:id="195" w:name="Tc_mMEIeoJaHEyKWGXe1mS0Kw_17_2"/>
      <w:bookmarkStart w:id="196" w:name="Tc_pvFTJRIob0GeHYBKYTjU8g_17_0"/>
      <w:bookmarkStart w:id="197" w:name="Tc_b1uuVEe-EEiRLSx9Rzz6OA_16_5"/>
      <w:bookmarkStart w:id="198" w:name="Tc_J_99cTlDWEqQSc5afNNioA_16_2"/>
      <w:bookmarkStart w:id="199" w:name="Tc_lGaga5nBIUik2yV9x19fZw_16_0"/>
      <w:bookmarkStart w:id="200" w:name="Tc_amfbPiTtBk2lBZ6UZXKo-Q_15_0"/>
      <w:bookmarkStart w:id="201" w:name="Tc_47B-4AAcLkyy0ljpBztwOg_14_0"/>
      <w:bookmarkStart w:id="202" w:name="Tc_aZfGqE9Ndka1aAvNNM6pTw_13_0"/>
      <w:bookmarkStart w:id="203" w:name="Tc_k2wgNwH7JkSseorH-w0HRQ_12_0"/>
      <w:bookmarkStart w:id="204" w:name="Tc_0WPcXGoqbESftTVi9h2hSg_11_0"/>
      <w:bookmarkStart w:id="205" w:name="Tc_QRVcjNStC0OBeKSPozR6YA_10_0"/>
      <w:bookmarkStart w:id="206" w:name="Tc_NPmWbwKvPkmfpM44nziAsg_9_0"/>
      <w:bookmarkStart w:id="207" w:name="Tc_M_f0N58u2EmSDmpeAItdNw_8_0"/>
      <w:bookmarkStart w:id="208" w:name="Tc_1OJ5KniYKkCm46UCwVRg3Q_7_0"/>
      <w:bookmarkStart w:id="209" w:name="Tc_Xa9lR7ft5kqWKcitoEXKIg_6_0"/>
      <w:bookmarkStart w:id="210" w:name="Tc_qVazkkpjpUGb8jo_gP23nA_5_0"/>
      <w:bookmarkStart w:id="211" w:name="Tc_xleaNuuzw0ucnyeL1S0oYA_4_5"/>
      <w:bookmarkStart w:id="212" w:name="Tc_ovN8PJDM8EWkSIa2bIOPlQ_4_2"/>
      <w:bookmarkStart w:id="213" w:name="Tc_qICs1B3ieECb0aHb0jncLg_4_0"/>
      <w:bookmarkStart w:id="214" w:name="Tc_1L2SYmVDbES6jaTgndd2Hg_3_5"/>
      <w:bookmarkStart w:id="215" w:name="Tc_41cgY8pLSUGKWtVBSeWDCA_3_2"/>
      <w:bookmarkStart w:id="216" w:name="Tc_bkyxxg7PP06z85B8jf2opA_2_2"/>
      <w:bookmarkStart w:id="217" w:name="Tc_w1KEEZ5hbkyXY3YjRhyiyQ_1_2"/>
      <w:bookmarkStart w:id="218" w:name="_419ae29e_2ba3_4e2c_bb44_7608597810fc"/>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tbl>
      <w:tblPr>
        <w:tblW w:w="8622" w:type="dxa"/>
        <w:jc w:val="left"/>
        <w:tblInd w:w="0" w:type="dxa"/>
        <w:tblCellMar>
          <w:top w:w="0" w:type="dxa"/>
          <w:left w:w="0" w:type="dxa"/>
          <w:bottom w:w="0" w:type="dxa"/>
          <w:right w:w="0" w:type="dxa"/>
        </w:tblCellMar>
      </w:tblPr>
      <w:tblGrid>
        <w:gridCol w:w="5941"/>
        <w:gridCol w:w="326"/>
        <w:gridCol w:w="211"/>
        <w:gridCol w:w="811"/>
        <w:gridCol w:w="326"/>
        <w:gridCol w:w="211"/>
        <w:gridCol w:w="796"/>
      </w:tblGrid>
      <w:tr>
        <w:trPr/>
        <w:tc>
          <w:tcPr>
            <w:tcW w:w="5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772535" cy="175260"/>
                      <wp:effectExtent l="0" t="0" r="0" b="0"/>
                      <wp:wrapNone/>
                      <wp:docPr id="14" name="Frame14"/>
                      <a:graphic xmlns:a="http://schemas.openxmlformats.org/drawingml/2006/main">
                        <a:graphicData uri="http://schemas.microsoft.com/office/word/2010/wordprocessingShape">
                          <wps:wsp>
                            <wps:cNvSpPr txBox="1"/>
                            <wps:spPr>
                              <a:xfrm>
                                <a:off x="0" y="0"/>
                                <a:ext cx="3772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14985" cy="175260"/>
                      <wp:effectExtent l="0" t="0" r="0" b="0"/>
                      <wp:wrapNone/>
                      <wp:docPr id="17" name="Frame17"/>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05460" cy="175260"/>
                      <wp:effectExtent l="0" t="0" r="0" b="0"/>
                      <wp:wrapNone/>
                      <wp:docPr id="20" name="Frame2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55" w:type="dxa"/>
            <w:gridSpan w:val="5"/>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5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5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5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5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14,181</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12,288</w:t>
            </w:r>
          </w:p>
        </w:tc>
      </w:tr>
      <w:tr>
        <w:trPr/>
        <w:tc>
          <w:tcPr>
            <w:tcW w:w="5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Cost of revenues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3,485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2,221</w:t>
            </w:r>
          </w:p>
        </w:tc>
      </w:tr>
      <w:tr>
        <w:trPr/>
        <w:tc>
          <w:tcPr>
            <w:tcW w:w="5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10,696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10,067</w:t>
            </w:r>
          </w:p>
        </w:tc>
      </w:tr>
      <w:tr>
        <w:trPr/>
        <w:tc>
          <w:tcPr>
            <w:tcW w:w="5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r>
      <w:tr>
        <w:trPr/>
        <w:tc>
          <w:tcPr>
            <w:tcW w:w="5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12,649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8,561</w:t>
            </w:r>
          </w:p>
        </w:tc>
      </w:tr>
      <w:tr>
        <w:trPr/>
        <w:tc>
          <w:tcPr>
            <w:tcW w:w="5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6,379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6,104</w:t>
            </w:r>
          </w:p>
        </w:tc>
      </w:tr>
      <w:tr>
        <w:trPr/>
        <w:tc>
          <w:tcPr>
            <w:tcW w:w="5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1,803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2,311</w:t>
            </w:r>
          </w:p>
        </w:tc>
      </w:tr>
      <w:tr>
        <w:trPr/>
        <w:tc>
          <w:tcPr>
            <w:tcW w:w="5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operating expenses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20,831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16,976</w:t>
            </w:r>
          </w:p>
        </w:tc>
      </w:tr>
      <w:tr>
        <w:trPr/>
        <w:tc>
          <w:tcPr>
            <w:tcW w:w="5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(10,135)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(6,909)</w:t>
            </w:r>
          </w:p>
        </w:tc>
      </w:tr>
      <w:tr>
        <w:trPr/>
        <w:tc>
          <w:tcPr>
            <w:tcW w:w="5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 (income)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r>
      <w:tr>
        <w:trPr/>
        <w:tc>
          <w:tcPr>
            <w:tcW w:w="5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978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985</w:t>
            </w:r>
          </w:p>
        </w:tc>
      </w:tr>
      <w:tr>
        <w:trPr/>
        <w:tc>
          <w:tcPr>
            <w:tcW w:w="5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 income, net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w:t>
            </w:r>
          </w:p>
        </w:tc>
      </w:tr>
      <w:tr>
        <w:trPr/>
        <w:tc>
          <w:tcPr>
            <w:tcW w:w="5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(7,881)</w:t>
            </w:r>
          </w:p>
        </w:tc>
      </w:tr>
      <w:tr>
        <w:trPr/>
        <w:tc>
          <w:tcPr>
            <w:tcW w:w="5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loss per share of common stock outstanding, basic and diluted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(0.41)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(0.31)</w:t>
            </w:r>
          </w:p>
        </w:tc>
      </w:tr>
      <w:tr>
        <w:trPr/>
        <w:tc>
          <w:tcPr>
            <w:tcW w:w="5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Weighted-average common shares outstanding, basic and diluted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26,597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25,150</w:t>
            </w:r>
          </w:p>
        </w:tc>
      </w:tr>
    </w:tbl>
    <w:p>
      <w:pPr>
        <w:pStyle w:val="TextBody"/>
        <w:spacing w:before="0" w:after="200"/>
        <w:ind w:left="0" w:right="0" w:hanging="0"/>
        <w:rPr/>
      </w:pPr>
      <w:r>
        <w:rPr/>
        <w:t>​</w:t>
      </w:r>
    </w:p>
    <w:p>
      <w:pPr>
        <w:pStyle w:val="TextBody"/>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spacing w:before="0" w:after="6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20"/>
        </w:rPr>
      </w:pPr>
      <w:bookmarkStart w:id="219" w:name="_46daedcc_d120_4a6e_b7f5_340b136c5b17"/>
      <w:bookmarkEnd w:id="219"/>
      <w:r>
        <w:rPr>
          <w:rFonts w:ascii="Arial;Helvetica;sans-serif" w:hAnsi="Arial;Helvetica;sans-serif"/>
          <w:b/>
          <w:sz w:val="20"/>
        </w:rPr>
        <w:t>NEURONETICS, INC.</w:t>
      </w:r>
    </w:p>
    <w:p>
      <w:pPr>
        <w:pStyle w:val="TextBody"/>
        <w:spacing w:before="0" w:after="0"/>
        <w:ind w:left="0" w:right="0" w:hanging="0"/>
        <w:jc w:val="center"/>
        <w:rPr>
          <w:rFonts w:ascii="Arial;Helvetica;sans-serif" w:hAnsi="Arial;Helvetica;sans-serif"/>
          <w:b/>
          <w:sz w:val="20"/>
        </w:rPr>
      </w:pPr>
      <w:bookmarkStart w:id="220" w:name="StatementofChangesinStockholders_240276"/>
      <w:bookmarkEnd w:id="220"/>
      <w:r>
        <w:rPr>
          <w:rFonts w:ascii="Arial;Helvetica;sans-serif" w:hAnsi="Arial;Helvetica;sans-serif"/>
          <w:b/>
          <w:sz w:val="20"/>
        </w:rPr>
        <w:t>Statements of Changes in Stockholders’ Equity</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221" w:name="Tc_blkKMglFgkyQKF6RB9nYyQ_15_13"/>
      <w:bookmarkStart w:id="222" w:name="Tc_tgG-hAQw80m4FmX6MHjo2w_15_10"/>
      <w:bookmarkStart w:id="223" w:name="Tc_gu2uawWdpkumwlrJIkihPA_15_7"/>
      <w:bookmarkStart w:id="224" w:name="Tc_GiEdDiujnUiQolZdr1CK_A_15_4"/>
      <w:bookmarkStart w:id="225" w:name="Tc_o7yK0jfXfk6wPokHlvsBeQ_15_0"/>
      <w:bookmarkStart w:id="226" w:name="Tc_pegBhNrqv0exb_WaLjGpuw_14_8"/>
      <w:bookmarkStart w:id="227" w:name="Tc_kUVpkSmQCkGTZy_7_rPP5Q_14_5"/>
      <w:bookmarkStart w:id="228" w:name="Tc_dGV1D5h-CkGogaTXmWkj3g_14_2"/>
      <w:bookmarkStart w:id="229" w:name="Tc_vFBMp1fMD0e0fZvRVurNgg_14_0"/>
      <w:bookmarkStart w:id="230" w:name="Tc_9YzP1ebs0UOiVoityBEB5Q_13_11"/>
      <w:bookmarkStart w:id="231" w:name="Tc_E6bxfVqWaE6shLJ_YqDwBA_13_5"/>
      <w:bookmarkStart w:id="232" w:name="Tc_t_D7_itoaUulA-If9R2BOA_13_2"/>
      <w:bookmarkStart w:id="233" w:name="Tc_ue-0eZuG8kWkQJKF0QKY0g_13_0"/>
      <w:bookmarkStart w:id="234" w:name="Tc_cSs1K3iarEifiAdZtejPBw_12_11"/>
      <w:bookmarkStart w:id="235" w:name="Tc_eNl0vgouhkCjtB5n4wj2GA_12_0"/>
      <w:bookmarkStart w:id="236" w:name="Tc_2pqqpP0T9kaJ_CS6hh6uNA_11_13"/>
      <w:bookmarkStart w:id="237" w:name="Tc_aQeEqKF9UkyqD1PNtsyPUQ_11_10"/>
      <w:bookmarkStart w:id="238" w:name="Tc_5zBqYGNX30SzydGUSpT_Ng_11_7"/>
      <w:bookmarkStart w:id="239" w:name="Tc_BXumlMhw3kSoAwnyaMFH9A_11_4"/>
      <w:bookmarkStart w:id="240" w:name="Tc_tf9Z6Fj2WEKOfZfoX6QJng_11_0"/>
      <w:bookmarkStart w:id="241" w:name="Tc_DW4mEtf6CkmSIW2Q3ZdFxg_9_13"/>
      <w:bookmarkStart w:id="242" w:name="Tc_zGj26WfMyEeOetKJc7jVXA_9_10"/>
      <w:bookmarkStart w:id="243" w:name="Tc_mdTGDhBu-UClSBhGpa9PBQ_9_7"/>
      <w:bookmarkStart w:id="244" w:name="Tc_cFpljlRlLEa_hHzMFz7wiA_9_4"/>
      <w:bookmarkStart w:id="245" w:name="Tc_Ixqe06uD3ESqhf8YUEVFHg_9_0"/>
      <w:bookmarkStart w:id="246" w:name="Tc_4Hr88UPfIEC-EbgkTz4KLQ_8_8"/>
      <w:bookmarkStart w:id="247" w:name="Tc_4sOCcsBT-UaXuoD2Aw1ugw_8_5"/>
      <w:bookmarkStart w:id="248" w:name="Tc_W7hpxAATrEiYbEkASUJyOg_8_2"/>
      <w:bookmarkStart w:id="249" w:name="Tc_D-Dxd6atdUO4rbxftDLYQw_8_0"/>
      <w:bookmarkStart w:id="250" w:name="Tc_H5CNw-vzlk-lTn6Ci2YpFA_7_11"/>
      <w:bookmarkStart w:id="251" w:name="Tc_JT1oQJ_e-0SxFuAPgDgN5g_7_5"/>
      <w:bookmarkStart w:id="252" w:name="Tc_5UbSpkQiIkqqo5CBj5itSg_7_2"/>
      <w:bookmarkStart w:id="253" w:name="Tc_yiw8jOZ5z0qDo1lKmTYqSA_7_0"/>
      <w:bookmarkStart w:id="254" w:name="Tc_myuwScUXJEGZVYTkwcux8Q_6_11"/>
      <w:bookmarkStart w:id="255" w:name="Tc_gePwQoX-7kK8VLDnhknVQQ_6_0"/>
      <w:bookmarkStart w:id="256" w:name="Tc_GUBRHaBoFUmtYaTgqMVP6Q_5_11"/>
      <w:bookmarkStart w:id="257" w:name="Tc_6buom0E6Y0qDf6w0fCI5kA_5_0"/>
      <w:bookmarkStart w:id="258" w:name="Tc_Ts8Gorj8DU6pksVigpbnFA_4_13"/>
      <w:bookmarkStart w:id="259" w:name="Tc_XLFsiSFtvky-OBHO9J5byw_4_10"/>
      <w:bookmarkStart w:id="260" w:name="Tc_NCBpM4JC2k2CGtlf0jmIvA_4_7"/>
      <w:bookmarkStart w:id="261" w:name="Tc_K3PzBfYo3US-2aXZrzl5Rw_4_4"/>
      <w:bookmarkStart w:id="262" w:name="Tc_-_V_elmMmUeAsBU_DbzLkg_4_0"/>
      <w:bookmarkStart w:id="263" w:name="Tc_U7wjKNrKnUyBZpGND7lhqw_3_13"/>
      <w:bookmarkStart w:id="264" w:name="Tc_SMstuZPQGEqPMhzYvbq_Eg_3_10"/>
      <w:bookmarkStart w:id="265" w:name="Tc_6JLp5dNankeeBvvaNLzHBA_3_7"/>
      <w:bookmarkStart w:id="266" w:name="Tc_5J9xAA960UScgxQbyoUVOg_3_4"/>
      <w:bookmarkStart w:id="267" w:name="Tc_KelnxD7540yLngsdDyQzJQ_3_2"/>
      <w:bookmarkStart w:id="268" w:name="Tc_o05vZhqZR023OXKuFWlh4Q_2_13"/>
      <w:bookmarkStart w:id="269" w:name="Tc_nLA7ANoEZkee1My2IOUFdw_2_10"/>
      <w:bookmarkStart w:id="270" w:name="Tc_MBu8XQGPrE-2-ACcYAK2Qw_2_7"/>
      <w:bookmarkStart w:id="271" w:name="Tc_P2-U7Tf9CUKtqstgOyaBWA_2_2"/>
      <w:bookmarkStart w:id="272" w:name="Tc_YI8I4XDN5EaHLhpMAAwrvg_1_13"/>
      <w:bookmarkStart w:id="273" w:name="Tc_5-gG_iemzkeSzV0rRulgZA_1_7"/>
      <w:bookmarkStart w:id="274" w:name="_5f2995f3_7ed9_4e1a_901d_f4d0ebf491ad"/>
      <w:bookmarkStart w:id="275" w:name="Tc_blkKMglFgkyQKF6RB9nYyQ_15_13"/>
      <w:bookmarkStart w:id="276" w:name="Tc_tgG-hAQw80m4FmX6MHjo2w_15_10"/>
      <w:bookmarkStart w:id="277" w:name="Tc_gu2uawWdpkumwlrJIkihPA_15_7"/>
      <w:bookmarkStart w:id="278" w:name="Tc_GiEdDiujnUiQolZdr1CK_A_15_4"/>
      <w:bookmarkStart w:id="279" w:name="Tc_o7yK0jfXfk6wPokHlvsBeQ_15_0"/>
      <w:bookmarkStart w:id="280" w:name="Tc_pegBhNrqv0exb_WaLjGpuw_14_8"/>
      <w:bookmarkStart w:id="281" w:name="Tc_kUVpkSmQCkGTZy_7_rPP5Q_14_5"/>
      <w:bookmarkStart w:id="282" w:name="Tc_dGV1D5h-CkGogaTXmWkj3g_14_2"/>
      <w:bookmarkStart w:id="283" w:name="Tc_vFBMp1fMD0e0fZvRVurNgg_14_0"/>
      <w:bookmarkStart w:id="284" w:name="Tc_9YzP1ebs0UOiVoityBEB5Q_13_11"/>
      <w:bookmarkStart w:id="285" w:name="Tc_E6bxfVqWaE6shLJ_YqDwBA_13_5"/>
      <w:bookmarkStart w:id="286" w:name="Tc_t_D7_itoaUulA-If9R2BOA_13_2"/>
      <w:bookmarkStart w:id="287" w:name="Tc_ue-0eZuG8kWkQJKF0QKY0g_13_0"/>
      <w:bookmarkStart w:id="288" w:name="Tc_cSs1K3iarEifiAdZtejPBw_12_11"/>
      <w:bookmarkStart w:id="289" w:name="Tc_eNl0vgouhkCjtB5n4wj2GA_12_0"/>
      <w:bookmarkStart w:id="290" w:name="Tc_2pqqpP0T9kaJ_CS6hh6uNA_11_13"/>
      <w:bookmarkStart w:id="291" w:name="Tc_aQeEqKF9UkyqD1PNtsyPUQ_11_10"/>
      <w:bookmarkStart w:id="292" w:name="Tc_5zBqYGNX30SzydGUSpT_Ng_11_7"/>
      <w:bookmarkStart w:id="293" w:name="Tc_BXumlMhw3kSoAwnyaMFH9A_11_4"/>
      <w:bookmarkStart w:id="294" w:name="Tc_tf9Z6Fj2WEKOfZfoX6QJng_11_0"/>
      <w:bookmarkStart w:id="295" w:name="Tc_DW4mEtf6CkmSIW2Q3ZdFxg_9_13"/>
      <w:bookmarkStart w:id="296" w:name="Tc_zGj26WfMyEeOetKJc7jVXA_9_10"/>
      <w:bookmarkStart w:id="297" w:name="Tc_mdTGDhBu-UClSBhGpa9PBQ_9_7"/>
      <w:bookmarkStart w:id="298" w:name="Tc_cFpljlRlLEa_hHzMFz7wiA_9_4"/>
      <w:bookmarkStart w:id="299" w:name="Tc_Ixqe06uD3ESqhf8YUEVFHg_9_0"/>
      <w:bookmarkStart w:id="300" w:name="Tc_4Hr88UPfIEC-EbgkTz4KLQ_8_8"/>
      <w:bookmarkStart w:id="301" w:name="Tc_4sOCcsBT-UaXuoD2Aw1ugw_8_5"/>
      <w:bookmarkStart w:id="302" w:name="Tc_W7hpxAATrEiYbEkASUJyOg_8_2"/>
      <w:bookmarkStart w:id="303" w:name="Tc_D-Dxd6atdUO4rbxftDLYQw_8_0"/>
      <w:bookmarkStart w:id="304" w:name="Tc_H5CNw-vzlk-lTn6Ci2YpFA_7_11"/>
      <w:bookmarkStart w:id="305" w:name="Tc_JT1oQJ_e-0SxFuAPgDgN5g_7_5"/>
      <w:bookmarkStart w:id="306" w:name="Tc_5UbSpkQiIkqqo5CBj5itSg_7_2"/>
      <w:bookmarkStart w:id="307" w:name="Tc_yiw8jOZ5z0qDo1lKmTYqSA_7_0"/>
      <w:bookmarkStart w:id="308" w:name="Tc_myuwScUXJEGZVYTkwcux8Q_6_11"/>
      <w:bookmarkStart w:id="309" w:name="Tc_gePwQoX-7kK8VLDnhknVQQ_6_0"/>
      <w:bookmarkStart w:id="310" w:name="Tc_GUBRHaBoFUmtYaTgqMVP6Q_5_11"/>
      <w:bookmarkStart w:id="311" w:name="Tc_6buom0E6Y0qDf6w0fCI5kA_5_0"/>
      <w:bookmarkStart w:id="312" w:name="Tc_Ts8Gorj8DU6pksVigpbnFA_4_13"/>
      <w:bookmarkStart w:id="313" w:name="Tc_XLFsiSFtvky-OBHO9J5byw_4_10"/>
      <w:bookmarkStart w:id="314" w:name="Tc_NCBpM4JC2k2CGtlf0jmIvA_4_7"/>
      <w:bookmarkStart w:id="315" w:name="Tc_K3PzBfYo3US-2aXZrzl5Rw_4_4"/>
      <w:bookmarkStart w:id="316" w:name="Tc_-_V_elmMmUeAsBU_DbzLkg_4_0"/>
      <w:bookmarkStart w:id="317" w:name="Tc_U7wjKNrKnUyBZpGND7lhqw_3_13"/>
      <w:bookmarkStart w:id="318" w:name="Tc_SMstuZPQGEqPMhzYvbq_Eg_3_10"/>
      <w:bookmarkStart w:id="319" w:name="Tc_6JLp5dNankeeBvvaNLzHBA_3_7"/>
      <w:bookmarkStart w:id="320" w:name="Tc_5J9xAA960UScgxQbyoUVOg_3_4"/>
      <w:bookmarkStart w:id="321" w:name="Tc_KelnxD7540yLngsdDyQzJQ_3_2"/>
      <w:bookmarkStart w:id="322" w:name="Tc_o05vZhqZR023OXKuFWlh4Q_2_13"/>
      <w:bookmarkStart w:id="323" w:name="Tc_nLA7ANoEZkee1My2IOUFdw_2_10"/>
      <w:bookmarkStart w:id="324" w:name="Tc_MBu8XQGPrE-2-ACcYAK2Qw_2_7"/>
      <w:bookmarkStart w:id="325" w:name="Tc_P2-U7Tf9CUKtqstgOyaBWA_2_2"/>
      <w:bookmarkStart w:id="326" w:name="Tc_YI8I4XDN5EaHLhpMAAwrvg_1_13"/>
      <w:bookmarkStart w:id="327" w:name="Tc_5-gG_iemzkeSzV0rRulgZA_1_7"/>
      <w:bookmarkStart w:id="328" w:name="_5f2995f3_7ed9_4e1a_901d_f4d0ebf491ad"/>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bl>
      <w:tblPr>
        <w:tblW w:w="10205" w:type="dxa"/>
        <w:jc w:val="left"/>
        <w:tblInd w:w="0" w:type="dxa"/>
        <w:tblCellMar>
          <w:top w:w="0" w:type="dxa"/>
          <w:left w:w="0" w:type="dxa"/>
          <w:bottom w:w="0" w:type="dxa"/>
          <w:right w:w="0" w:type="dxa"/>
        </w:tblCellMar>
      </w:tblPr>
      <w:tblGrid>
        <w:gridCol w:w="3743"/>
        <w:gridCol w:w="326"/>
        <w:gridCol w:w="691"/>
        <w:gridCol w:w="326"/>
        <w:gridCol w:w="250"/>
        <w:gridCol w:w="501"/>
        <w:gridCol w:w="326"/>
        <w:gridCol w:w="211"/>
        <w:gridCol w:w="796"/>
        <w:gridCol w:w="326"/>
        <w:gridCol w:w="228"/>
        <w:gridCol w:w="928"/>
        <w:gridCol w:w="326"/>
        <w:gridCol w:w="244"/>
        <w:gridCol w:w="983"/>
      </w:tblGrid>
      <w:tr>
        <w:trPr/>
        <w:tc>
          <w:tcPr>
            <w:tcW w:w="37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76805" cy="175260"/>
                      <wp:effectExtent l="0" t="0" r="0" b="0"/>
                      <wp:wrapNone/>
                      <wp:docPr id="21" name="Frame21"/>
                      <a:graphic xmlns:a="http://schemas.openxmlformats.org/drawingml/2006/main">
                        <a:graphicData uri="http://schemas.microsoft.com/office/word/2010/wordprocessingShape">
                          <wps:wsp>
                            <wps:cNvSpPr txBox="1"/>
                            <wps:spPr>
                              <a:xfrm>
                                <a:off x="0" y="0"/>
                                <a:ext cx="23768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38785" cy="175260"/>
                      <wp:effectExtent l="0" t="0" r="0" b="0"/>
                      <wp:wrapNone/>
                      <wp:docPr id="23" name="Frame2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58750" cy="175260"/>
                      <wp:effectExtent l="0" t="0" r="0" b="0"/>
                      <wp:wrapNone/>
                      <wp:docPr id="25" name="Frame25"/>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18135" cy="175260"/>
                      <wp:effectExtent l="0" t="0" r="0" b="0"/>
                      <wp:wrapNone/>
                      <wp:docPr id="26" name="Frame26"/>
                      <a:graphic xmlns:a="http://schemas.openxmlformats.org/drawingml/2006/main">
                        <a:graphicData uri="http://schemas.microsoft.com/office/word/2010/wordprocessingShape">
                          <wps:wsp>
                            <wps:cNvSpPr txBox="1"/>
                            <wps:spPr>
                              <a:xfrm>
                                <a:off x="0" y="0"/>
                                <a:ext cx="318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5460" cy="175260"/>
                      <wp:effectExtent l="0" t="0" r="0" b="0"/>
                      <wp:wrapNone/>
                      <wp:docPr id="29" name="Frame2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4780" cy="175260"/>
                      <wp:effectExtent l="0" t="0" r="0" b="0"/>
                      <wp:wrapNone/>
                      <wp:docPr id="31" name="Frame31"/>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89280" cy="175260"/>
                      <wp:effectExtent l="0" t="0" r="0" b="0"/>
                      <wp:wrapNone/>
                      <wp:docPr id="32" name="Frame32"/>
                      <a:graphic xmlns:a="http://schemas.openxmlformats.org/drawingml/2006/main">
                        <a:graphicData uri="http://schemas.microsoft.com/office/word/2010/wordprocessingShape">
                          <wps:wsp>
                            <wps:cNvSpPr txBox="1"/>
                            <wps:spPr>
                              <a:xfrm>
                                <a:off x="0" y="0"/>
                                <a:ext cx="5892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54940" cy="175260"/>
                      <wp:effectExtent l="0" t="0" r="0" b="0"/>
                      <wp:wrapNone/>
                      <wp:docPr id="34" name="Frame34"/>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24205" cy="175260"/>
                      <wp:effectExtent l="0" t="0" r="0" b="0"/>
                      <wp:wrapNone/>
                      <wp:docPr id="35" name="Frame35"/>
                      <a:graphic xmlns:a="http://schemas.openxmlformats.org/drawingml/2006/main">
                        <a:graphicData uri="http://schemas.microsoft.com/office/word/2010/wordprocessingShape">
                          <wps:wsp>
                            <wps:cNvSpPr txBox="1"/>
                            <wps:spPr>
                              <a:xfrm>
                                <a:off x="0" y="0"/>
                                <a:ext cx="6242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75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07"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26" w:type="dxa"/>
            <w:tcBorders/>
            <w:shd w:fill="auto" w:val="clear"/>
            <w:vAlign w:val="center"/>
          </w:tcPr>
          <w:p>
            <w:pPr>
              <w:pStyle w:val="TableContents"/>
              <w:spacing w:before="0" w:after="1"/>
              <w:ind w:left="0" w:right="0" w:hanging="0"/>
              <w:jc w:val="center"/>
              <w:rPr/>
            </w:pPr>
            <w:r>
              <w:rPr/>
              <w:t>    </w:t>
            </w:r>
          </w:p>
        </w:tc>
        <w:tc>
          <w:tcPr>
            <w:tcW w:w="1156" w:type="dxa"/>
            <w:gridSpan w:val="2"/>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1227"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7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6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326" w:type="dxa"/>
            <w:tcBorders/>
            <w:shd w:fill="auto" w:val="clear"/>
            <w:vAlign w:val="center"/>
          </w:tcPr>
          <w:p>
            <w:pPr>
              <w:pStyle w:val="TableContents"/>
              <w:spacing w:before="0" w:after="1"/>
              <w:ind w:left="0" w:right="0" w:hanging="0"/>
              <w:jc w:val="center"/>
              <w:rPr/>
            </w:pPr>
            <w:r>
              <w:rPr/>
              <w:t>​</w:t>
            </w:r>
          </w:p>
        </w:tc>
        <w:tc>
          <w:tcPr>
            <w:tcW w:w="1007"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326" w:type="dxa"/>
            <w:tcBorders/>
            <w:shd w:fill="auto" w:val="clear"/>
            <w:vAlign w:val="center"/>
          </w:tcPr>
          <w:p>
            <w:pPr>
              <w:pStyle w:val="TableContents"/>
              <w:spacing w:before="0" w:after="1"/>
              <w:ind w:left="0" w:right="0" w:hanging="0"/>
              <w:jc w:val="center"/>
              <w:rPr/>
            </w:pPr>
            <w:r>
              <w:rPr/>
              <w:t>​</w:t>
            </w:r>
          </w:p>
        </w:tc>
        <w:tc>
          <w:tcPr>
            <w:tcW w:w="115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shd w:fill="auto" w:val="clear"/>
            <w:vAlign w:val="center"/>
          </w:tcPr>
          <w:p>
            <w:pPr>
              <w:pStyle w:val="TableContents"/>
              <w:spacing w:before="0" w:after="1"/>
              <w:ind w:left="0" w:right="0" w:hanging="0"/>
              <w:jc w:val="center"/>
              <w:rPr/>
            </w:pPr>
            <w:r>
              <w:rPr/>
              <w:t>​</w:t>
            </w:r>
          </w:p>
        </w:tc>
        <w:tc>
          <w:tcPr>
            <w:tcW w:w="1227"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37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shd w:fill="auto" w:val="clear"/>
            <w:vAlign w:val="center"/>
          </w:tcPr>
          <w:p>
            <w:pPr>
              <w:pStyle w:val="TableContents"/>
              <w:spacing w:before="0" w:after="1"/>
              <w:ind w:left="0" w:right="0" w:hanging="0"/>
              <w:jc w:val="center"/>
              <w:rPr/>
            </w:pPr>
            <w:r>
              <w:rPr/>
              <w:t>    </w:t>
            </w:r>
          </w:p>
        </w:tc>
        <w:tc>
          <w:tcPr>
            <w:tcW w:w="7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326" w:type="dxa"/>
            <w:tcBorders/>
            <w:shd w:fill="auto" w:val="clear"/>
            <w:vAlign w:val="center"/>
          </w:tcPr>
          <w:p>
            <w:pPr>
              <w:pStyle w:val="TableContents"/>
              <w:spacing w:before="0" w:after="1"/>
              <w:ind w:left="0" w:right="0" w:hanging="0"/>
              <w:jc w:val="center"/>
              <w:rPr/>
            </w:pPr>
            <w:r>
              <w:rPr/>
              <w:t>    </w:t>
            </w:r>
          </w:p>
        </w:tc>
        <w:tc>
          <w:tcPr>
            <w:tcW w:w="115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Deficit</w:t>
            </w:r>
          </w:p>
        </w:tc>
        <w:tc>
          <w:tcPr>
            <w:tcW w:w="326" w:type="dxa"/>
            <w:tcBorders/>
            <w:shd w:fill="auto" w:val="clear"/>
            <w:vAlign w:val="center"/>
          </w:tcPr>
          <w:p>
            <w:pPr>
              <w:pStyle w:val="TableContents"/>
              <w:spacing w:before="0" w:after="1"/>
              <w:ind w:left="0" w:right="0" w:hanging="0"/>
              <w:jc w:val="center"/>
              <w:rPr/>
            </w:pPr>
            <w:r>
              <w:rPr/>
              <w:t>    </w:t>
            </w:r>
          </w:p>
        </w:tc>
        <w:tc>
          <w:tcPr>
            <w:tcW w:w="122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Equity </w:t>
            </w:r>
          </w:p>
        </w:tc>
      </w:tr>
      <w:tr>
        <w:trPr/>
        <w:tc>
          <w:tcPr>
            <w:tcW w:w="3743"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Balance at December 31, 2020</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19,114</w:t>
            </w:r>
          </w:p>
        </w:tc>
        <w:tc>
          <w:tcPr>
            <w:tcW w:w="326" w:type="dxa"/>
            <w:tcBorders/>
            <w:shd w:fill="CCEEFF" w:val="clear"/>
            <w:vAlign w:val="center"/>
          </w:tcPr>
          <w:p>
            <w:pPr>
              <w:pStyle w:val="TableContents"/>
              <w:spacing w:before="0" w:after="1"/>
              <w:ind w:left="0" w:right="0" w:hanging="0"/>
              <w:rPr/>
            </w:pPr>
            <w:r>
              <w:rPr/>
              <w:t>​</w:t>
            </w:r>
          </w:p>
        </w:tc>
        <w:tc>
          <w:tcPr>
            <w:tcW w:w="250"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302,842</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(277,540)</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8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25,493</w:t>
            </w:r>
          </w:p>
        </w:tc>
      </w:tr>
      <w:tr>
        <w:trPr/>
        <w:tc>
          <w:tcPr>
            <w:tcW w:w="3743"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1,076</w:t>
            </w:r>
          </w:p>
        </w:tc>
        <w:tc>
          <w:tcPr>
            <w:tcW w:w="326" w:type="dxa"/>
            <w:tcBorders/>
            <w:shd w:fill="auto" w:val="clear"/>
            <w:vAlign w:val="center"/>
          </w:tcPr>
          <w:p>
            <w:pPr>
              <w:pStyle w:val="TableContents"/>
              <w:spacing w:before="0" w:after="1"/>
              <w:ind w:left="0" w:right="0" w:hanging="0"/>
              <w:rPr/>
            </w:pPr>
            <w:r>
              <w:rPr/>
              <w:t>​</w:t>
            </w:r>
          </w:p>
        </w:tc>
        <w:tc>
          <w:tcPr>
            <w:tcW w:w="250" w:type="dxa"/>
            <w:tcBorders/>
            <w:shd w:fill="auto" w:val="clear"/>
            <w:vAlign w:val="center"/>
          </w:tcPr>
          <w:p>
            <w:pPr>
              <w:pStyle w:val="TableContents"/>
              <w:spacing w:before="0" w:after="1"/>
              <w:ind w:left="0" w:right="0" w:hanging="0"/>
              <w:rPr/>
            </w:pPr>
            <w:r>
              <w:rPr/>
              <w:t> </w:t>
            </w:r>
          </w:p>
        </w:tc>
        <w:tc>
          <w:tcPr>
            <w:tcW w:w="5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1,581</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 </w:t>
            </w:r>
          </w:p>
        </w:tc>
        <w:tc>
          <w:tcPr>
            <w:tcW w:w="9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1,592</w:t>
            </w:r>
          </w:p>
        </w:tc>
      </w:tr>
      <w:tr>
        <w:trPr/>
        <w:tc>
          <w:tcPr>
            <w:tcW w:w="3743"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Issuance of common stock, net of issuance costs of $401</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5,566</w:t>
            </w:r>
          </w:p>
        </w:tc>
        <w:tc>
          <w:tcPr>
            <w:tcW w:w="326" w:type="dxa"/>
            <w:tcBorders/>
            <w:shd w:fill="CCEEFF" w:val="clear"/>
            <w:vAlign w:val="center"/>
          </w:tcPr>
          <w:p>
            <w:pPr>
              <w:pStyle w:val="TableContents"/>
              <w:spacing w:before="0" w:after="1"/>
              <w:ind w:left="0" w:right="0" w:hanging="0"/>
              <w:rPr/>
            </w:pPr>
            <w:r>
              <w:rPr/>
              <w:t>​</w:t>
            </w:r>
          </w:p>
        </w:tc>
        <w:tc>
          <w:tcPr>
            <w:tcW w:w="250" w:type="dxa"/>
            <w:tcBorders/>
            <w:shd w:fill="CCEEFF" w:val="clear"/>
            <w:vAlign w:val="center"/>
          </w:tcPr>
          <w:p>
            <w:pPr>
              <w:pStyle w:val="TableContents"/>
              <w:spacing w:before="0" w:after="1"/>
              <w:ind w:left="0" w:right="0" w:hanging="0"/>
              <w:rPr/>
            </w:pPr>
            <w:r>
              <w:rPr/>
              <w:t>​</w:t>
            </w:r>
          </w:p>
        </w:tc>
        <w:tc>
          <w:tcPr>
            <w:tcW w:w="5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80,515</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w:t>
            </w:r>
          </w:p>
        </w:tc>
        <w:tc>
          <w:tcPr>
            <w:tcW w:w="9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pPr>
            <w:r>
              <w:rPr/>
              <w:t>​</w:t>
            </w:r>
          </w:p>
        </w:tc>
        <w:tc>
          <w:tcPr>
            <w:tcW w:w="98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80,571</w:t>
            </w:r>
          </w:p>
        </w:tc>
      </w:tr>
      <w:tr>
        <w:trPr/>
        <w:tc>
          <w:tcPr>
            <w:tcW w:w="3743"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0" w:type="dxa"/>
            <w:tcBorders/>
            <w:shd w:fill="auto" w:val="clear"/>
            <w:vAlign w:val="center"/>
          </w:tcPr>
          <w:p>
            <w:pPr>
              <w:pStyle w:val="TableContents"/>
              <w:spacing w:before="0" w:after="1"/>
              <w:ind w:left="0" w:right="0" w:hanging="0"/>
              <w:rPr/>
            </w:pPr>
            <w:r>
              <w:rPr/>
              <w:t> </w:t>
            </w:r>
          </w:p>
        </w:tc>
        <w:tc>
          <w:tcPr>
            <w:tcW w:w="5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2,196</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 </w:t>
            </w:r>
          </w:p>
        </w:tc>
        <w:tc>
          <w:tcPr>
            <w:tcW w:w="9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2,196</w:t>
            </w:r>
          </w:p>
        </w:tc>
      </w:tr>
      <w:tr>
        <w:trPr/>
        <w:tc>
          <w:tcPr>
            <w:tcW w:w="3743"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0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(7,881)</w:t>
            </w:r>
          </w:p>
        </w:tc>
        <w:tc>
          <w:tcPr>
            <w:tcW w:w="326" w:type="dxa"/>
            <w:tcBorders/>
            <w:shd w:fill="CCEEFF" w:val="clear"/>
            <w:vAlign w:val="center"/>
          </w:tcPr>
          <w:p>
            <w:pPr>
              <w:pStyle w:val="TableContents"/>
              <w:spacing w:before="0" w:after="1"/>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(7,881)</w:t>
            </w:r>
          </w:p>
        </w:tc>
      </w:tr>
      <w:tr>
        <w:trPr/>
        <w:tc>
          <w:tcPr>
            <w:tcW w:w="3743"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Balance at March 31, 2021</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25,756</w:t>
            </w:r>
          </w:p>
        </w:tc>
        <w:tc>
          <w:tcPr>
            <w:tcW w:w="326" w:type="dxa"/>
            <w:tcBorders/>
            <w:shd w:fill="auto" w:val="clear"/>
            <w:vAlign w:val="center"/>
          </w:tcPr>
          <w:p>
            <w:pPr>
              <w:pStyle w:val="TableContents"/>
              <w:spacing w:before="0" w:after="1"/>
              <w:ind w:left="0" w:right="0" w:hanging="0"/>
              <w:rPr/>
            </w:pPr>
            <w:r>
              <w:rPr/>
              <w:t>​</w:t>
            </w:r>
          </w:p>
        </w:tc>
        <w:tc>
          <w:tcPr>
            <w:tcW w:w="250"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387,134</w:t>
            </w:r>
          </w:p>
        </w:tc>
        <w:tc>
          <w:tcPr>
            <w:tcW w:w="326" w:type="dxa"/>
            <w:tcBorders/>
            <w:shd w:fill="auto" w:val="clear"/>
            <w:vAlign w:val="center"/>
          </w:tcPr>
          <w:p>
            <w:pPr>
              <w:pStyle w:val="TableContents"/>
              <w:spacing w:before="0" w:after="1"/>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(285,421)</w:t>
            </w:r>
          </w:p>
        </w:tc>
        <w:tc>
          <w:tcPr>
            <w:tcW w:w="326" w:type="dxa"/>
            <w:tcBorders/>
            <w:shd w:fill="auto" w:val="clear"/>
            <w:vAlign w:val="center"/>
          </w:tcPr>
          <w:p>
            <w:pPr>
              <w:pStyle w:val="TableContents"/>
              <w:spacing w:before="0" w:after="1"/>
              <w:ind w:left="0" w:right="0" w:hanging="0"/>
              <w:rPr/>
            </w:pPr>
            <w:r>
              <w:rPr/>
              <w:t>​</w:t>
            </w:r>
          </w:p>
        </w:tc>
        <w:tc>
          <w:tcPr>
            <w:tcW w:w="244"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8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101,971</w:t>
            </w:r>
          </w:p>
        </w:tc>
      </w:tr>
      <w:tr>
        <w:trPr/>
        <w:tc>
          <w:tcPr>
            <w:tcW w:w="374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0" w:type="dxa"/>
            <w:tcBorders/>
            <w:shd w:fill="CCEEFF" w:val="clear"/>
            <w:vAlign w:val="center"/>
          </w:tcPr>
          <w:p>
            <w:pPr>
              <w:pStyle w:val="TableContents"/>
              <w:spacing w:before="0" w:after="1"/>
              <w:ind w:left="0" w:right="0" w:hanging="0"/>
              <w:rPr/>
            </w:pPr>
            <w:r>
              <w:rPr/>
              <w:t>​</w:t>
            </w:r>
          </w:p>
        </w:tc>
        <w:tc>
          <w:tcPr>
            <w:tcW w:w="5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w:t>
            </w:r>
          </w:p>
        </w:tc>
        <w:tc>
          <w:tcPr>
            <w:tcW w:w="9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pPr>
            <w:r>
              <w:rPr/>
              <w:t>​</w:t>
            </w:r>
          </w:p>
        </w:tc>
        <w:tc>
          <w:tcPr>
            <w:tcW w:w="983" w:type="dxa"/>
            <w:tcBorders/>
            <w:shd w:fill="CCEEFF" w:val="clear"/>
            <w:vAlign w:val="center"/>
          </w:tcPr>
          <w:p>
            <w:pPr>
              <w:pStyle w:val="TableContents"/>
              <w:spacing w:before="0" w:after="1"/>
              <w:ind w:left="0" w:right="0" w:hanging="0"/>
              <w:jc w:val="right"/>
              <w:rPr/>
            </w:pPr>
            <w:r>
              <w:rPr/>
              <w:t>​</w:t>
            </w:r>
          </w:p>
        </w:tc>
      </w:tr>
      <w:tr>
        <w:trPr/>
        <w:tc>
          <w:tcPr>
            <w:tcW w:w="3743"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Balance at December 31, 2021</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26,395</w:t>
            </w:r>
          </w:p>
        </w:tc>
        <w:tc>
          <w:tcPr>
            <w:tcW w:w="326" w:type="dxa"/>
            <w:tcBorders/>
            <w:shd w:fill="auto" w:val="clear"/>
            <w:vAlign w:val="center"/>
          </w:tcPr>
          <w:p>
            <w:pPr>
              <w:pStyle w:val="TableContents"/>
              <w:spacing w:before="0" w:after="1"/>
              <w:ind w:left="0" w:right="0" w:hanging="0"/>
              <w:rPr/>
            </w:pPr>
            <w:r>
              <w:rPr/>
              <w:t>​</w:t>
            </w:r>
          </w:p>
        </w:tc>
        <w:tc>
          <w:tcPr>
            <w:tcW w:w="250"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393,644</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2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(308,733)</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8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85,175</w:t>
            </w:r>
          </w:p>
        </w:tc>
      </w:tr>
      <w:tr>
        <w:trPr/>
        <w:tc>
          <w:tcPr>
            <w:tcW w:w="3743"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322</w:t>
            </w:r>
          </w:p>
        </w:tc>
        <w:tc>
          <w:tcPr>
            <w:tcW w:w="326" w:type="dxa"/>
            <w:tcBorders/>
            <w:shd w:fill="CCEEFF" w:val="clear"/>
            <w:vAlign w:val="center"/>
          </w:tcPr>
          <w:p>
            <w:pPr>
              <w:pStyle w:val="TableContents"/>
              <w:spacing w:before="0" w:after="1"/>
              <w:ind w:left="0" w:right="0" w:hanging="0"/>
              <w:rPr/>
            </w:pPr>
            <w:r>
              <w:rPr/>
              <w:t>​</w:t>
            </w:r>
          </w:p>
        </w:tc>
        <w:tc>
          <w:tcPr>
            <w:tcW w:w="250" w:type="dxa"/>
            <w:tcBorders/>
            <w:shd w:fill="CCEEFF" w:val="clear"/>
            <w:vAlign w:val="center"/>
          </w:tcPr>
          <w:p>
            <w:pPr>
              <w:pStyle w:val="TableContents"/>
              <w:spacing w:before="0" w:after="1"/>
              <w:ind w:left="0" w:right="0" w:hanging="0"/>
              <w:rPr/>
            </w:pPr>
            <w:r>
              <w:rPr/>
              <w:t> </w:t>
            </w:r>
          </w:p>
        </w:tc>
        <w:tc>
          <w:tcPr>
            <w:tcW w:w="5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 </w:t>
            </w:r>
          </w:p>
        </w:tc>
        <w:tc>
          <w:tcPr>
            <w:tcW w:w="9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pPr>
            <w:r>
              <w:rPr/>
              <w:t> </w:t>
            </w:r>
          </w:p>
        </w:tc>
        <w:tc>
          <w:tcPr>
            <w:tcW w:w="98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w:t>
            </w:r>
          </w:p>
        </w:tc>
      </w:tr>
      <w:tr>
        <w:trPr/>
        <w:tc>
          <w:tcPr>
            <w:tcW w:w="3743"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0" w:type="dxa"/>
            <w:tcBorders/>
            <w:shd w:fill="auto" w:val="clear"/>
            <w:vAlign w:val="center"/>
          </w:tcPr>
          <w:p>
            <w:pPr>
              <w:pStyle w:val="TableContents"/>
              <w:spacing w:before="0" w:after="1"/>
              <w:ind w:left="0" w:right="0" w:hanging="0"/>
              <w:rPr/>
            </w:pPr>
            <w:r>
              <w:rPr/>
              <w:t> </w:t>
            </w:r>
          </w:p>
        </w:tc>
        <w:tc>
          <w:tcPr>
            <w:tcW w:w="5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2,252</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 </w:t>
            </w:r>
          </w:p>
        </w:tc>
        <w:tc>
          <w:tcPr>
            <w:tcW w:w="9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 </w:t>
            </w:r>
          </w:p>
        </w:tc>
        <w:tc>
          <w:tcPr>
            <w:tcW w:w="98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2,252</w:t>
            </w:r>
          </w:p>
        </w:tc>
      </w:tr>
      <w:tr>
        <w:trPr/>
        <w:tc>
          <w:tcPr>
            <w:tcW w:w="3743"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0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shd w:fill="CCEEFF" w:val="clear"/>
            <w:vAlign w:val="center"/>
          </w:tcPr>
          <w:p>
            <w:pPr>
              <w:pStyle w:val="TableContents"/>
              <w:spacing w:before="0" w:after="1"/>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8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(10,838)</w:t>
            </w:r>
          </w:p>
        </w:tc>
      </w:tr>
      <w:tr>
        <w:trPr/>
        <w:tc>
          <w:tcPr>
            <w:tcW w:w="3743"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Balance at March 31, 2022</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26,717</w:t>
            </w:r>
          </w:p>
        </w:tc>
        <w:tc>
          <w:tcPr>
            <w:tcW w:w="326" w:type="dxa"/>
            <w:tcBorders/>
            <w:shd w:fill="auto" w:val="clear"/>
            <w:vAlign w:val="center"/>
          </w:tcPr>
          <w:p>
            <w:pPr>
              <w:pStyle w:val="TableContents"/>
              <w:spacing w:before="0" w:after="1"/>
              <w:ind w:left="0" w:right="0" w:hanging="0"/>
              <w:rPr/>
            </w:pPr>
            <w:r>
              <w:rPr/>
              <w:t>​</w:t>
            </w:r>
          </w:p>
        </w:tc>
        <w:tc>
          <w:tcPr>
            <w:tcW w:w="250"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395,902</w:t>
            </w:r>
          </w:p>
        </w:tc>
        <w:tc>
          <w:tcPr>
            <w:tcW w:w="326" w:type="dxa"/>
            <w:tcBorders/>
            <w:shd w:fill="auto" w:val="clear"/>
            <w:vAlign w:val="center"/>
          </w:tcPr>
          <w:p>
            <w:pPr>
              <w:pStyle w:val="TableContents"/>
              <w:spacing w:before="0" w:after="1"/>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(319,571)</w:t>
            </w:r>
          </w:p>
        </w:tc>
        <w:tc>
          <w:tcPr>
            <w:tcW w:w="326" w:type="dxa"/>
            <w:tcBorders/>
            <w:shd w:fill="auto" w:val="clear"/>
            <w:vAlign w:val="center"/>
          </w:tcPr>
          <w:p>
            <w:pPr>
              <w:pStyle w:val="TableContents"/>
              <w:spacing w:before="0" w:after="1"/>
              <w:ind w:left="0" w:right="0" w:hanging="0"/>
              <w:rPr/>
            </w:pPr>
            <w:r>
              <w:rPr/>
              <w:t>​</w:t>
            </w:r>
          </w:p>
        </w:tc>
        <w:tc>
          <w:tcPr>
            <w:tcW w:w="244"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83"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76,598</w:t>
            </w:r>
          </w:p>
        </w:tc>
      </w:tr>
    </w:tbl>
    <w:p>
      <w:pPr>
        <w:pStyle w:val="TextBody"/>
        <w:spacing w:before="0" w:after="200"/>
        <w:ind w:left="0" w:right="0" w:hanging="0"/>
        <w:rPr/>
      </w:pPr>
      <w:r>
        <w:rPr/>
        <w:t>​</w:t>
      </w:r>
    </w:p>
    <w:p>
      <w:pPr>
        <w:pStyle w:val="TextBody"/>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spacing w:before="0" w:after="6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20"/>
        </w:rPr>
      </w:pPr>
      <w:bookmarkStart w:id="329" w:name="_dc5279a4_129c_4942_bd93_f2b5bf8736d6"/>
      <w:bookmarkEnd w:id="329"/>
      <w:r>
        <w:rPr>
          <w:rFonts w:ascii="Arial;Helvetica;sans-serif" w:hAnsi="Arial;Helvetica;sans-serif"/>
          <w:b/>
          <w:sz w:val="20"/>
        </w:rPr>
        <w:t>NEURONETICS, INC.</w:t>
      </w:r>
    </w:p>
    <w:p>
      <w:pPr>
        <w:pStyle w:val="TextBody"/>
        <w:spacing w:before="0" w:after="0"/>
        <w:ind w:left="0" w:right="0" w:hanging="0"/>
        <w:jc w:val="center"/>
        <w:rPr>
          <w:rFonts w:ascii="Arial;Helvetica;sans-serif" w:hAnsi="Arial;Helvetica;sans-serif"/>
          <w:b/>
          <w:sz w:val="20"/>
        </w:rPr>
      </w:pPr>
      <w:bookmarkStart w:id="330" w:name="StatementsofCashFlows_296622"/>
      <w:bookmarkEnd w:id="330"/>
      <w:r>
        <w:rPr>
          <w:rFonts w:ascii="Arial;Helvetica;sans-serif" w:hAnsi="Arial;Helvetica;sans-serif"/>
          <w:b/>
          <w:sz w:val="20"/>
        </w:rPr>
        <w:t>Statements of Cash Flows</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TextBody"/>
        <w:spacing w:before="0" w:after="200"/>
        <w:ind w:left="0" w:right="0" w:hanging="0"/>
        <w:rPr/>
      </w:pPr>
      <w:r>
        <w:rPr/>
        <w:t>​</w:t>
      </w:r>
    </w:p>
    <w:p>
      <w:pPr>
        <w:pStyle w:val="Normal"/>
        <w:spacing w:before="0" w:after="0"/>
        <w:rPr>
          <w:sz w:val="4"/>
          <w:szCs w:val="4"/>
        </w:rPr>
      </w:pPr>
      <w:r>
        <w:rPr>
          <w:sz w:val="4"/>
          <w:szCs w:val="4"/>
        </w:rPr>
      </w:r>
      <w:bookmarkStart w:id="331" w:name="Tc_WNnBCmhqo02z7T7Vz_obTA_38_5"/>
      <w:bookmarkStart w:id="332" w:name="Tc_xXqHyHO5SE-k_Bz9maiTeQ_38_2"/>
      <w:bookmarkStart w:id="333" w:name="Tc_t3_Rvp-X2k6snE7Yv2OO_g_38_0"/>
      <w:bookmarkStart w:id="334" w:name="Tc_ehgqs2EdPUqZGf0yLncQaQ_37_0"/>
      <w:bookmarkStart w:id="335" w:name="Tc_ENarS3qYCkSNrmBUCDSuwQ_36_6"/>
      <w:bookmarkStart w:id="336" w:name="Tc_0lf6f-BuFUKueL7rmCZ9SA_36_0"/>
      <w:bookmarkStart w:id="337" w:name="Tc_xca6SFMplEWFO7IgXHnFwA_35_5"/>
      <w:bookmarkStart w:id="338" w:name="Tc_a-W6gkqbXk6tQ14ulndyQQ_35_2"/>
      <w:bookmarkStart w:id="339" w:name="Tc_j2S1eBbmcU-CPUphAADu_Q_35_0"/>
      <w:bookmarkStart w:id="340" w:name="Tc_HpLfYB2HZ0uZXFuLXr8i6A_34_0"/>
      <w:bookmarkStart w:id="341" w:name="Tc_jaBqoUewekmSAle_c8jwQg_33_5"/>
      <w:bookmarkStart w:id="342" w:name="Tc_3DTNrzPKEEih4kL6Nyta7Q_33_2"/>
      <w:bookmarkStart w:id="343" w:name="Tc_kRB2voX1m02OM8qxw-5nuA_33_0"/>
      <w:bookmarkStart w:id="344" w:name="Tc_yyr6Q2OVR0OgS_iX86AyRg_32_0"/>
      <w:bookmarkStart w:id="345" w:name="Tc_cIIShZH0F0m4KPjoHFJHyA_31_0"/>
      <w:bookmarkStart w:id="346" w:name="Tc_O_aExPAi1EygrCIkfsU7wg_30_0"/>
      <w:bookmarkStart w:id="347" w:name="Tc_DcSjQlcCg0uiFnJksW8HPw_29_3"/>
      <w:bookmarkStart w:id="348" w:name="Tc_y3m-K19e4EmRQ5LaX4ZEqg_29_0"/>
      <w:bookmarkStart w:id="349" w:name="Tc_rUtvN0PekUWF8ywrJAx3_Q_28_3"/>
      <w:bookmarkStart w:id="350" w:name="Tc_4pC4pvV1HE-0wIjjtZjuiA_28_0"/>
      <w:bookmarkStart w:id="351" w:name="Tc_EjW-Ugavvk-d15ZY9hNDjA_27_0"/>
      <w:bookmarkStart w:id="352" w:name="Tc_vni0uqZzXE6U6tfMQwUk_A_26_6"/>
      <w:bookmarkStart w:id="353" w:name="Tc_OkPWR3CgmEaPu1RsNMnRJg_26_0"/>
      <w:bookmarkStart w:id="354" w:name="Tc_zJ0n1gRf9UC2PFK1wYB1gQ_25_0"/>
      <w:bookmarkStart w:id="355" w:name="Tc_BbED_ZA6Jk2WRMjBumdO8Q_23_0"/>
      <w:bookmarkStart w:id="356" w:name="Tc_ivsi3Z1dG0ykSPwHcCMhaQ_22_0"/>
      <w:bookmarkStart w:id="357" w:name="Tc_n8ZVzuyN9Uq56HiVba0-nQ_21_0"/>
      <w:bookmarkStart w:id="358" w:name="Tc_4QWiGJREu0KEKA0CWsUQAA_19_0"/>
      <w:bookmarkStart w:id="359" w:name="Tc_SYW3GfOcvkGmsNws2i3EFQ_18_0"/>
      <w:bookmarkStart w:id="360" w:name="Tc_QF6eaI8CI0SJyvSO4s0E3w_17_0"/>
      <w:bookmarkStart w:id="361" w:name="Tc_pZTNdg9xQ0uxEwP_y6JfQg_16_0"/>
      <w:bookmarkStart w:id="362" w:name="Tc_C32QfIsceEG-VA-FL7jBjw_15_0"/>
      <w:bookmarkStart w:id="363" w:name="Tc_q2Iv2bCW8kiLuXxaio7wlw_14_0"/>
      <w:bookmarkStart w:id="364" w:name="Tc_sgLjTWf3yEyd85sIDnOc6g_13_0"/>
      <w:bookmarkStart w:id="365" w:name="Tc_a6EGIl8Yk0Kan33gJsNpGA_12_0"/>
      <w:bookmarkStart w:id="366" w:name="Tc_HwNiDN16PEa43AnHI1Miug_11_0"/>
      <w:bookmarkStart w:id="367" w:name="Tc_BZdZProE_ECWw9ll2DnYYQ_10_0"/>
      <w:bookmarkStart w:id="368" w:name="Tc_H8eeM3EKKUe80zxE_rNk1A_9_3"/>
      <w:bookmarkStart w:id="369" w:name="Tc_T9dtBGA50kau-07eR-v1HA_9_0"/>
      <w:bookmarkStart w:id="370" w:name="Tc_VXQO76JVS0e5cS0NSXhcsg_8_0"/>
      <w:bookmarkStart w:id="371" w:name="Tc_N82f2pqrHU2sV95rf306QQ_7_0"/>
      <w:bookmarkStart w:id="372" w:name="Tc_zrCFvj5L1UWCnDA2ktl-OA_6_0"/>
      <w:bookmarkStart w:id="373" w:name="Tc_zFkUA_7lg0iIpw3kvdi7Qw_5_0"/>
      <w:bookmarkStart w:id="374" w:name="Tc_a9xCHdh0o0KnVbTLFmUKZg_4_5"/>
      <w:bookmarkStart w:id="375" w:name="Tc_Tu64J-4GwEG2jhSW_3K3nQ_4_2"/>
      <w:bookmarkStart w:id="376" w:name="Tc_8K4IW90ox0aoXBzuM-vC9w_4_0"/>
      <w:bookmarkStart w:id="377" w:name="Tc_16-HdP08jUq1mcQ1MvJVmA_3_0"/>
      <w:bookmarkStart w:id="378" w:name="Tc_ecqpAce2ZkSnTBntuX0nhA_2_5"/>
      <w:bookmarkStart w:id="379" w:name="Tc_aBuwmZZRx0-MSvOmgPnzzA_2_2"/>
      <w:bookmarkStart w:id="380" w:name="Tc_SE_NyVD2dEu5V--sUt8kTQ_1_2"/>
      <w:bookmarkStart w:id="381" w:name="_032d9c36_9d38_4e9d_988d_c2927b8070f6"/>
      <w:bookmarkStart w:id="382" w:name="Tc_WNnBCmhqo02z7T7Vz_obTA_38_5"/>
      <w:bookmarkStart w:id="383" w:name="Tc_xXqHyHO5SE-k_Bz9maiTeQ_38_2"/>
      <w:bookmarkStart w:id="384" w:name="Tc_t3_Rvp-X2k6snE7Yv2OO_g_38_0"/>
      <w:bookmarkStart w:id="385" w:name="Tc_ehgqs2EdPUqZGf0yLncQaQ_37_0"/>
      <w:bookmarkStart w:id="386" w:name="Tc_ENarS3qYCkSNrmBUCDSuwQ_36_6"/>
      <w:bookmarkStart w:id="387" w:name="Tc_0lf6f-BuFUKueL7rmCZ9SA_36_0"/>
      <w:bookmarkStart w:id="388" w:name="Tc_xca6SFMplEWFO7IgXHnFwA_35_5"/>
      <w:bookmarkStart w:id="389" w:name="Tc_a-W6gkqbXk6tQ14ulndyQQ_35_2"/>
      <w:bookmarkStart w:id="390" w:name="Tc_j2S1eBbmcU-CPUphAADu_Q_35_0"/>
      <w:bookmarkStart w:id="391" w:name="Tc_HpLfYB2HZ0uZXFuLXr8i6A_34_0"/>
      <w:bookmarkStart w:id="392" w:name="Tc_jaBqoUewekmSAle_c8jwQg_33_5"/>
      <w:bookmarkStart w:id="393" w:name="Tc_3DTNrzPKEEih4kL6Nyta7Q_33_2"/>
      <w:bookmarkStart w:id="394" w:name="Tc_kRB2voX1m02OM8qxw-5nuA_33_0"/>
      <w:bookmarkStart w:id="395" w:name="Tc_yyr6Q2OVR0OgS_iX86AyRg_32_0"/>
      <w:bookmarkStart w:id="396" w:name="Tc_cIIShZH0F0m4KPjoHFJHyA_31_0"/>
      <w:bookmarkStart w:id="397" w:name="Tc_O_aExPAi1EygrCIkfsU7wg_30_0"/>
      <w:bookmarkStart w:id="398" w:name="Tc_DcSjQlcCg0uiFnJksW8HPw_29_3"/>
      <w:bookmarkStart w:id="399" w:name="Tc_y3m-K19e4EmRQ5LaX4ZEqg_29_0"/>
      <w:bookmarkStart w:id="400" w:name="Tc_rUtvN0PekUWF8ywrJAx3_Q_28_3"/>
      <w:bookmarkStart w:id="401" w:name="Tc_4pC4pvV1HE-0wIjjtZjuiA_28_0"/>
      <w:bookmarkStart w:id="402" w:name="Tc_EjW-Ugavvk-d15ZY9hNDjA_27_0"/>
      <w:bookmarkStart w:id="403" w:name="Tc_vni0uqZzXE6U6tfMQwUk_A_26_6"/>
      <w:bookmarkStart w:id="404" w:name="Tc_OkPWR3CgmEaPu1RsNMnRJg_26_0"/>
      <w:bookmarkStart w:id="405" w:name="Tc_zJ0n1gRf9UC2PFK1wYB1gQ_25_0"/>
      <w:bookmarkStart w:id="406" w:name="Tc_BbED_ZA6Jk2WRMjBumdO8Q_23_0"/>
      <w:bookmarkStart w:id="407" w:name="Tc_ivsi3Z1dG0ykSPwHcCMhaQ_22_0"/>
      <w:bookmarkStart w:id="408" w:name="Tc_n8ZVzuyN9Uq56HiVba0-nQ_21_0"/>
      <w:bookmarkStart w:id="409" w:name="Tc_4QWiGJREu0KEKA0CWsUQAA_19_0"/>
      <w:bookmarkStart w:id="410" w:name="Tc_SYW3GfOcvkGmsNws2i3EFQ_18_0"/>
      <w:bookmarkStart w:id="411" w:name="Tc_QF6eaI8CI0SJyvSO4s0E3w_17_0"/>
      <w:bookmarkStart w:id="412" w:name="Tc_pZTNdg9xQ0uxEwP_y6JfQg_16_0"/>
      <w:bookmarkStart w:id="413" w:name="Tc_C32QfIsceEG-VA-FL7jBjw_15_0"/>
      <w:bookmarkStart w:id="414" w:name="Tc_q2Iv2bCW8kiLuXxaio7wlw_14_0"/>
      <w:bookmarkStart w:id="415" w:name="Tc_sgLjTWf3yEyd85sIDnOc6g_13_0"/>
      <w:bookmarkStart w:id="416" w:name="Tc_a6EGIl8Yk0Kan33gJsNpGA_12_0"/>
      <w:bookmarkStart w:id="417" w:name="Tc_HwNiDN16PEa43AnHI1Miug_11_0"/>
      <w:bookmarkStart w:id="418" w:name="Tc_BZdZProE_ECWw9ll2DnYYQ_10_0"/>
      <w:bookmarkStart w:id="419" w:name="Tc_H8eeM3EKKUe80zxE_rNk1A_9_3"/>
      <w:bookmarkStart w:id="420" w:name="Tc_T9dtBGA50kau-07eR-v1HA_9_0"/>
      <w:bookmarkStart w:id="421" w:name="Tc_VXQO76JVS0e5cS0NSXhcsg_8_0"/>
      <w:bookmarkStart w:id="422" w:name="Tc_N82f2pqrHU2sV95rf306QQ_7_0"/>
      <w:bookmarkStart w:id="423" w:name="Tc_zrCFvj5L1UWCnDA2ktl-OA_6_0"/>
      <w:bookmarkStart w:id="424" w:name="Tc_zFkUA_7lg0iIpw3kvdi7Qw_5_0"/>
      <w:bookmarkStart w:id="425" w:name="Tc_a9xCHdh0o0KnVbTLFmUKZg_4_5"/>
      <w:bookmarkStart w:id="426" w:name="Tc_Tu64J-4GwEG2jhSW_3K3nQ_4_2"/>
      <w:bookmarkStart w:id="427" w:name="Tc_8K4IW90ox0aoXBzuM-vC9w_4_0"/>
      <w:bookmarkStart w:id="428" w:name="Tc_16-HdP08jUq1mcQ1MvJVmA_3_0"/>
      <w:bookmarkStart w:id="429" w:name="Tc_ecqpAce2ZkSnTBntuX0nhA_2_5"/>
      <w:bookmarkStart w:id="430" w:name="Tc_aBuwmZZRx0-MSvOmgPnzzA_2_2"/>
      <w:bookmarkStart w:id="431" w:name="Tc_SE_NyVD2dEu5V--sUt8kTQ_1_2"/>
      <w:bookmarkStart w:id="432" w:name="_032d9c36_9d38_4e9d_988d_c2927b8070f6"/>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tbl>
      <w:tblPr>
        <w:tblW w:w="10205" w:type="dxa"/>
        <w:jc w:val="left"/>
        <w:tblInd w:w="0" w:type="dxa"/>
        <w:tblCellMar>
          <w:top w:w="0" w:type="dxa"/>
          <w:left w:w="0" w:type="dxa"/>
          <w:bottom w:w="0" w:type="dxa"/>
          <w:right w:w="0" w:type="dxa"/>
        </w:tblCellMar>
      </w:tblPr>
      <w:tblGrid>
        <w:gridCol w:w="7056"/>
        <w:gridCol w:w="326"/>
        <w:gridCol w:w="243"/>
        <w:gridCol w:w="904"/>
        <w:gridCol w:w="376"/>
        <w:gridCol w:w="243"/>
        <w:gridCol w:w="901"/>
        <w:gridCol w:w="156"/>
      </w:tblGrid>
      <w:tr>
        <w:trPr/>
        <w:tc>
          <w:tcPr>
            <w:tcW w:w="7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480560" cy="175260"/>
                      <wp:effectExtent l="0" t="0" r="0" b="0"/>
                      <wp:wrapNone/>
                      <wp:docPr id="36" name="Frame36"/>
                      <a:graphic xmlns:a="http://schemas.openxmlformats.org/drawingml/2006/main">
                        <a:graphicData uri="http://schemas.microsoft.com/office/word/2010/wordprocessingShape">
                          <wps:wsp>
                            <wps:cNvSpPr txBox="1"/>
                            <wps:spPr>
                              <a:xfrm>
                                <a:off x="0" y="0"/>
                                <a:ext cx="4480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54305" cy="175260"/>
                      <wp:effectExtent l="0" t="0" r="0" b="0"/>
                      <wp:wrapNone/>
                      <wp:docPr id="38" name="Frame38"/>
                      <a:graphic xmlns:a="http://schemas.openxmlformats.org/drawingml/2006/main">
                        <a:graphicData uri="http://schemas.microsoft.com/office/word/2010/wordprocessingShape">
                          <wps:wsp>
                            <wps:cNvSpPr txBox="1"/>
                            <wps:spPr>
                              <a:xfrm>
                                <a:off x="0" y="0"/>
                                <a:ext cx="154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74040" cy="175260"/>
                      <wp:effectExtent l="0" t="0" r="0" b="0"/>
                      <wp:wrapNone/>
                      <wp:docPr id="39" name="Frame39"/>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38760" cy="175260"/>
                      <wp:effectExtent l="0" t="0" r="0" b="0"/>
                      <wp:wrapNone/>
                      <wp:docPr id="40" name="Frame40"/>
                      <a:graphic xmlns:a="http://schemas.openxmlformats.org/drawingml/2006/main">
                        <a:graphicData uri="http://schemas.microsoft.com/office/word/2010/wordprocessingShape">
                          <wps:wsp>
                            <wps:cNvSpPr txBox="1"/>
                            <wps:spPr>
                              <a:xfrm>
                                <a:off x="0" y="0"/>
                                <a:ext cx="238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4305" cy="175260"/>
                      <wp:effectExtent l="0" t="0" r="0" b="0"/>
                      <wp:wrapNone/>
                      <wp:docPr id="41" name="Frame41"/>
                      <a:graphic xmlns:a="http://schemas.openxmlformats.org/drawingml/2006/main">
                        <a:graphicData uri="http://schemas.microsoft.com/office/word/2010/wordprocessingShape">
                          <wps:wsp>
                            <wps:cNvSpPr txBox="1"/>
                            <wps:spPr>
                              <a:xfrm>
                                <a:off x="0" y="0"/>
                                <a:ext cx="154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72135" cy="175260"/>
                      <wp:effectExtent l="0" t="0" r="0" b="0"/>
                      <wp:wrapNone/>
                      <wp:docPr id="42" name="Frame4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9060" cy="175260"/>
                      <wp:effectExtent l="0" t="0" r="0" b="0"/>
                      <wp:wrapNone/>
                      <wp:docPr id="43" name="Frame43"/>
                      <a:graphic xmlns:a="http://schemas.openxmlformats.org/drawingml/2006/main">
                        <a:graphicData uri="http://schemas.microsoft.com/office/word/2010/wordprocessingShape">
                          <wps:wsp>
                            <wps:cNvSpPr txBox="1"/>
                            <wps:spPr>
                              <a:xfrm>
                                <a:off x="0" y="0"/>
                                <a:ext cx="99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66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8"/>
              </w:rPr>
            </w:pPr>
            <w:r>
              <w:rPr>
                <w:rFonts w:ascii="Arial;Helvetica;sans-serif" w:hAnsi="Arial;Helvetica;sans-serif"/>
                <w:b/>
                <w:sz w:val="18"/>
              </w:rPr>
              <w:t>Three Months Ended March 31, </w:t>
            </w:r>
          </w:p>
        </w:tc>
        <w:tc>
          <w:tcPr>
            <w:tcW w:w="156" w:type="dxa"/>
            <w:tcBorders/>
            <w:shd w:fill="auto" w:val="clear"/>
            <w:vAlign w:val="center"/>
          </w:tcPr>
          <w:p>
            <w:pPr>
              <w:pStyle w:val="TableContents"/>
              <w:spacing w:before="0" w:after="1"/>
              <w:ind w:left="0" w:right="0" w:hanging="0"/>
              <w:jc w:val="center"/>
              <w:rPr/>
            </w:pPr>
            <w:r>
              <w:rPr/>
              <w:t>​</w:t>
            </w:r>
          </w:p>
        </w:tc>
      </w:tr>
      <w:tr>
        <w:trPr/>
        <w:tc>
          <w:tcPr>
            <w:tcW w:w="7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8"/>
              </w:rPr>
            </w:pPr>
            <w:r>
              <w:rPr>
                <w:rFonts w:ascii="Arial;Helvetica;sans-serif" w:hAnsi="Arial;Helvetica;sans-serif"/>
                <w:b/>
                <w:sz w:val="18"/>
              </w:rPr>
              <w:t>2022</w:t>
            </w:r>
          </w:p>
        </w:tc>
        <w:tc>
          <w:tcPr>
            <w:tcW w:w="376" w:type="dxa"/>
            <w:tcBorders/>
            <w:shd w:fill="auto" w:val="clear"/>
            <w:vAlign w:val="center"/>
          </w:tcPr>
          <w:p>
            <w:pPr>
              <w:pStyle w:val="TableContents"/>
              <w:spacing w:before="0" w:after="1"/>
              <w:ind w:left="0" w:right="0" w:hanging="0"/>
              <w:jc w:val="center"/>
              <w:rPr/>
            </w:pPr>
            <w:r>
              <w:rPr/>
              <w:t>​</w:t>
            </w:r>
          </w:p>
        </w:tc>
        <w:tc>
          <w:tcPr>
            <w:tcW w:w="114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8"/>
              </w:rPr>
            </w:pPr>
            <w:r>
              <w:rPr>
                <w:rFonts w:ascii="Arial;Helvetica;sans-serif" w:hAnsi="Arial;Helvetica;sans-serif"/>
                <w:b/>
                <w:sz w:val="18"/>
              </w:rPr>
              <w:t>2021</w:t>
            </w:r>
          </w:p>
        </w:tc>
        <w:tc>
          <w:tcPr>
            <w:tcW w:w="156" w:type="dxa"/>
            <w:tcBorders/>
            <w:shd w:fill="auto" w:val="clear"/>
            <w:vAlign w:val="center"/>
          </w:tcPr>
          <w:p>
            <w:pPr>
              <w:pStyle w:val="TableContents"/>
              <w:spacing w:before="0" w:after="1"/>
              <w:ind w:left="0" w:right="0" w:hanging="0"/>
              <w:jc w:val="center"/>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Cash Flows from Operating Activities:</w:t>
            </w:r>
          </w:p>
        </w:tc>
        <w:tc>
          <w:tcPr>
            <w:tcW w:w="326" w:type="dxa"/>
            <w:tcBorders/>
            <w:shd w:fill="CCEEFF" w:val="clear"/>
            <w:vAlign w:val="center"/>
          </w:tcPr>
          <w:p>
            <w:pPr>
              <w:pStyle w:val="TableContents"/>
              <w:spacing w:before="0" w:after="1"/>
              <w:ind w:left="0" w:right="0" w:hanging="0"/>
              <w:rPr/>
            </w:pPr>
            <w:r>
              <w:rPr/>
              <w:t>    </w:t>
            </w:r>
          </w:p>
        </w:tc>
        <w:tc>
          <w:tcPr>
            <w:tcW w:w="243" w:type="dxa"/>
            <w:tcBorders/>
            <w:shd w:fill="CCEEFF" w:val="clear"/>
            <w:vAlign w:val="center"/>
          </w:tcPr>
          <w:p>
            <w:pPr>
              <w:pStyle w:val="TableContents"/>
              <w:spacing w:before="0" w:after="1"/>
              <w:ind w:left="0" w:right="0" w:hanging="0"/>
              <w:rPr/>
            </w:pPr>
            <w:r>
              <w:rPr/>
              <w:t>​</w:t>
            </w:r>
          </w:p>
        </w:tc>
        <w:tc>
          <w:tcPr>
            <w:tcW w:w="904" w:type="dxa"/>
            <w:tcBorders/>
            <w:shd w:fill="CCEEFF" w:val="clear"/>
            <w:vAlign w:val="center"/>
          </w:tcPr>
          <w:p>
            <w:pPr>
              <w:pStyle w:val="TableContents"/>
              <w:spacing w:before="0" w:after="1"/>
              <w:ind w:left="0" w:right="0" w:hanging="0"/>
              <w:jc w:val="right"/>
              <w:rPr/>
            </w:pPr>
            <w:r>
              <w:rPr/>
              <w:t>  </w:t>
            </w:r>
          </w:p>
        </w:tc>
        <w:tc>
          <w:tcPr>
            <w:tcW w:w="376" w:type="dxa"/>
            <w:tcBorders/>
            <w:shd w:fill="CCEEFF" w:val="clear"/>
            <w:vAlign w:val="center"/>
          </w:tcPr>
          <w:p>
            <w:pPr>
              <w:pStyle w:val="TableContents"/>
              <w:spacing w:before="0" w:after="1"/>
              <w:ind w:left="0" w:right="0" w:hanging="0"/>
              <w:rPr/>
            </w:pPr>
            <w:r>
              <w:rPr/>
              <w:t>    </w:t>
            </w:r>
          </w:p>
        </w:tc>
        <w:tc>
          <w:tcPr>
            <w:tcW w:w="243"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  </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loss</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904"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(10,838)</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(7,881)</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pPr>
            <w:r>
              <w:rPr/>
              <w:t>  </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Depreciation and amortization</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319</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281</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Share-based compensation</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2,252</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2,196</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Non-cash interest expense</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164</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171</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Cost of rental units purchased by customers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pPr>
            <w:r>
              <w:rPr/>
              <w:t>—</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99</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Changes in certain assets and liabilities:</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pPr>
            <w:r>
              <w:rPr/>
              <w:t>  </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  </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Accounts receivable, net</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(545)</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202</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Inventory</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(1,021)</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(1,681)</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investments in sales-type leases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389</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330</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Prepaid commission expense</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(295)</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Prepaid expenses and other assets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801</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206</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Accounts payable</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(2,226)</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(694)</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Accrued expenses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(447)</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(2,168)</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Deferred revenue</w:t>
            </w:r>
          </w:p>
        </w:tc>
        <w:tc>
          <w:tcPr>
            <w:tcW w:w="32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(735)</w:t>
            </w:r>
          </w:p>
        </w:tc>
        <w:tc>
          <w:tcPr>
            <w:tcW w:w="37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(235)</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4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(12,182)</w:t>
            </w:r>
          </w:p>
        </w:tc>
        <w:tc>
          <w:tcPr>
            <w:tcW w:w="376" w:type="dxa"/>
            <w:tcBorders/>
            <w:shd w:fill="CCEEFF" w:val="clear"/>
            <w:vAlign w:val="center"/>
          </w:tcPr>
          <w:p>
            <w:pPr>
              <w:pStyle w:val="TableContents"/>
              <w:spacing w:before="0" w:after="1"/>
              <w:ind w:left="0" w:right="0" w:hanging="0"/>
              <w:rPr/>
            </w:pPr>
            <w:r>
              <w:rPr/>
              <w:t>​</w:t>
            </w:r>
          </w:p>
        </w:tc>
        <w:tc>
          <w:tcPr>
            <w:tcW w:w="24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(9,168)</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904" w:type="dxa"/>
            <w:tcBorders/>
            <w:shd w:fill="auto" w:val="clear"/>
            <w:vAlign w:val="center"/>
          </w:tcPr>
          <w:p>
            <w:pPr>
              <w:pStyle w:val="TableContents"/>
              <w:spacing w:before="0" w:after="1"/>
              <w:ind w:left="0" w:right="0" w:hanging="0"/>
              <w:jc w:val="right"/>
              <w:rPr/>
            </w:pPr>
            <w:r>
              <w:rPr/>
              <w:t>​</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Cash Flows from Investing Activities: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pPr>
            <w:r>
              <w:rPr/>
              <w:t>  </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Purchases of property and equipment and capitalized software</w:t>
            </w:r>
          </w:p>
        </w:tc>
        <w:tc>
          <w:tcPr>
            <w:tcW w:w="32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(1,074)</w:t>
            </w:r>
          </w:p>
        </w:tc>
        <w:tc>
          <w:tcPr>
            <w:tcW w:w="37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(675)</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Cash Used in Investing Activities</w:t>
            </w:r>
          </w:p>
        </w:tc>
        <w:tc>
          <w:tcPr>
            <w:tcW w:w="326" w:type="dxa"/>
            <w:tcBorders/>
            <w:shd w:fill="CCEEFF" w:val="clear"/>
            <w:vAlign w:val="center"/>
          </w:tcPr>
          <w:p>
            <w:pPr>
              <w:pStyle w:val="TableContents"/>
              <w:spacing w:before="0" w:after="1"/>
              <w:ind w:left="0" w:right="0" w:hanging="0"/>
              <w:rPr/>
            </w:pPr>
            <w:r>
              <w:rPr/>
              <w:t>​</w:t>
            </w:r>
          </w:p>
        </w:tc>
        <w:tc>
          <w:tcPr>
            <w:tcW w:w="24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(1,074)</w:t>
            </w:r>
          </w:p>
        </w:tc>
        <w:tc>
          <w:tcPr>
            <w:tcW w:w="376" w:type="dxa"/>
            <w:tcBorders/>
            <w:shd w:fill="CCEEFF" w:val="clear"/>
            <w:vAlign w:val="center"/>
          </w:tcPr>
          <w:p>
            <w:pPr>
              <w:pStyle w:val="TableContents"/>
              <w:spacing w:before="0" w:after="1"/>
              <w:ind w:left="0" w:right="0" w:hanging="0"/>
              <w:rPr/>
            </w:pPr>
            <w:r>
              <w:rPr/>
              <w:t>​</w:t>
            </w:r>
          </w:p>
        </w:tc>
        <w:tc>
          <w:tcPr>
            <w:tcW w:w="24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(675)</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pPr>
            <w:r>
              <w:rPr/>
              <w:t>​</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Cash Flows from Financing Activities: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pPr>
            <w:r>
              <w:rPr/>
              <w:t>  </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Payments of debt issuance costs</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(57)</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Proceeds from exercises of stock options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1,592</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Proceeds from the issuance of common stock</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pPr>
            <w:r>
              <w:rPr/>
              <w:t>—</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80,972</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Payments of common stock offering issuance costs</w:t>
            </w:r>
          </w:p>
        </w:tc>
        <w:tc>
          <w:tcPr>
            <w:tcW w:w="326" w:type="dxa"/>
            <w:tcBorders/>
            <w:shd w:fill="CCEEFF" w:val="clear"/>
            <w:vAlign w:val="center"/>
          </w:tcPr>
          <w:p>
            <w:pPr>
              <w:pStyle w:val="TableContents"/>
              <w:spacing w:before="0" w:after="1"/>
              <w:ind w:left="0" w:right="0" w:hanging="0"/>
              <w:rPr/>
            </w:pPr>
            <w:r>
              <w:rPr/>
              <w:t>​</w:t>
            </w:r>
          </w:p>
        </w:tc>
        <w:tc>
          <w:tcPr>
            <w:tcW w:w="24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76" w:type="dxa"/>
            <w:tcBorders/>
            <w:shd w:fill="CCEEFF" w:val="clear"/>
            <w:vAlign w:val="center"/>
          </w:tcPr>
          <w:p>
            <w:pPr>
              <w:pStyle w:val="TableContents"/>
              <w:spacing w:before="0" w:after="1"/>
              <w:ind w:left="0" w:right="0" w:hanging="0"/>
              <w:rPr/>
            </w:pPr>
            <w:r>
              <w:rPr/>
              <w:t>​</w:t>
            </w:r>
          </w:p>
        </w:tc>
        <w:tc>
          <w:tcPr>
            <w:tcW w:w="24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(401)</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Cash (Used) Provided by Financing Activities</w:t>
            </w:r>
          </w:p>
        </w:tc>
        <w:tc>
          <w:tcPr>
            <w:tcW w:w="32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(48)</w:t>
            </w:r>
          </w:p>
        </w:tc>
        <w:tc>
          <w:tcPr>
            <w:tcW w:w="37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82,163</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(Decrease) Increase in Cash and Cash Equivalents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(13,304)</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72,320</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Cash and Cash Equivalents, Beginning of Period</w:t>
            </w:r>
          </w:p>
        </w:tc>
        <w:tc>
          <w:tcPr>
            <w:tcW w:w="32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94,141</w:t>
            </w:r>
          </w:p>
        </w:tc>
        <w:tc>
          <w:tcPr>
            <w:tcW w:w="37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48,957</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Cash and Cash Equivalents, End of Period</w:t>
            </w:r>
          </w:p>
        </w:tc>
        <w:tc>
          <w:tcPr>
            <w:tcW w:w="326" w:type="dxa"/>
            <w:tcBorders/>
            <w:shd w:fill="CCEEFF" w:val="clear"/>
            <w:vAlign w:val="center"/>
          </w:tcPr>
          <w:p>
            <w:pPr>
              <w:pStyle w:val="TableContents"/>
              <w:spacing w:before="0" w:after="1"/>
              <w:ind w:left="0" w:right="0" w:hanging="0"/>
              <w:rPr/>
            </w:pPr>
            <w:r>
              <w:rPr/>
              <w:t>​</w:t>
            </w:r>
          </w:p>
        </w:tc>
        <w:tc>
          <w:tcPr>
            <w:tcW w:w="243"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90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80,837</w:t>
            </w:r>
          </w:p>
        </w:tc>
        <w:tc>
          <w:tcPr>
            <w:tcW w:w="376" w:type="dxa"/>
            <w:tcBorders/>
            <w:shd w:fill="CCEEFF" w:val="clear"/>
            <w:vAlign w:val="center"/>
          </w:tcPr>
          <w:p>
            <w:pPr>
              <w:pStyle w:val="TableContents"/>
              <w:spacing w:before="0" w:after="1"/>
              <w:ind w:left="0" w:right="0" w:hanging="0"/>
              <w:rPr/>
            </w:pPr>
            <w:r>
              <w:rPr/>
              <w:t>​</w:t>
            </w:r>
          </w:p>
        </w:tc>
        <w:tc>
          <w:tcPr>
            <w:tcW w:w="243"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121,277</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Supplemental disclosure of cash flow information:</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pPr>
            <w:r>
              <w:rPr/>
              <w:t>  </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  </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Cash paid for interest</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904"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814</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814</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Transfer of Inventory to PP&amp;E</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904"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33</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Supplemental disclosure of non-cash investing and financing activities: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pPr>
            <w:r>
              <w:rPr/>
              <w:t>  </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Purchases of property and equipment and capitalized software in accounts payable and accrued expenses</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904"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685</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186</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w:t>
            </w:r>
          </w:p>
        </w:tc>
        <w:tc>
          <w:tcPr>
            <w:tcW w:w="904"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7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904"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pPr>
            <w:r>
              <w:rPr/>
              <w:t>​</w:t>
            </w:r>
          </w:p>
        </w:tc>
        <w:tc>
          <w:tcPr>
            <w:tcW w:w="156" w:type="dxa"/>
            <w:tcBorders/>
            <w:shd w:fill="auto" w:val="clear"/>
            <w:vAlign w:val="center"/>
          </w:tcPr>
          <w:p>
            <w:pPr>
              <w:pStyle w:val="TableContents"/>
              <w:spacing w:before="0" w:after="1"/>
              <w:ind w:left="0" w:right="0" w:hanging="0"/>
              <w:rPr/>
            </w:pPr>
            <w:r>
              <w:rPr/>
              <w:t>​</w:t>
            </w:r>
          </w:p>
        </w:tc>
      </w:tr>
      <w:tr>
        <w:trPr/>
        <w:tc>
          <w:tcPr>
            <w:tcW w:w="705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w:t>
            </w:r>
          </w:p>
        </w:tc>
        <w:tc>
          <w:tcPr>
            <w:tcW w:w="904"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r>
    </w:tbl>
    <w:p>
      <w:pPr>
        <w:pStyle w:val="TextBody"/>
        <w:spacing w:before="0" w:after="200"/>
        <w:ind w:left="0" w:right="0" w:hanging="0"/>
        <w:rPr/>
      </w:pPr>
      <w:r>
        <w:rPr/>
        <w:t>​</w:t>
      </w:r>
    </w:p>
    <w:p>
      <w:pPr>
        <w:pStyle w:val="TextBody"/>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b/>
          <w:sz w:val="20"/>
        </w:rPr>
      </w:pPr>
      <w:bookmarkStart w:id="433" w:name="a1DESCRIPTIONOFBUSINESS_936106"/>
      <w:bookmarkEnd w:id="433"/>
      <w:r>
        <w:rPr>
          <w:rFonts w:ascii="Arial;Helvetica;sans-serif" w:hAnsi="Arial;Helvetica;sans-serif"/>
          <w:b/>
          <w:sz w:val="20"/>
        </w:rPr>
        <w:t>1.     DESCRIPTION OF BUSINESS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Neuronetics, Inc., or the Company, is a commercial stage medical technology company focused on designing, developing and marketing products that improve the quality of life for patients who suffer from neurohealth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COVID-19</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Company is continuing to monitor the impact of the COVID-19 pandemic on all aspects of its business and geographies, including how it will continue to impact the Company’s customers, supply chain, employees and other business partners. While the Company experienced significant disruptions in March 2020 through the end of March 31, 2022 from the COVID-19 pandemic, it is unable to predict the full impact that the pandemic may have on its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vaccination rates and containment measures, among others. The pandemic has significantly adversely impacted global economic activity and has contributed to significant volatility and negative pressure in financial markets, and may contribute to periods of economic uncertainty in the future.</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Liquidity</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As of March 31, 2022, the Company had cash and cash equivalents of $80.8 million and an accumulated deficit of $319.6 million. The Company incurred negative cash flows from operating activities of $12.2 million for the three months ended March 31, 2022 and $28.0 million for the year ended December 31, 2021.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IPO, private placements of its convertible preferred securities, borrowings under its credit facility, proceeds from its secondary public offering of common stock and revenues from sales of its products. As of March 31, 2022, the Company had $35.0 million of borrowings outstanding under its credit facility, which has a final maturity in </w:t>
      </w:r>
      <w:r>
        <w:rPr>
          <w:rFonts w:ascii="Arial;Helvetica;sans-serif" w:hAnsi="Arial;Helvetica;sans-serif"/>
          <w:b w:val="false"/>
          <w:i w:val="false"/>
          <w:caps w:val="false"/>
          <w:smallCaps w:val="false"/>
          <w:sz w:val="20"/>
        </w:rPr>
        <w:t>February 2025</w:t>
      </w:r>
      <w:r>
        <w:rPr>
          <w:rFonts w:ascii="Arial;Helvetica;sans-serif" w:hAnsi="Arial;Helvetica;sans-serif"/>
          <w:sz w:val="20"/>
        </w:rPr>
        <w:t>. Management believes that the Company’s cash and cash equivalents as of March 31, 2022, and anticipated revenues from sales of its products are sufficient to fund the Company’s operations for at least the next 12 months from the issuance of these financial statements.</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2.     BASIS OF PRESENTATION</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Interim Financial Statements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accompanying unaudited interim financial statements have been prepared from the books and records of the Company in accordance with GAAP for interim financial information and Rule 10-01 of Regulation S-X </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and stockholders’ equity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months ended March 31, 2022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8, 2022, wherein a more complete discussion of significant accounting policies and certain other information can be found.</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Use of Estimates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including those related to the COVID-19 pandemic, and given the subjective element of the estimates and assumptions made, actual results may differ materially from estimated results.</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3.     SUMMARY OF SIGNIFICANT ACCOUNTING POLICIES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Company’s complete summary of significant accounting policies can be found in “Note 3. Summary of Significant Accounting Policies” in the audited financial statements included in the Company’s Form 10-K filed with the SEC on March 8, 2022.</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4.     RECENT ACCOUNTING PRONOUNCEMENTS</w:t>
      </w:r>
    </w:p>
    <w:p>
      <w:pPr>
        <w:pStyle w:val="TextBody"/>
        <w:spacing w:before="0" w:after="200"/>
        <w:ind w:left="0" w:right="0" w:hanging="0"/>
        <w:rPr>
          <w:rFonts w:ascii="Arial;Helvetica;sans-serif" w:hAnsi="Arial;Helvetica;sans-serif"/>
          <w:b/>
          <w:i/>
          <w:sz w:val="20"/>
        </w:rPr>
      </w:pPr>
      <w:r>
        <w:rPr>
          <w:rFonts w:ascii="Arial;Helvetica;sans-serif" w:hAnsi="Arial;Helvetica;sans-serif"/>
          <w:b/>
          <w:i/>
          <w:sz w:val="20"/>
        </w:rPr>
        <w:t>New Accounting Standards Not Yet Adopted by the Company</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In June 2016, the FASB issued </w:t>
      </w:r>
      <w:r>
        <w:rPr>
          <w:rFonts w:ascii="Arial;Helvetica;sans-serif" w:hAnsi="Arial;Helvetica;sans-serif"/>
          <w:i/>
          <w:sz w:val="20"/>
        </w:rPr>
        <w:t>ASU 2016-13, Financial Instruments - Credit Losses (Topic 326): Measurement of Credit Losses on Financial Instruments</w:t>
      </w:r>
      <w:r>
        <w:rPr>
          <w:rFonts w:ascii="Arial;Helvetica;sans-serif" w:hAnsi="Arial;Helvetica;sans-serif"/>
          <w:sz w:val="20"/>
        </w:rPr>
        <w:t xml:space="preserve"> (“</w:t>
      </w:r>
      <w:r>
        <w:rPr>
          <w:rFonts w:ascii="Arial;Helvetica;sans-serif" w:hAnsi="Arial;Helvetica;sans-serif"/>
          <w:i/>
          <w:sz w:val="20"/>
        </w:rPr>
        <w:t>Topic 326”</w:t>
      </w:r>
      <w:r>
        <w:rPr>
          <w:rFonts w:ascii="Arial;Helvetica;sans-serif" w:hAnsi="Arial;Helvetica;sans-serif"/>
          <w:sz w:val="20"/>
        </w:rPr>
        <w:t xml:space="preserve">). This ASU provides guidance for recognizing credit losses on financial instruments based on an estimate of current expected credit losses model. The FASB subsequently issued </w:t>
      </w:r>
      <w:r>
        <w:rPr>
          <w:rFonts w:ascii="Arial;Helvetica;sans-serif" w:hAnsi="Arial;Helvetica;sans-serif"/>
          <w:i/>
          <w:sz w:val="20"/>
        </w:rPr>
        <w:t>ASU 2019-04,</w:t>
      </w:r>
      <w:r>
        <w:rPr>
          <w:rFonts w:ascii="Arial;Helvetica;sans-serif" w:hAnsi="Arial;Helvetica;sans-serif"/>
          <w:sz w:val="20"/>
        </w:rPr>
        <w:t xml:space="preserve"> to clarify and address certain items related to the amendments in Topic 326.</w:t>
      </w:r>
    </w:p>
    <w:p>
      <w:pPr>
        <w:pStyle w:val="TextBody"/>
        <w:spacing w:before="0" w:after="200"/>
        <w:ind w:left="0" w:right="0" w:hanging="0"/>
        <w:rPr>
          <w:rFonts w:ascii="Arial;Helvetica;sans-serif" w:hAnsi="Arial;Helvetica;sans-serif"/>
          <w:sz w:val="18"/>
        </w:rPr>
      </w:pPr>
      <w:r>
        <w:rPr>
          <w:rFonts w:ascii="Arial;Helvetica;sans-serif" w:hAnsi="Arial;Helvetica;sans-serif"/>
          <w:i/>
          <w:sz w:val="20"/>
        </w:rPr>
        <w:t>ASU 2019-05, Financial Instruments - Credit Losses (Topic 326)</w:t>
      </w:r>
      <w:r>
        <w:rPr>
          <w:rFonts w:ascii="Arial;Helvetica;sans-serif" w:hAnsi="Arial;Helvetica;sans-serif"/>
          <w:sz w:val="20"/>
        </w:rPr>
        <w:t>:</w:t>
      </w:r>
      <w:r>
        <w:rPr>
          <w:rFonts w:ascii="Arial;Helvetica;sans-serif" w:hAnsi="Arial;Helvetica;sans-serif"/>
          <w:sz w:val="18"/>
        </w:rPr>
        <w:t xml:space="preserve"> </w:t>
      </w:r>
      <w:r>
        <w:rPr>
          <w:rFonts w:ascii="Arial;Helvetica;sans-serif" w:hAnsi="Arial;Helvetica;sans-serif"/>
          <w:i/>
          <w:sz w:val="20"/>
        </w:rPr>
        <w:t>Targeted Transition Relief</w:t>
      </w:r>
      <w:r>
        <w:rPr>
          <w:rFonts w:ascii="Arial;Helvetica;sans-serif" w:hAnsi="Arial;Helvetica;sans-serif"/>
          <w:sz w:val="20"/>
        </w:rPr>
        <w:t xml:space="preserve">, was issued to provide entities that have certain instruments within the scope of ASC 326 with an option to irrevocably elect the fair value option under </w:t>
      </w:r>
      <w:r>
        <w:rPr>
          <w:rFonts w:ascii="Arial;Helvetica;sans-serif" w:hAnsi="Arial;Helvetica;sans-serif"/>
          <w:i/>
          <w:sz w:val="20"/>
        </w:rPr>
        <w:t>ASC 825-10, Financial Instruments - Overall</w:t>
      </w:r>
      <w:r>
        <w:rPr>
          <w:rFonts w:ascii="Arial;Helvetica;sans-serif" w:hAnsi="Arial;Helvetica;sans-serif"/>
          <w:sz w:val="20"/>
        </w:rPr>
        <w:t>, applied on an instrument-by-instrument basis for eligible instruments</w:t>
      </w:r>
      <w:r>
        <w:rPr>
          <w:rFonts w:ascii="Arial;Helvetica;sans-serif" w:hAnsi="Arial;Helvetica;sans-serif"/>
          <w:sz w:val="18"/>
        </w:rPr>
        <w:t xml:space="preserve">. </w:t>
      </w:r>
      <w:r>
        <w:rPr>
          <w:rFonts w:ascii="Arial;Helvetica;sans-serif" w:hAnsi="Arial;Helvetica;sans-serif"/>
          <w:sz w:val="20"/>
        </w:rPr>
        <w:t>ASU 2019-10, Topic 326, Topic 815, and Topic 842 amends the mandatory effective date for Topic 326.</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These ASUs are effective for fiscal years beginning after December 15, 2022 for entities that are eligible to be defined by the SEC as a smaller reporting company. The Company is a smaller reporting company. Although the impact upon adoption will depend on the financial instruments held by the Company at that time, the </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Company does not anticipate a significant impact on its financial statements based on the instruments currently held and its historical trend of bad debt expense relating to trade accounts receivable.</w:t>
      </w:r>
    </w:p>
    <w:p>
      <w:pPr>
        <w:pStyle w:val="TextBody"/>
        <w:spacing w:before="0" w:after="20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Other than the items noted above, there have been no new accounting pronouncements not yet effective or adopted in the current year that we believe have a significant impact, or potential significant impact, to our unaudited interim financial statements.</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434" w:name="Tc_nw64JyoIk0mBXEBjTIPf4Q_9_15"/>
      <w:bookmarkStart w:id="435" w:name="Tc_bTLpBL-2xU6UmsX5EaAXhg_9_14"/>
      <w:bookmarkStart w:id="436" w:name="Tc_lvR-1yr0lEC5qPA3jlIFow_9_12"/>
      <w:bookmarkStart w:id="437" w:name="Tc_5We_HpA7FkKMet3QYEXzEA_9_11"/>
      <w:bookmarkStart w:id="438" w:name="Tc_l67TTUdZoEWEH2aj5muO3Q_9_8"/>
      <w:bookmarkStart w:id="439" w:name="Tc_9_SqVNYk6E27af6M3kkzgQ_9_5"/>
      <w:bookmarkStart w:id="440" w:name="Tc_GlmuYq-F4U-TTYqInctsAw_9_2"/>
      <w:bookmarkStart w:id="441" w:name="Tc_XpPA69v4L0WkJ8n9UG31jw_9_0"/>
      <w:bookmarkStart w:id="442" w:name="Tc_3rqHn0mHo0S9bWAK_DrfWA_8_0"/>
      <w:bookmarkStart w:id="443" w:name="Tc_swHhIOPOy0ux4zz8iBLAvg_7_14"/>
      <w:bookmarkStart w:id="444" w:name="Tc_f-p6Wnpe5kqMI1peGODg7g_7_11"/>
      <w:bookmarkStart w:id="445" w:name="Tc_PAEUQabsikyRJGKVkZl6-Q_7_8"/>
      <w:bookmarkStart w:id="446" w:name="Tc_w8TfXY24DEiKtfEkYdLGMw_7_5"/>
      <w:bookmarkStart w:id="447" w:name="Tc_bp6oUTMbYUWHwYM7ZF-jdw_7_2"/>
      <w:bookmarkStart w:id="448" w:name="Tc_ruL4g9M5Z0Ci6lkxsYQT9w_6_14"/>
      <w:bookmarkStart w:id="449" w:name="Tc_Vz-EFOOWMkyjDQSs1C_5Iw_6_11"/>
      <w:bookmarkStart w:id="450" w:name="Tc_OYgpXK4tUEGhStbv-bhAzA_6_8"/>
      <w:bookmarkStart w:id="451" w:name="Tc_o6CK7-jG_kq4Z1uWcOlo1g_6_2"/>
      <w:bookmarkStart w:id="452" w:name="Tc_c75uyHs6aEWQChIWjoz-vA_5_14"/>
      <w:bookmarkStart w:id="453" w:name="Tc_FQpxv_1X40qyOXXupihVcg_5_11"/>
      <w:bookmarkStart w:id="454" w:name="Tc_r_OpsU6P6UGfMMUQhl6UBg_5_8"/>
      <w:bookmarkStart w:id="455" w:name="Tc_YmAy2ITdT0WFPhnXuBgZvg_4_14"/>
      <w:bookmarkStart w:id="456" w:name="Tc_WnHz-EgUykS6bpWx58S2UA_4_11"/>
      <w:bookmarkStart w:id="457" w:name="Tc_COF2rJcntkebr2_Jtm1CWQ_4_8"/>
      <w:bookmarkStart w:id="458" w:name="Tc_j0D2gKmga0KzS45dr5_cKQ_3_11"/>
      <w:bookmarkStart w:id="459" w:name="Tc_a5etLmoVTUSD6m2haiO4Sg_3_8"/>
      <w:bookmarkStart w:id="460" w:name="Tc_d0KCj4MnP0SnqGv1D7Rpng_2_8"/>
      <w:bookmarkStart w:id="461" w:name="Tc_vg_mIOvLHUm0QXYiBYQDfg_1_2"/>
      <w:bookmarkStart w:id="462" w:name="_f9a761c6_a06a_4c82_8f0c_9da1af7c2532"/>
      <w:bookmarkStart w:id="463" w:name="Tc_g2djqNevSk2XTTHQucUVhQ_9_15"/>
      <w:bookmarkStart w:id="464" w:name="Tc_CghI7z2Y80Sxv16dv8A8kQ_9_14"/>
      <w:bookmarkStart w:id="465" w:name="Tc_sMrIMEKFjUGfdik-Np3mww_9_12"/>
      <w:bookmarkStart w:id="466" w:name="Tc_yXJgewPaTUe5OdOXXdwsgw_9_11"/>
      <w:bookmarkStart w:id="467" w:name="Tc_hU3HvC662UC0Qs4X9iehXw_9_8"/>
      <w:bookmarkStart w:id="468" w:name="Tc_Ucy3kF89n0CTptLZ9FTmNQ_9_5"/>
      <w:bookmarkStart w:id="469" w:name="Tc_Q1DtqCOrGEOamrEW-YxMKA_9_2"/>
      <w:bookmarkStart w:id="470" w:name="Tc_ZBoVFird70-nkyORrpEZKQ_9_0"/>
      <w:bookmarkStart w:id="471" w:name="Tc_aqhM66AgdkeRAlokqva5mg_8_0"/>
      <w:bookmarkStart w:id="472" w:name="Tc_boJTtZubzUe9cDkH19VjBg_7_14"/>
      <w:bookmarkStart w:id="473" w:name="Tc_omK0TIrfKUizEO8dMN5nPQ_7_11"/>
      <w:bookmarkStart w:id="474" w:name="Tc_78D8Eb5-IE-Y-3wItAlNAg_7_8"/>
      <w:bookmarkStart w:id="475" w:name="Tc_AZOgJdPJckiLJiwJbzySaA_7_5"/>
      <w:bookmarkStart w:id="476" w:name="Tc_75im16BslU2-jSEXSzHwPg_7_2"/>
      <w:bookmarkStart w:id="477" w:name="Tc_diKiHyXQ_ESYsmGwjw_5zQ_6_14"/>
      <w:bookmarkStart w:id="478" w:name="Tc_CtLbTDnWsk2fwoMH7pzt_g_6_11"/>
      <w:bookmarkStart w:id="479" w:name="Tc_CMze30ZHWk-2I3NIP9cntQ_6_8"/>
      <w:bookmarkStart w:id="480" w:name="Tc_DaI6YHaTQEOwFUDI2xwecw_6_2"/>
      <w:bookmarkStart w:id="481" w:name="Tc_g8UDvYqU5kGD7m19JEoRYw_5_14"/>
      <w:bookmarkStart w:id="482" w:name="Tc_5_DTA_7Ze06yH8T-Wfps9g_5_11"/>
      <w:bookmarkStart w:id="483" w:name="Tc_mahgVJpzrkyNlYikpbsCzA_5_8"/>
      <w:bookmarkStart w:id="484" w:name="Tc__BI-2Fo8dkKiIrIl-2MxFA_4_14"/>
      <w:bookmarkStart w:id="485" w:name="Tc_4A3ugJRqFUWoLyzAQTI0qw_4_11"/>
      <w:bookmarkStart w:id="486" w:name="Tc_Z__c2mmsRUqHEFZtXF8vPg_4_8"/>
      <w:bookmarkStart w:id="487" w:name="Tc_ncG4T_lj-k-LuTpHyh_Txw_3_11"/>
      <w:bookmarkStart w:id="488" w:name="Tc_JzgPGOitR06LbJHxhKTSqQ_3_8"/>
      <w:bookmarkStart w:id="489" w:name="Tc_isLgXffjKUq4zjFj1AW8GQ_2_8"/>
      <w:bookmarkStart w:id="490" w:name="Tc_NNDQ_MMucE-wxd9ETwSYTQ_1_2"/>
      <w:bookmarkStart w:id="491" w:name="_677be8c2_2ab7_44cd_9f7b_dfaaa835d871"/>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ascii="Arial;Helvetica;sans-serif" w:hAnsi="Arial;Helvetica;sans-serif"/>
          <w:b/>
          <w:sz w:val="20"/>
        </w:rPr>
        <w:t>5.     FAIR VALUE MEASUREMENT AND FINANCIAL INSTRUMENTS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The carrying values of cash equivalents, accounts receivable, prepaids and other current assets, and accounts payable on the Company’s balance sheets approximated their fair values as of March 31, 2022 and December 31, 2021 due to their short-term nature. The carrying values of the Company’s credit facility approximated its fair value as of March 31, 2022 and December 31, 2021 due to its variable interest rate. The carrying value of the Company’s note receivable approximated its fair value as of March 31, 2022 and December 31, 2021 due to its variable interest rate. </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tbl>
      <w:tblPr>
        <w:tblW w:w="6827" w:type="dxa"/>
        <w:jc w:val="left"/>
        <w:tblInd w:w="0" w:type="dxa"/>
        <w:tblCellMar>
          <w:top w:w="0" w:type="dxa"/>
          <w:left w:w="0" w:type="dxa"/>
          <w:bottom w:w="0" w:type="dxa"/>
          <w:right w:w="0" w:type="dxa"/>
        </w:tblCellMar>
      </w:tblPr>
      <w:tblGrid>
        <w:gridCol w:w="811"/>
        <w:gridCol w:w="6016"/>
      </w:tblGrid>
      <w:tr>
        <w:trPr/>
        <w:tc>
          <w:tcPr>
            <w:tcW w:w="811" w:type="dxa"/>
            <w:tcBorders/>
            <w:shd w:fill="auto" w:val="clear"/>
            <w:vAlign w:val="center"/>
          </w:tcPr>
          <w:p>
            <w:pPr>
              <w:pStyle w:val="TableContents"/>
              <w:spacing w:before="0" w:after="200"/>
              <w:rPr>
                <w:rFonts w:ascii="Arial;Helvetica;sans-serif" w:hAnsi="Arial;Helvetica;sans-serif"/>
                <w:sz w:val="20"/>
              </w:rPr>
            </w:pPr>
            <w:r>
              <w:rPr>
                <w:rFonts w:ascii="Arial;Helvetica;sans-serif" w:hAnsi="Arial;Helvetica;sans-serif"/>
                <w:sz w:val="20"/>
              </w:rPr>
              <w:t>Level 1:</w:t>
            </w:r>
          </w:p>
        </w:tc>
        <w:tc>
          <w:tcPr>
            <w:tcW w:w="6016" w:type="dxa"/>
            <w:tcBorders/>
            <w:shd w:fill="auto" w:val="clear"/>
            <w:vAlign w:val="center"/>
          </w:tcPr>
          <w:p>
            <w:pPr>
              <w:pStyle w:val="TableContents"/>
              <w:spacing w:before="0" w:after="200"/>
              <w:rPr>
                <w:rFonts w:ascii="Arial;Helvetica;sans-serif" w:hAnsi="Arial;Helvetica;sans-serif"/>
                <w:sz w:val="20"/>
              </w:rPr>
            </w:pPr>
            <w:r>
              <w:rPr>
                <w:rFonts w:ascii="Arial;Helvetica;sans-serif" w:hAnsi="Arial;Helvetica;sans-serif"/>
                <w:sz w:val="20"/>
              </w:rPr>
              <w:t>Inputs are quoted prices for identical instruments in active markets.</w:t>
            </w:r>
          </w:p>
        </w:tc>
      </w:tr>
    </w:tbl>
    <w:tbl>
      <w:tblPr>
        <w:tblW w:w="10205" w:type="dxa"/>
        <w:jc w:val="left"/>
        <w:tblInd w:w="0" w:type="dxa"/>
        <w:tblCellMar>
          <w:top w:w="0" w:type="dxa"/>
          <w:left w:w="0" w:type="dxa"/>
          <w:bottom w:w="0" w:type="dxa"/>
          <w:right w:w="0" w:type="dxa"/>
        </w:tblCellMar>
      </w:tblPr>
      <w:tblGrid>
        <w:gridCol w:w="674"/>
        <w:gridCol w:w="9531"/>
      </w:tblGrid>
      <w:tr>
        <w:trPr/>
        <w:tc>
          <w:tcPr>
            <w:tcW w:w="674" w:type="dxa"/>
            <w:tcBorders/>
            <w:shd w:fill="auto" w:val="clear"/>
            <w:vAlign w:val="center"/>
          </w:tcPr>
          <w:p>
            <w:pPr>
              <w:pStyle w:val="TableContents"/>
              <w:spacing w:before="0" w:after="200"/>
              <w:rPr>
                <w:rFonts w:ascii="Arial;Helvetica;sans-serif" w:hAnsi="Arial;Helvetica;sans-serif"/>
                <w:sz w:val="20"/>
              </w:rPr>
            </w:pPr>
            <w:r>
              <w:rPr>
                <w:rFonts w:ascii="Arial;Helvetica;sans-serif" w:hAnsi="Arial;Helvetica;sans-serif"/>
                <w:sz w:val="20"/>
              </w:rPr>
              <w:t>Level 2:</w:t>
            </w:r>
          </w:p>
        </w:tc>
        <w:tc>
          <w:tcPr>
            <w:tcW w:w="9531" w:type="dxa"/>
            <w:tcBorders/>
            <w:shd w:fill="auto" w:val="clear"/>
            <w:vAlign w:val="center"/>
          </w:tcPr>
          <w:p>
            <w:pPr>
              <w:pStyle w:val="TableContents"/>
              <w:spacing w:before="0" w:after="200"/>
              <w:rPr>
                <w:rFonts w:ascii="Arial;Helvetica;sans-serif" w:hAnsi="Arial;Helvetica;sans-serif"/>
                <w:sz w:val="20"/>
              </w:rPr>
            </w:pPr>
            <w:r>
              <w:rPr>
                <w:rFonts w:ascii="Arial;Helvetica;sans-serif" w:hAnsi="Arial;Helvetica;sans-serif"/>
                <w:sz w:val="20"/>
              </w:rPr>
              <w:t>Inputs are quoted prices for similar instruments in active markets; quoted prices for identical or similar instruments in markets that are not active; or model-derived valuations whose inputs are observable or whose significant value drivers are observable.</w:t>
            </w:r>
          </w:p>
        </w:tc>
      </w:tr>
    </w:tbl>
    <w:tbl>
      <w:tblPr>
        <w:tblW w:w="10205" w:type="dxa"/>
        <w:jc w:val="left"/>
        <w:tblInd w:w="0" w:type="dxa"/>
        <w:tblCellMar>
          <w:top w:w="0" w:type="dxa"/>
          <w:left w:w="0" w:type="dxa"/>
          <w:bottom w:w="0" w:type="dxa"/>
          <w:right w:w="0" w:type="dxa"/>
        </w:tblCellMar>
      </w:tblPr>
      <w:tblGrid>
        <w:gridCol w:w="745"/>
        <w:gridCol w:w="9460"/>
      </w:tblGrid>
      <w:tr>
        <w:trPr/>
        <w:tc>
          <w:tcPr>
            <w:tcW w:w="745" w:type="dxa"/>
            <w:tcBorders/>
            <w:shd w:fill="auto" w:val="clear"/>
            <w:vAlign w:val="center"/>
          </w:tcPr>
          <w:p>
            <w:pPr>
              <w:pStyle w:val="TableContents"/>
              <w:spacing w:before="0" w:after="200"/>
              <w:rPr>
                <w:rFonts w:ascii="Arial;Helvetica;sans-serif" w:hAnsi="Arial;Helvetica;sans-serif"/>
                <w:sz w:val="20"/>
              </w:rPr>
            </w:pPr>
            <w:r>
              <w:rPr>
                <w:rFonts w:ascii="Arial;Helvetica;sans-serif" w:hAnsi="Arial;Helvetica;sans-serif"/>
                <w:sz w:val="20"/>
              </w:rPr>
              <w:t>Level 3:</w:t>
            </w:r>
          </w:p>
        </w:tc>
        <w:tc>
          <w:tcPr>
            <w:tcW w:w="9460" w:type="dxa"/>
            <w:tcBorders/>
            <w:shd w:fill="auto" w:val="clear"/>
            <w:vAlign w:val="center"/>
          </w:tcPr>
          <w:p>
            <w:pPr>
              <w:pStyle w:val="TableContents"/>
              <w:spacing w:before="0" w:after="200"/>
              <w:rPr>
                <w:rFonts w:ascii="Arial;Helvetica;sans-serif" w:hAnsi="Arial;Helvetica;sans-serif"/>
                <w:sz w:val="20"/>
              </w:rPr>
            </w:pPr>
            <w:r>
              <w:rPr>
                <w:rFonts w:ascii="Arial;Helvetica;sans-serif" w:hAnsi="Arial;Helvetica;sans-serif"/>
                <w:sz w:val="20"/>
              </w:rPr>
              <w:t>Inputs are unobservable and reflect the Company’s own assumptions, based on the best information available, including the Company’s own data</w:t>
            </w:r>
            <w:r>
              <w:rPr>
                <w:rFonts w:ascii="Arial;Helvetica;sans-serif" w:hAnsi="Arial;Helvetica;sans-serif"/>
                <w:sz w:val="18"/>
              </w:rPr>
              <w:t>.</w:t>
            </w:r>
          </w:p>
        </w:tc>
      </w:tr>
    </w:tbl>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tables set forth the carrying amounts and fair values of the Company’s financial instruments as of March 31, 2022 and December 31, 2021 (in thousands):</w:t>
      </w:r>
    </w:p>
    <w:p>
      <w:pPr>
        <w:pStyle w:val="TextBody"/>
        <w:spacing w:before="0" w:after="200"/>
        <w:ind w:left="0" w:right="0" w:hanging="0"/>
        <w:rPr/>
      </w:pPr>
      <w:r>
        <w:rPr/>
        <w:t>​</w:t>
      </w:r>
    </w:p>
    <w:tbl>
      <w:tblPr>
        <w:tblW w:w="10177" w:type="dxa"/>
        <w:jc w:val="left"/>
        <w:tblInd w:w="0" w:type="dxa"/>
        <w:tblCellMar>
          <w:top w:w="0" w:type="dxa"/>
          <w:left w:w="0" w:type="dxa"/>
          <w:bottom w:w="0" w:type="dxa"/>
          <w:right w:w="0" w:type="dxa"/>
        </w:tblCellMar>
      </w:tblPr>
      <w:tblGrid>
        <w:gridCol w:w="3556"/>
        <w:gridCol w:w="326"/>
        <w:gridCol w:w="211"/>
        <w:gridCol w:w="691"/>
        <w:gridCol w:w="326"/>
        <w:gridCol w:w="211"/>
        <w:gridCol w:w="691"/>
        <w:gridCol w:w="326"/>
        <w:gridCol w:w="215"/>
        <w:gridCol w:w="706"/>
        <w:gridCol w:w="333"/>
        <w:gridCol w:w="379"/>
        <w:gridCol w:w="627"/>
        <w:gridCol w:w="333"/>
        <w:gridCol w:w="392"/>
        <w:gridCol w:w="854"/>
      </w:tblGrid>
      <w:tr>
        <w:trPr/>
        <w:tc>
          <w:tcPr>
            <w:tcW w:w="3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258060" cy="175260"/>
                      <wp:effectExtent l="0" t="0" r="0" b="0"/>
                      <wp:wrapNone/>
                      <wp:docPr id="44" name="Frame44"/>
                      <a:graphic xmlns:a="http://schemas.openxmlformats.org/drawingml/2006/main">
                        <a:graphicData uri="http://schemas.microsoft.com/office/word/2010/wordprocessingShape">
                          <wps:wsp>
                            <wps:cNvSpPr txBox="1"/>
                            <wps:spPr>
                              <a:xfrm>
                                <a:off x="0" y="0"/>
                                <a:ext cx="2258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7" name="Frame4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38785" cy="175260"/>
                      <wp:effectExtent l="0" t="0" r="0" b="0"/>
                      <wp:wrapNone/>
                      <wp:docPr id="50" name="Frame5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6525" cy="175260"/>
                      <wp:effectExtent l="0" t="0" r="0" b="0"/>
                      <wp:wrapNone/>
                      <wp:docPr id="52" name="Frame52"/>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48310" cy="175260"/>
                      <wp:effectExtent l="0" t="0" r="0" b="0"/>
                      <wp:wrapNone/>
                      <wp:docPr id="53" name="Frame53"/>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1455" cy="175260"/>
                      <wp:effectExtent l="0" t="0" r="0" b="0"/>
                      <wp:wrapNone/>
                      <wp:docPr id="54" name="Frame54"/>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40665" cy="175260"/>
                      <wp:effectExtent l="0" t="0" r="0" b="0"/>
                      <wp:wrapNone/>
                      <wp:docPr id="55" name="Frame55"/>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98145" cy="175260"/>
                      <wp:effectExtent l="0" t="0" r="0" b="0"/>
                      <wp:wrapNone/>
                      <wp:docPr id="56" name="Frame56"/>
                      <a:graphic xmlns:a="http://schemas.openxmlformats.org/drawingml/2006/main">
                        <a:graphicData uri="http://schemas.microsoft.com/office/word/2010/wordprocessingShape">
                          <wps:wsp>
                            <wps:cNvSpPr txBox="1"/>
                            <wps:spPr>
                              <a:xfrm>
                                <a:off x="0" y="0"/>
                                <a:ext cx="3981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1455" cy="175260"/>
                      <wp:effectExtent l="0" t="0" r="0" b="0"/>
                      <wp:wrapNone/>
                      <wp:docPr id="57" name="Frame57"/>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48920" cy="175260"/>
                      <wp:effectExtent l="0" t="0" r="0" b="0"/>
                      <wp:wrapNone/>
                      <wp:docPr id="58" name="Frame58"/>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42290" cy="175260"/>
                      <wp:effectExtent l="0" t="0" r="0" b="0"/>
                      <wp:wrapNone/>
                      <wp:docPr id="59" name="Frame59"/>
                      <a:graphic xmlns:a="http://schemas.openxmlformats.org/drawingml/2006/main">
                        <a:graphicData uri="http://schemas.microsoft.com/office/word/2010/wordprocessingShape">
                          <wps:wsp>
                            <wps:cNvSpPr txBox="1"/>
                            <wps:spPr>
                              <a:xfrm>
                                <a:off x="0" y="0"/>
                                <a:ext cx="5422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295" w:type="dxa"/>
            <w:gridSpan w:val="14"/>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2022</w: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3839"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2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33" w:type="dxa"/>
            <w:tcBorders/>
            <w:shd w:fill="auto" w:val="clear"/>
            <w:vAlign w:val="center"/>
          </w:tcPr>
          <w:p>
            <w:pPr>
              <w:pStyle w:val="TableContents"/>
              <w:spacing w:before="0" w:after="1"/>
              <w:ind w:left="0" w:right="0" w:hanging="0"/>
              <w:rPr/>
            </w:pPr>
            <w:r>
              <w:rPr/>
              <w:t>​</w:t>
            </w:r>
          </w:p>
        </w:tc>
        <w:tc>
          <w:tcPr>
            <w:tcW w:w="100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33"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jc w:val="center"/>
              <w:rPr/>
            </w:pPr>
            <w:r>
              <w:rPr/>
              <w:t>​</w:t>
            </w:r>
          </w:p>
        </w:tc>
        <w:tc>
          <w:tcPr>
            <w:tcW w:w="854" w:type="dxa"/>
            <w:tcBorders/>
            <w:shd w:fill="auto" w:val="clear"/>
            <w:vAlign w:val="center"/>
          </w:tcPr>
          <w:p>
            <w:pPr>
              <w:pStyle w:val="TableContents"/>
              <w:spacing w:before="0" w:after="1"/>
              <w:ind w:left="0" w:right="0" w:hanging="0"/>
              <w:jc w:val="center"/>
              <w:rPr/>
            </w:pPr>
            <w:r>
              <w:rPr/>
              <w:t>​</w: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2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33" w:type="dxa"/>
            <w:tcBorders/>
            <w:shd w:fill="auto" w:val="clear"/>
            <w:vAlign w:val="center"/>
          </w:tcPr>
          <w:p>
            <w:pPr>
              <w:pStyle w:val="TableContents"/>
              <w:spacing w:before="0" w:after="1"/>
              <w:ind w:left="0" w:right="0" w:hanging="0"/>
              <w:rPr/>
            </w:pPr>
            <w:r>
              <w:rPr/>
              <w:t>​</w:t>
            </w:r>
          </w:p>
        </w:tc>
        <w:tc>
          <w:tcPr>
            <w:tcW w:w="100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33" w:type="dxa"/>
            <w:tcBorders/>
            <w:shd w:fill="auto" w:val="clear"/>
            <w:vAlign w:val="center"/>
          </w:tcPr>
          <w:p>
            <w:pPr>
              <w:pStyle w:val="TableContents"/>
              <w:spacing w:before="0" w:after="1"/>
              <w:ind w:left="0" w:right="0" w:hanging="0"/>
              <w:rPr/>
            </w:pPr>
            <w:r>
              <w:rPr/>
              <w:t>​</w:t>
            </w:r>
          </w:p>
        </w:tc>
        <w:tc>
          <w:tcPr>
            <w:tcW w:w="124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2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33" w:type="dxa"/>
            <w:tcBorders/>
            <w:shd w:fill="auto" w:val="clear"/>
            <w:vAlign w:val="center"/>
          </w:tcPr>
          <w:p>
            <w:pPr>
              <w:pStyle w:val="TableContents"/>
              <w:spacing w:before="0" w:after="1"/>
              <w:ind w:left="0" w:right="0" w:hanging="0"/>
              <w:rPr/>
            </w:pPr>
            <w:r>
              <w:rPr/>
              <w:t>​</w:t>
            </w:r>
          </w:p>
        </w:tc>
        <w:tc>
          <w:tcPr>
            <w:tcW w:w="100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33" w:type="dxa"/>
            <w:tcBorders/>
            <w:shd w:fill="auto" w:val="clear"/>
            <w:vAlign w:val="center"/>
          </w:tcPr>
          <w:p>
            <w:pPr>
              <w:pStyle w:val="TableContents"/>
              <w:spacing w:before="0" w:after="1"/>
              <w:ind w:left="0" w:right="0" w:hanging="0"/>
              <w:rPr/>
            </w:pPr>
            <w:r>
              <w:rPr/>
              <w:t>​</w:t>
            </w:r>
          </w:p>
        </w:tc>
        <w:tc>
          <w:tcPr>
            <w:tcW w:w="124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2"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2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33" w:type="dxa"/>
            <w:tcBorders/>
            <w:shd w:fill="auto" w:val="clear"/>
            <w:vAlign w:val="center"/>
          </w:tcPr>
          <w:p>
            <w:pPr>
              <w:pStyle w:val="TableContents"/>
              <w:spacing w:before="0" w:after="1"/>
              <w:ind w:left="0" w:right="0" w:hanging="0"/>
              <w:rPr/>
            </w:pPr>
            <w:r>
              <w:rPr/>
              <w:t>​</w:t>
            </w:r>
          </w:p>
        </w:tc>
        <w:tc>
          <w:tcPr>
            <w:tcW w:w="100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33" w:type="dxa"/>
            <w:tcBorders/>
            <w:shd w:fill="auto" w:val="clear"/>
            <w:vAlign w:val="center"/>
          </w:tcPr>
          <w:p>
            <w:pPr>
              <w:pStyle w:val="TableContents"/>
              <w:spacing w:before="0" w:after="1"/>
              <w:ind w:left="0" w:right="0" w:hanging="0"/>
              <w:rPr/>
            </w:pPr>
            <w:r>
              <w:rPr/>
              <w:t>​</w:t>
            </w:r>
          </w:p>
        </w:tc>
        <w:tc>
          <w:tcPr>
            <w:tcW w:w="124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shd w:fill="auto" w:val="clear"/>
            <w:vAlign w:val="center"/>
          </w:tcPr>
          <w:p>
            <w:pPr>
              <w:pStyle w:val="TableContents"/>
              <w:spacing w:before="0" w:after="1"/>
              <w:ind w:left="0" w:right="0" w:hanging="0"/>
              <w:rPr/>
            </w:pPr>
            <w:r>
              <w:rPr/>
              <w:t>    </w:t>
            </w:r>
          </w:p>
        </w:tc>
        <w:tc>
          <w:tcPr>
            <w:tcW w:w="9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33" w:type="dxa"/>
            <w:tcBorders/>
            <w:shd w:fill="auto" w:val="clear"/>
            <w:vAlign w:val="center"/>
          </w:tcPr>
          <w:p>
            <w:pPr>
              <w:pStyle w:val="TableContents"/>
              <w:spacing w:before="0" w:after="1"/>
              <w:ind w:left="0" w:right="0" w:hanging="0"/>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33" w:type="dxa"/>
            <w:tcBorders/>
            <w:shd w:fill="auto" w:val="clear"/>
            <w:vAlign w:val="center"/>
          </w:tcPr>
          <w:p>
            <w:pPr>
              <w:pStyle w:val="TableContents"/>
              <w:spacing w:before="0" w:after="1"/>
              <w:ind w:left="0" w:right="0" w:hanging="0"/>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556"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5"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rPr/>
            </w:pPr>
            <w:r>
              <w:rPr/>
              <w:t>​</w:t>
            </w:r>
          </w:p>
        </w:tc>
        <w:tc>
          <w:tcPr>
            <w:tcW w:w="333"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627" w:type="dxa"/>
            <w:tcBorders/>
            <w:shd w:fill="CCEEFF" w:val="clear"/>
            <w:vAlign w:val="center"/>
          </w:tcPr>
          <w:p>
            <w:pPr>
              <w:pStyle w:val="TableContents"/>
              <w:spacing w:before="0" w:after="1"/>
              <w:ind w:left="0" w:right="0" w:hanging="0"/>
              <w:rPr/>
            </w:pPr>
            <w:r>
              <w:rPr/>
              <w:t>​</w:t>
            </w:r>
          </w:p>
        </w:tc>
        <w:tc>
          <w:tcPr>
            <w:tcW w:w="333" w:type="dxa"/>
            <w:tcBorders/>
            <w:shd w:fill="CCEEFF" w:val="clear"/>
            <w:vAlign w:val="center"/>
          </w:tcPr>
          <w:p>
            <w:pPr>
              <w:pStyle w:val="TableContents"/>
              <w:spacing w:before="0" w:after="1"/>
              <w:ind w:left="0" w:right="0" w:hanging="0"/>
              <w:rPr/>
            </w:pPr>
            <w:r>
              <w:rPr/>
              <w:t>​</w:t>
            </w:r>
          </w:p>
        </w:tc>
        <w:tc>
          <w:tcPr>
            <w:tcW w:w="392" w:type="dxa"/>
            <w:tcBorders/>
            <w:shd w:fill="CCEEFF" w:val="clear"/>
            <w:vAlign w:val="center"/>
          </w:tcPr>
          <w:p>
            <w:pPr>
              <w:pStyle w:val="TableContents"/>
              <w:spacing w:before="0" w:after="1"/>
              <w:ind w:left="0" w:right="0" w:hanging="0"/>
              <w:rPr/>
            </w:pPr>
            <w:r>
              <w:rPr/>
              <w:t>​</w:t>
            </w:r>
          </w:p>
        </w:tc>
        <w:tc>
          <w:tcPr>
            <w:tcW w:w="854" w:type="dxa"/>
            <w:tcBorders/>
            <w:shd w:fill="CCEEFF" w:val="clear"/>
            <w:vAlign w:val="center"/>
          </w:tcPr>
          <w:p>
            <w:pPr>
              <w:pStyle w:val="TableContents"/>
              <w:spacing w:before="0" w:after="1"/>
              <w:ind w:left="0" w:right="0" w:hanging="0"/>
              <w:rPr/>
            </w:pPr>
            <w:r>
              <w:rPr/>
              <w:t>​</w:t>
            </w:r>
          </w:p>
        </w:tc>
      </w:tr>
      <w:tr>
        <w:trPr/>
        <w:tc>
          <w:tcPr>
            <w:tcW w:w="355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Money market funds (cash equivalents)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78,746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78,746</w:t>
            </w:r>
          </w:p>
        </w:tc>
        <w:tc>
          <w:tcPr>
            <w:tcW w:w="326" w:type="dxa"/>
            <w:tcBorders/>
            <w:shd w:fill="auto" w:val="clear"/>
            <w:vAlign w:val="center"/>
          </w:tcPr>
          <w:p>
            <w:pPr>
              <w:pStyle w:val="TableContents"/>
              <w:spacing w:before="0" w:after="1"/>
              <w:ind w:left="0" w:right="0" w:hanging="0"/>
              <w:rPr/>
            </w:pPr>
            <w:r>
              <w:rPr/>
              <w:t>​</w:t>
            </w:r>
          </w:p>
        </w:tc>
        <w:tc>
          <w:tcPr>
            <w:tcW w:w="2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0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78,746</w:t>
            </w:r>
          </w:p>
        </w:tc>
        <w:tc>
          <w:tcPr>
            <w:tcW w:w="333"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27" w:type="dxa"/>
            <w:tcBorders/>
            <w:shd w:fill="auto" w:val="clear"/>
            <w:vAlign w:val="center"/>
          </w:tcPr>
          <w:p>
            <w:pPr>
              <w:pStyle w:val="TableContents"/>
              <w:spacing w:before="0" w:after="1"/>
              <w:ind w:left="0" w:right="0" w:hanging="0"/>
              <w:jc w:val="right"/>
              <w:rPr/>
            </w:pPr>
            <w:r>
              <w:rPr/>
              <w:t>—</w:t>
            </w:r>
          </w:p>
        </w:tc>
        <w:tc>
          <w:tcPr>
            <w:tcW w:w="333" w:type="dxa"/>
            <w:tcBorders/>
            <w:shd w:fill="auto" w:val="clear"/>
            <w:vAlign w:val="center"/>
          </w:tcPr>
          <w:p>
            <w:pPr>
              <w:pStyle w:val="TableContents"/>
              <w:spacing w:before="0" w:after="1"/>
              <w:ind w:left="0" w:right="0" w:hanging="0"/>
              <w:rPr/>
            </w:pPr>
            <w:r>
              <w:rPr/>
              <w:t>​</w:t>
            </w:r>
          </w:p>
        </w:tc>
        <w:tc>
          <w:tcPr>
            <w:tcW w:w="392"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54" w:type="dxa"/>
            <w:tcBorders/>
            <w:shd w:fill="auto" w:val="clear"/>
            <w:vAlign w:val="center"/>
          </w:tcPr>
          <w:p>
            <w:pPr>
              <w:pStyle w:val="TableContents"/>
              <w:spacing w:before="0" w:after="1"/>
              <w:ind w:left="0" w:right="60" w:hanging="0"/>
              <w:jc w:val="right"/>
              <w:rPr/>
            </w:pPr>
            <w:r>
              <w:rPr/>
              <w:t>—</w:t>
            </w:r>
          </w:p>
        </w:tc>
      </w:tr>
    </w:tbl>
    <w:p>
      <w:pPr>
        <w:pStyle w:val="TextBody"/>
        <w:spacing w:before="0" w:after="200"/>
        <w:ind w:left="0" w:right="0" w:hanging="0"/>
        <w:rPr/>
      </w:pPr>
      <w:r>
        <w:rPr/>
        <w:t>​</w:t>
      </w:r>
    </w:p>
    <w:tbl>
      <w:tblPr>
        <w:tblW w:w="10205" w:type="dxa"/>
        <w:jc w:val="left"/>
        <w:tblInd w:w="0" w:type="dxa"/>
        <w:tblCellMar>
          <w:top w:w="0" w:type="dxa"/>
          <w:left w:w="0" w:type="dxa"/>
          <w:bottom w:w="0" w:type="dxa"/>
          <w:right w:w="0" w:type="dxa"/>
        </w:tblCellMar>
      </w:tblPr>
      <w:tblGrid>
        <w:gridCol w:w="3442"/>
        <w:gridCol w:w="326"/>
        <w:gridCol w:w="211"/>
        <w:gridCol w:w="748"/>
        <w:gridCol w:w="326"/>
        <w:gridCol w:w="211"/>
        <w:gridCol w:w="748"/>
        <w:gridCol w:w="326"/>
        <w:gridCol w:w="211"/>
        <w:gridCol w:w="750"/>
        <w:gridCol w:w="326"/>
        <w:gridCol w:w="381"/>
        <w:gridCol w:w="625"/>
        <w:gridCol w:w="326"/>
        <w:gridCol w:w="390"/>
        <w:gridCol w:w="858"/>
      </w:tblGrid>
      <w:tr>
        <w:trPr/>
        <w:tc>
          <w:tcPr>
            <w:tcW w:w="3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85670" cy="175260"/>
                      <wp:effectExtent l="0" t="0" r="0" b="0"/>
                      <wp:wrapNone/>
                      <wp:docPr id="60" name="Frame60"/>
                      <a:graphic xmlns:a="http://schemas.openxmlformats.org/drawingml/2006/main">
                        <a:graphicData uri="http://schemas.microsoft.com/office/word/2010/wordprocessingShape">
                          <wps:wsp>
                            <wps:cNvSpPr txBox="1"/>
                            <wps:spPr>
                              <a:xfrm>
                                <a:off x="0" y="0"/>
                                <a:ext cx="2185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74980" cy="175260"/>
                      <wp:effectExtent l="0" t="0" r="0" b="0"/>
                      <wp:wrapNone/>
                      <wp:docPr id="63" name="Frame63"/>
                      <a:graphic xmlns:a="http://schemas.openxmlformats.org/drawingml/2006/main">
                        <a:graphicData uri="http://schemas.microsoft.com/office/word/2010/wordprocessingShape">
                          <wps:wsp>
                            <wps:cNvSpPr txBox="1"/>
                            <wps:spPr>
                              <a:xfrm>
                                <a:off x="0" y="0"/>
                                <a:ext cx="4749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74980" cy="175260"/>
                      <wp:effectExtent l="0" t="0" r="0" b="0"/>
                      <wp:wrapNone/>
                      <wp:docPr id="66" name="Frame66"/>
                      <a:graphic xmlns:a="http://schemas.openxmlformats.org/drawingml/2006/main">
                        <a:graphicData uri="http://schemas.microsoft.com/office/word/2010/wordprocessingShape">
                          <wps:wsp>
                            <wps:cNvSpPr txBox="1"/>
                            <wps:spPr>
                              <a:xfrm>
                                <a:off x="0" y="0"/>
                                <a:ext cx="4749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76250" cy="175260"/>
                      <wp:effectExtent l="0" t="0" r="0" b="0"/>
                      <wp:wrapNone/>
                      <wp:docPr id="69" name="Frame69"/>
                      <a:graphic xmlns:a="http://schemas.openxmlformats.org/drawingml/2006/main">
                        <a:graphicData uri="http://schemas.microsoft.com/office/word/2010/wordprocessingShape">
                          <wps:wsp>
                            <wps:cNvSpPr txBox="1"/>
                            <wps:spPr>
                              <a:xfrm>
                                <a:off x="0" y="0"/>
                                <a:ext cx="4762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41935" cy="175260"/>
                      <wp:effectExtent l="0" t="0" r="0" b="0"/>
                      <wp:wrapNone/>
                      <wp:docPr id="71" name="Frame71"/>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96875" cy="175260"/>
                      <wp:effectExtent l="0" t="0" r="0" b="0"/>
                      <wp:wrapNone/>
                      <wp:docPr id="72" name="Frame72"/>
                      <a:graphic xmlns:a="http://schemas.openxmlformats.org/drawingml/2006/main">
                        <a:graphicData uri="http://schemas.microsoft.com/office/word/2010/wordprocessingShape">
                          <wps:wsp>
                            <wps:cNvSpPr txBox="1"/>
                            <wps:spPr>
                              <a:xfrm>
                                <a:off x="0" y="0"/>
                                <a:ext cx="396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47650" cy="175260"/>
                      <wp:effectExtent l="0" t="0" r="0" b="0"/>
                      <wp:wrapNone/>
                      <wp:docPr id="74" name="Frame74"/>
                      <a:graphic xmlns:a="http://schemas.openxmlformats.org/drawingml/2006/main">
                        <a:graphicData uri="http://schemas.microsoft.com/office/word/2010/wordprocessingShape">
                          <wps:wsp>
                            <wps:cNvSpPr txBox="1"/>
                            <wps:spPr>
                              <a:xfrm>
                                <a:off x="0" y="0"/>
                                <a:ext cx="2476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44830" cy="175260"/>
                      <wp:effectExtent l="0" t="0" r="0" b="0"/>
                      <wp:wrapNone/>
                      <wp:docPr id="75" name="Frame75"/>
                      <a:graphic xmlns:a="http://schemas.openxmlformats.org/drawingml/2006/main">
                        <a:graphicData uri="http://schemas.microsoft.com/office/word/2010/wordprocessingShape">
                          <wps:wsp>
                            <wps:cNvSpPr txBox="1"/>
                            <wps:spPr>
                              <a:xfrm>
                                <a:off x="0" y="0"/>
                                <a:ext cx="544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437" w:type="dxa"/>
            <w:gridSpan w:val="14"/>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2021</w:t>
            </w:r>
          </w:p>
        </w:tc>
      </w:tr>
      <w:tr>
        <w:trPr/>
        <w:tc>
          <w:tcPr>
            <w:tcW w:w="3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3867"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26" w:type="dxa"/>
            <w:tcBorders/>
            <w:shd w:fill="auto" w:val="clear"/>
            <w:vAlign w:val="center"/>
          </w:tcPr>
          <w:p>
            <w:pPr>
              <w:pStyle w:val="TableContents"/>
              <w:spacing w:before="0" w:after="1"/>
              <w:ind w:left="0" w:right="0" w:hanging="0"/>
              <w:rPr/>
            </w:pPr>
            <w:r>
              <w:rPr/>
              <w:t>​</w:t>
            </w:r>
          </w:p>
        </w:tc>
        <w:tc>
          <w:tcPr>
            <w:tcW w:w="100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26" w:type="dxa"/>
            <w:tcBorders/>
            <w:shd w:fill="auto" w:val="clear"/>
            <w:vAlign w:val="center"/>
          </w:tcPr>
          <w:p>
            <w:pPr>
              <w:pStyle w:val="TableContents"/>
              <w:spacing w:before="0" w:after="1"/>
              <w:ind w:left="0" w:right="0" w:hanging="0"/>
              <w:rPr/>
            </w:pPr>
            <w:r>
              <w:rPr/>
              <w:t>​</w:t>
            </w:r>
          </w:p>
        </w:tc>
        <w:tc>
          <w:tcPr>
            <w:tcW w:w="390" w:type="dxa"/>
            <w:tcBorders/>
            <w:shd w:fill="auto" w:val="clear"/>
            <w:vAlign w:val="center"/>
          </w:tcPr>
          <w:p>
            <w:pPr>
              <w:pStyle w:val="TableContents"/>
              <w:spacing w:before="0" w:after="1"/>
              <w:ind w:left="0" w:right="0" w:hanging="0"/>
              <w:jc w:val="center"/>
              <w:rPr/>
            </w:pPr>
            <w:r>
              <w:rPr/>
              <w:t>​</w:t>
            </w:r>
          </w:p>
        </w:tc>
        <w:tc>
          <w:tcPr>
            <w:tcW w:w="858" w:type="dxa"/>
            <w:tcBorders/>
            <w:shd w:fill="auto" w:val="clear"/>
            <w:vAlign w:val="center"/>
          </w:tcPr>
          <w:p>
            <w:pPr>
              <w:pStyle w:val="TableContents"/>
              <w:spacing w:before="0" w:after="1"/>
              <w:ind w:left="0" w:right="0" w:hanging="0"/>
              <w:jc w:val="center"/>
              <w:rPr/>
            </w:pPr>
            <w:r>
              <w:rPr/>
              <w:t>​</w:t>
            </w:r>
          </w:p>
        </w:tc>
      </w:tr>
      <w:tr>
        <w:trPr/>
        <w:tc>
          <w:tcPr>
            <w:tcW w:w="3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26" w:type="dxa"/>
            <w:tcBorders/>
            <w:shd w:fill="auto" w:val="clear"/>
            <w:vAlign w:val="center"/>
          </w:tcPr>
          <w:p>
            <w:pPr>
              <w:pStyle w:val="TableContents"/>
              <w:spacing w:before="0" w:after="1"/>
              <w:ind w:left="0" w:right="0" w:hanging="0"/>
              <w:rPr/>
            </w:pPr>
            <w:r>
              <w:rPr/>
              <w:t>​</w:t>
            </w:r>
          </w:p>
        </w:tc>
        <w:tc>
          <w:tcPr>
            <w:tcW w:w="100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26" w:type="dxa"/>
            <w:tcBorders/>
            <w:shd w:fill="auto" w:val="clear"/>
            <w:vAlign w:val="center"/>
          </w:tcPr>
          <w:p>
            <w:pPr>
              <w:pStyle w:val="TableContents"/>
              <w:spacing w:before="0" w:after="1"/>
              <w:ind w:left="0" w:right="0" w:hanging="0"/>
              <w:rPr/>
            </w:pPr>
            <w:r>
              <w:rPr/>
              <w:t>​</w:t>
            </w:r>
          </w:p>
        </w:tc>
        <w:tc>
          <w:tcPr>
            <w:tcW w:w="1248"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26" w:type="dxa"/>
            <w:tcBorders/>
            <w:shd w:fill="auto" w:val="clear"/>
            <w:vAlign w:val="center"/>
          </w:tcPr>
          <w:p>
            <w:pPr>
              <w:pStyle w:val="TableContents"/>
              <w:spacing w:before="0" w:after="1"/>
              <w:ind w:left="0" w:right="0" w:hanging="0"/>
              <w:rPr/>
            </w:pPr>
            <w:r>
              <w:rPr/>
              <w:t>​</w:t>
            </w:r>
          </w:p>
        </w:tc>
        <w:tc>
          <w:tcPr>
            <w:tcW w:w="100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26" w:type="dxa"/>
            <w:tcBorders/>
            <w:shd w:fill="auto" w:val="clear"/>
            <w:vAlign w:val="center"/>
          </w:tcPr>
          <w:p>
            <w:pPr>
              <w:pStyle w:val="TableContents"/>
              <w:spacing w:before="0" w:after="1"/>
              <w:ind w:left="0" w:right="0" w:hanging="0"/>
              <w:rPr/>
            </w:pPr>
            <w:r>
              <w:rPr/>
              <w:t>​</w:t>
            </w:r>
          </w:p>
        </w:tc>
        <w:tc>
          <w:tcPr>
            <w:tcW w:w="1248"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59"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26" w:type="dxa"/>
            <w:tcBorders/>
            <w:shd w:fill="auto" w:val="clear"/>
            <w:vAlign w:val="center"/>
          </w:tcPr>
          <w:p>
            <w:pPr>
              <w:pStyle w:val="TableContents"/>
              <w:spacing w:before="0" w:after="1"/>
              <w:ind w:left="0" w:right="0" w:hanging="0"/>
              <w:rPr/>
            </w:pPr>
            <w:r>
              <w:rPr/>
              <w:t>​</w:t>
            </w:r>
          </w:p>
        </w:tc>
        <w:tc>
          <w:tcPr>
            <w:tcW w:w="100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26" w:type="dxa"/>
            <w:tcBorders/>
            <w:shd w:fill="auto" w:val="clear"/>
            <w:vAlign w:val="center"/>
          </w:tcPr>
          <w:p>
            <w:pPr>
              <w:pStyle w:val="TableContents"/>
              <w:spacing w:before="0" w:after="1"/>
              <w:ind w:left="0" w:right="0" w:hanging="0"/>
              <w:rPr/>
            </w:pPr>
            <w:r>
              <w:rPr/>
              <w:t>​</w:t>
            </w:r>
          </w:p>
        </w:tc>
        <w:tc>
          <w:tcPr>
            <w:tcW w:w="1248"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5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1"/>
              <w:ind w:left="0" w:right="0" w:hanging="0"/>
              <w:rPr/>
            </w:pPr>
            <w:r>
              <w:rPr/>
              <w:t>​</w:t>
            </w:r>
          </w:p>
        </w:tc>
        <w:tc>
          <w:tcPr>
            <w:tcW w:w="95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26" w:type="dxa"/>
            <w:tcBorders/>
            <w:shd w:fill="auto" w:val="clear"/>
            <w:vAlign w:val="center"/>
          </w:tcPr>
          <w:p>
            <w:pPr>
              <w:pStyle w:val="TableContents"/>
              <w:spacing w:before="0" w:after="1"/>
              <w:ind w:left="0" w:right="0" w:hanging="0"/>
              <w:rPr/>
            </w:pPr>
            <w:r>
              <w:rPr/>
              <w:t>​</w:t>
            </w:r>
          </w:p>
        </w:tc>
        <w:tc>
          <w:tcPr>
            <w:tcW w:w="100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26" w:type="dxa"/>
            <w:tcBorders/>
            <w:shd w:fill="auto" w:val="clear"/>
            <w:vAlign w:val="center"/>
          </w:tcPr>
          <w:p>
            <w:pPr>
              <w:pStyle w:val="TableContents"/>
              <w:spacing w:before="0" w:after="1"/>
              <w:ind w:left="0" w:right="0" w:hanging="0"/>
              <w:rPr/>
            </w:pPr>
            <w:r>
              <w:rPr/>
              <w:t>​</w:t>
            </w:r>
          </w:p>
        </w:tc>
        <w:tc>
          <w:tcPr>
            <w:tcW w:w="124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442"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4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4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5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381" w:type="dxa"/>
            <w:tcBorders/>
            <w:shd w:fill="CCEEFF" w:val="clear"/>
            <w:vAlign w:val="center"/>
          </w:tcPr>
          <w:p>
            <w:pPr>
              <w:pStyle w:val="TableContents"/>
              <w:spacing w:before="0" w:after="1"/>
              <w:ind w:left="0" w:right="0" w:hanging="0"/>
              <w:rPr/>
            </w:pPr>
            <w:r>
              <w:rPr/>
              <w:t>​</w:t>
            </w:r>
          </w:p>
        </w:tc>
        <w:tc>
          <w:tcPr>
            <w:tcW w:w="625"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390" w:type="dxa"/>
            <w:tcBorders/>
            <w:shd w:fill="CCEEFF" w:val="clear"/>
            <w:vAlign w:val="center"/>
          </w:tcPr>
          <w:p>
            <w:pPr>
              <w:pStyle w:val="TableContents"/>
              <w:spacing w:before="0" w:after="1"/>
              <w:ind w:left="0" w:right="0" w:hanging="0"/>
              <w:rPr/>
            </w:pPr>
            <w:r>
              <w:rPr/>
              <w:t>​</w:t>
            </w:r>
          </w:p>
        </w:tc>
        <w:tc>
          <w:tcPr>
            <w:tcW w:w="858" w:type="dxa"/>
            <w:tcBorders/>
            <w:shd w:fill="CCEEFF" w:val="clear"/>
            <w:vAlign w:val="center"/>
          </w:tcPr>
          <w:p>
            <w:pPr>
              <w:pStyle w:val="TableContents"/>
              <w:spacing w:before="0" w:after="1"/>
              <w:ind w:left="0" w:right="0" w:hanging="0"/>
              <w:jc w:val="right"/>
              <w:rPr/>
            </w:pPr>
            <w:r>
              <w:rPr/>
              <w:t>  </w:t>
            </w:r>
          </w:p>
        </w:tc>
      </w:tr>
      <w:tr>
        <w:trPr/>
        <w:tc>
          <w:tcPr>
            <w:tcW w:w="3442"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Money market funds (cash equivalents)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4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 xml:space="preserve">91,236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4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 xml:space="preserve">91,236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5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 xml:space="preserve">91,236 </w:t>
            </w:r>
          </w:p>
        </w:tc>
        <w:tc>
          <w:tcPr>
            <w:tcW w:w="326" w:type="dxa"/>
            <w:tcBorders/>
            <w:shd w:fill="auto" w:val="clear"/>
            <w:vAlign w:val="center"/>
          </w:tcPr>
          <w:p>
            <w:pPr>
              <w:pStyle w:val="TableContents"/>
              <w:spacing w:before="0" w:after="1"/>
              <w:ind w:left="0" w:right="0" w:hanging="0"/>
              <w:rPr/>
            </w:pPr>
            <w:r>
              <w:rPr/>
              <w:t>​</w:t>
            </w:r>
          </w:p>
        </w:tc>
        <w:tc>
          <w:tcPr>
            <w:tcW w:w="3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90"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58" w:type="dxa"/>
            <w:tcBorders/>
            <w:shd w:fill="auto" w:val="clear"/>
            <w:vAlign w:val="center"/>
          </w:tcPr>
          <w:p>
            <w:pPr>
              <w:pStyle w:val="TableContents"/>
              <w:spacing w:before="0" w:after="1"/>
              <w:ind w:left="0" w:right="70" w:hanging="0"/>
              <w:jc w:val="right"/>
              <w:rPr/>
            </w:pPr>
            <w:r>
              <w:rPr/>
              <w:t>—</w:t>
            </w:r>
          </w:p>
        </w:tc>
      </w:tr>
    </w:tbl>
    <w:p>
      <w:pPr>
        <w:pStyle w:val="TextBody"/>
        <w:spacing w:before="0" w:after="200"/>
        <w:ind w:left="0" w:right="0" w:hanging="0"/>
        <w:rPr/>
      </w:pPr>
      <w:r>
        <w:rPr/>
        <w:t>​</w:t>
      </w:r>
    </w:p>
    <w:p>
      <w:pPr>
        <w:pStyle w:val="TextBody"/>
        <w:spacing w:before="0" w:after="20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b/>
          <w:sz w:val="20"/>
        </w:rPr>
      </w:pPr>
      <w:bookmarkStart w:id="492" w:name="Tc_9s7DssEwtU2slgRODe82fw_5_5"/>
      <w:bookmarkStart w:id="493" w:name="Tc_ePBc8xGDTEa9mzgzrVP7zA_5_2"/>
      <w:bookmarkStart w:id="494" w:name="Tc_qz3OcN1ne0ekGVXkPyeLxw_5_0"/>
      <w:bookmarkStart w:id="495" w:name="Tc_VajEcECHRECcTT1ZKMMa7A_4_0"/>
      <w:bookmarkStart w:id="496" w:name="Tc_0uaieE1OEE-dY7GLlMtyCA_3_5"/>
      <w:bookmarkStart w:id="497" w:name="Tc_ZBImrHvtg06e29lnRAywog_3_2"/>
      <w:bookmarkStart w:id="498" w:name="Tc_cDmQh3wbJU2MPpX1X2-MQQ_3_0"/>
      <w:bookmarkStart w:id="499" w:name="Tc_8YdAkoz7-UqTjuCAXyXe2w_2_5"/>
      <w:bookmarkStart w:id="500" w:name="Tc_wBQ7NEU1JUa-2YutWDDjpw_2_2"/>
      <w:bookmarkStart w:id="501" w:name="Tc_GeQbZ1UeDU-wRtSeJNYlVA_1_5"/>
      <w:bookmarkStart w:id="502" w:name="Tc_iaK48KSU7UuM9vNg6t0pww_1_2"/>
      <w:bookmarkStart w:id="503" w:name="_93e57a6a_1b16_40d0_aa68_96eb2af7a3fc"/>
      <w:bookmarkEnd w:id="492"/>
      <w:bookmarkEnd w:id="493"/>
      <w:bookmarkEnd w:id="494"/>
      <w:bookmarkEnd w:id="495"/>
      <w:bookmarkEnd w:id="496"/>
      <w:bookmarkEnd w:id="497"/>
      <w:bookmarkEnd w:id="498"/>
      <w:bookmarkEnd w:id="499"/>
      <w:bookmarkEnd w:id="500"/>
      <w:bookmarkEnd w:id="501"/>
      <w:bookmarkEnd w:id="502"/>
      <w:bookmarkEnd w:id="503"/>
      <w:r>
        <w:rPr>
          <w:rFonts w:ascii="Arial;Helvetica;sans-serif" w:hAnsi="Arial;Helvetica;sans-serif"/>
          <w:b/>
          <w:sz w:val="20"/>
        </w:rPr>
        <w:t>6.     ACCOUNTS RECEIVABLE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presents the composition of accounts receivable, net as of March 31, 2022 and December 31, 2021 (in thousands):</w:t>
      </w:r>
    </w:p>
    <w:p>
      <w:pPr>
        <w:pStyle w:val="TextBody"/>
        <w:spacing w:before="0" w:after="200"/>
        <w:ind w:left="0" w:right="0" w:hanging="0"/>
        <w:rPr/>
      </w:pPr>
      <w:r>
        <w:rPr/>
        <w:t>​</w:t>
      </w:r>
    </w:p>
    <w:tbl>
      <w:tblPr>
        <w:tblW w:w="6479" w:type="dxa"/>
        <w:jc w:val="left"/>
        <w:tblInd w:w="0" w:type="dxa"/>
        <w:tblCellMar>
          <w:top w:w="0" w:type="dxa"/>
          <w:left w:w="0" w:type="dxa"/>
          <w:bottom w:w="0" w:type="dxa"/>
          <w:right w:w="0" w:type="dxa"/>
        </w:tblCellMar>
      </w:tblPr>
      <w:tblGrid>
        <w:gridCol w:w="3541"/>
        <w:gridCol w:w="326"/>
        <w:gridCol w:w="211"/>
        <w:gridCol w:w="706"/>
        <w:gridCol w:w="326"/>
        <w:gridCol w:w="299"/>
        <w:gridCol w:w="916"/>
        <w:gridCol w:w="154"/>
      </w:tblGrid>
      <w:tr>
        <w:trPr/>
        <w:tc>
          <w:tcPr>
            <w:tcW w:w="3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248535" cy="175260"/>
                      <wp:effectExtent l="0" t="0" r="0" b="0"/>
                      <wp:wrapNone/>
                      <wp:docPr id="76" name="Frame76"/>
                      <a:graphic xmlns:a="http://schemas.openxmlformats.org/drawingml/2006/main">
                        <a:graphicData uri="http://schemas.microsoft.com/office/word/2010/wordprocessingShape">
                          <wps:wsp>
                            <wps:cNvSpPr txBox="1"/>
                            <wps:spPr>
                              <a:xfrm>
                                <a:off x="0" y="0"/>
                                <a:ext cx="2248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48310" cy="175260"/>
                      <wp:effectExtent l="0" t="0" r="0" b="0"/>
                      <wp:wrapNone/>
                      <wp:docPr id="79" name="Frame79"/>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9865" cy="175260"/>
                      <wp:effectExtent l="0" t="0" r="0" b="0"/>
                      <wp:wrapNone/>
                      <wp:docPr id="81" name="Frame81"/>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81660" cy="175260"/>
                      <wp:effectExtent l="0" t="0" r="0" b="0"/>
                      <wp:wrapNone/>
                      <wp:docPr id="82" name="Frame82"/>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7790" cy="175260"/>
                      <wp:effectExtent l="0" t="0" r="0" b="0"/>
                      <wp:wrapNone/>
                      <wp:docPr id="83" name="Frame8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7"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121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shd w:fill="auto" w:val="clear"/>
            <w:vAlign w:val="center"/>
          </w:tcPr>
          <w:p>
            <w:pPr>
              <w:pStyle w:val="TableContents"/>
              <w:spacing w:before="0" w:after="1"/>
              <w:ind w:left="0" w:right="0" w:hanging="0"/>
              <w:jc w:val="center"/>
              <w:rPr/>
            </w:pPr>
            <w:r>
              <w:rPr/>
              <w:t>​</w:t>
            </w:r>
          </w:p>
        </w:tc>
      </w:tr>
      <w:tr>
        <w:trPr/>
        <w:tc>
          <w:tcPr>
            <w:tcW w:w="3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121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c>
          <w:tcPr>
            <w:tcW w:w="154" w:type="dxa"/>
            <w:tcBorders/>
            <w:shd w:fill="auto" w:val="clear"/>
            <w:vAlign w:val="center"/>
          </w:tcPr>
          <w:p>
            <w:pPr>
              <w:pStyle w:val="TableContents"/>
              <w:spacing w:before="0" w:after="1"/>
              <w:ind w:left="0" w:right="0" w:hanging="0"/>
              <w:rPr/>
            </w:pPr>
            <w:r>
              <w:rPr/>
              <w:t>​</w:t>
            </w:r>
          </w:p>
        </w:tc>
      </w:tr>
      <w:tr>
        <w:trPr/>
        <w:tc>
          <w:tcPr>
            <w:tcW w:w="35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Gross accounts receivable - trade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10,054</w:t>
            </w:r>
          </w:p>
        </w:tc>
        <w:tc>
          <w:tcPr>
            <w:tcW w:w="326"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9,168</w:t>
            </w:r>
          </w:p>
        </w:tc>
        <w:tc>
          <w:tcPr>
            <w:tcW w:w="154" w:type="dxa"/>
            <w:tcBorders/>
            <w:shd w:fill="CCEEFF" w:val="clear"/>
            <w:vAlign w:val="center"/>
          </w:tcPr>
          <w:p>
            <w:pPr>
              <w:pStyle w:val="TableContents"/>
              <w:spacing w:before="0" w:after="1"/>
              <w:ind w:left="0" w:right="0" w:hanging="0"/>
              <w:rPr/>
            </w:pPr>
            <w:r>
              <w:rPr/>
              <w:t>​</w:t>
            </w:r>
          </w:p>
        </w:tc>
      </w:tr>
      <w:tr>
        <w:trPr/>
        <w:tc>
          <w:tcPr>
            <w:tcW w:w="35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Less: Allowances for doubtful accounts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(1,803)</w:t>
            </w:r>
          </w:p>
        </w:tc>
        <w:tc>
          <w:tcPr>
            <w:tcW w:w="326" w:type="dxa"/>
            <w:tcBorders/>
            <w:shd w:fill="auto" w:val="clear"/>
            <w:vAlign w:val="center"/>
          </w:tcPr>
          <w:p>
            <w:pPr>
              <w:pStyle w:val="TableContents"/>
              <w:spacing w:before="0" w:after="1"/>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(1,462)</w:t>
            </w:r>
          </w:p>
        </w:tc>
        <w:tc>
          <w:tcPr>
            <w:tcW w:w="154" w:type="dxa"/>
            <w:tcBorders/>
            <w:shd w:fill="auto" w:val="clear"/>
            <w:vAlign w:val="center"/>
          </w:tcPr>
          <w:p>
            <w:pPr>
              <w:pStyle w:val="TableContents"/>
              <w:spacing w:before="0" w:after="1"/>
              <w:ind w:left="0" w:right="0" w:hanging="0"/>
              <w:rPr/>
            </w:pPr>
            <w:r>
              <w:rPr/>
              <w:t>​</w:t>
            </w:r>
          </w:p>
        </w:tc>
      </w:tr>
      <w:tr>
        <w:trPr/>
        <w:tc>
          <w:tcPr>
            <w:tcW w:w="35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Accounts receivable, net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8,251</w:t>
            </w:r>
          </w:p>
        </w:tc>
        <w:tc>
          <w:tcPr>
            <w:tcW w:w="326" w:type="dxa"/>
            <w:tcBorders/>
            <w:shd w:fill="CCEEFF" w:val="clear"/>
            <w:vAlign w:val="center"/>
          </w:tcPr>
          <w:p>
            <w:pPr>
              <w:pStyle w:val="TableContents"/>
              <w:spacing w:before="0" w:after="1"/>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7,706</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00"/>
        <w:ind w:left="0" w:right="0" w:hanging="0"/>
        <w:rPr/>
      </w:pPr>
      <w:r>
        <w:rPr/>
        <w:t>​</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504" w:name="Tc_zWhLYB1mAUyIj5qU-XKXEw_11_5"/>
      <w:bookmarkStart w:id="505" w:name="Tc_d_S2cS1IpUqK6DDdkyDrYw_11_2"/>
      <w:bookmarkStart w:id="506" w:name="Tc_szQxs9FOuUGwtTOhNngNZw_11_0"/>
      <w:bookmarkStart w:id="507" w:name="Tc_YbAbYvF4BESX0rZtqbA_jw_10_0"/>
      <w:bookmarkStart w:id="508" w:name="Tc_2Wc6tF52Gk--5ImlSbUDqQ_9_0"/>
      <w:bookmarkStart w:id="509" w:name="Tc_xIlgI1tmHUeUsxnux0AKsA_8_0"/>
      <w:bookmarkStart w:id="510" w:name="Tc_WWu7JrGmz065-Q30pF8AbQ_7_0"/>
      <w:bookmarkStart w:id="511" w:name="Tc_YFNXWgf__UywsMAaz6B19g_6_0"/>
      <w:bookmarkStart w:id="512" w:name="Tc_Kbr8K5pyhU27-AB8gDR0lQ_5_0"/>
      <w:bookmarkStart w:id="513" w:name="Tc_KnexPgjb00KFclIMatWNrw_4_0"/>
      <w:bookmarkStart w:id="514" w:name="Tc_lI9e0A-W2EGzFqV1sQrlSA_3_5"/>
      <w:bookmarkStart w:id="515" w:name="Tc_hJdAceCD-EagPzyZPMOEGA_3_2"/>
      <w:bookmarkStart w:id="516" w:name="Tc_9krF2aXQwU-DeJqYCJhXDw_3_0"/>
      <w:bookmarkStart w:id="517" w:name="Tc_lJCOdqFOOUeJKWSf0Zxz1g_2_5"/>
      <w:bookmarkStart w:id="518" w:name="Tc__NSYSnFvQEuj7mj_ua_a4Q_2_2"/>
      <w:bookmarkStart w:id="519" w:name="Tc_63Xfl2y4cE6MTNKUIp30CA_1_5"/>
      <w:bookmarkStart w:id="520" w:name="Tc__cqITSJZ1EKOFBpFU81fxg_1_2"/>
      <w:bookmarkStart w:id="521" w:name="_2a1ce1b0_bea7_4336_8224_79200ae0780f"/>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Pr>
          <w:rFonts w:ascii="Arial;Helvetica;sans-serif" w:hAnsi="Arial;Helvetica;sans-serif"/>
          <w:b/>
          <w:sz w:val="20"/>
        </w:rPr>
        <w:t>7.     PROPERTY AND EQUIPMENT AND CAPITALIZED SOFTWARE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presents the composition of property and equipment, net as of March 31, 2022 and December 31, 2021 (in thousands):</w:t>
      </w:r>
    </w:p>
    <w:p>
      <w:pPr>
        <w:pStyle w:val="TextBody"/>
        <w:spacing w:before="0" w:after="200"/>
        <w:ind w:left="0" w:right="0" w:hanging="0"/>
        <w:rPr/>
      </w:pPr>
      <w:r>
        <w:rPr/>
        <w:t>​</w:t>
      </w:r>
    </w:p>
    <w:tbl>
      <w:tblPr>
        <w:tblW w:w="6029" w:type="dxa"/>
        <w:jc w:val="left"/>
        <w:tblInd w:w="0" w:type="dxa"/>
        <w:tblCellMar>
          <w:top w:w="0" w:type="dxa"/>
          <w:left w:w="0" w:type="dxa"/>
          <w:bottom w:w="0" w:type="dxa"/>
          <w:right w:w="0" w:type="dxa"/>
        </w:tblCellMar>
      </w:tblPr>
      <w:tblGrid>
        <w:gridCol w:w="3091"/>
        <w:gridCol w:w="326"/>
        <w:gridCol w:w="211"/>
        <w:gridCol w:w="706"/>
        <w:gridCol w:w="326"/>
        <w:gridCol w:w="299"/>
        <w:gridCol w:w="916"/>
        <w:gridCol w:w="154"/>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962785" cy="175260"/>
                      <wp:effectExtent l="0" t="0" r="0" b="0"/>
                      <wp:wrapNone/>
                      <wp:docPr id="84" name="Frame84"/>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48310" cy="175260"/>
                      <wp:effectExtent l="0" t="0" r="0" b="0"/>
                      <wp:wrapNone/>
                      <wp:docPr id="87" name="Frame87"/>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89865" cy="175260"/>
                      <wp:effectExtent l="0" t="0" r="0" b="0"/>
                      <wp:wrapNone/>
                      <wp:docPr id="89" name="Frame89"/>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81660" cy="175260"/>
                      <wp:effectExtent l="0" t="0" r="0" b="0"/>
                      <wp:wrapNone/>
                      <wp:docPr id="90" name="Frame90"/>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7790" cy="175260"/>
                      <wp:effectExtent l="0" t="0" r="0" b="0"/>
                      <wp:wrapNone/>
                      <wp:docPr id="91" name="Frame9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7"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121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shd w:fill="auto" w:val="clear"/>
            <w:vAlign w:val="center"/>
          </w:tcPr>
          <w:p>
            <w:pPr>
              <w:pStyle w:val="TableContents"/>
              <w:spacing w:before="0" w:after="1"/>
              <w:ind w:left="0" w:right="0" w:hanging="0"/>
              <w:rPr/>
            </w:pPr>
            <w:r>
              <w:rPr/>
              <w:t>​</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121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c>
          <w:tcPr>
            <w:tcW w:w="154" w:type="dxa"/>
            <w:tcBorders/>
            <w:shd w:fill="auto" w:val="clear"/>
            <w:vAlign w:val="center"/>
          </w:tcPr>
          <w:p>
            <w:pPr>
              <w:pStyle w:val="TableContents"/>
              <w:spacing w:before="0" w:after="1"/>
              <w:ind w:left="0" w:right="0" w:hanging="0"/>
              <w:rPr/>
            </w:pPr>
            <w:r>
              <w:rPr/>
              <w:t>​</w:t>
            </w:r>
          </w:p>
        </w:tc>
      </w:tr>
      <w:tr>
        <w:trPr/>
        <w:tc>
          <w:tcPr>
            <w:tcW w:w="30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Laboratory equipment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305</w:t>
            </w:r>
          </w:p>
        </w:tc>
        <w:tc>
          <w:tcPr>
            <w:tcW w:w="326"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249</w:t>
            </w:r>
          </w:p>
        </w:tc>
        <w:tc>
          <w:tcPr>
            <w:tcW w:w="154" w:type="dxa"/>
            <w:tcBorders/>
            <w:shd w:fill="CCEEFF" w:val="clear"/>
            <w:vAlign w:val="center"/>
          </w:tcPr>
          <w:p>
            <w:pPr>
              <w:pStyle w:val="TableContents"/>
              <w:spacing w:before="0" w:after="1"/>
              <w:ind w:left="0" w:right="0" w:hanging="0"/>
              <w:rPr/>
            </w:pPr>
            <w:r>
              <w:rPr/>
              <w:t>​</w:t>
            </w:r>
          </w:p>
        </w:tc>
      </w:tr>
      <w:tr>
        <w:trPr/>
        <w:tc>
          <w:tcPr>
            <w:tcW w:w="30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Office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502</w:t>
            </w:r>
          </w:p>
        </w:tc>
        <w:tc>
          <w:tcPr>
            <w:tcW w:w="326"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497</w:t>
            </w:r>
          </w:p>
        </w:tc>
        <w:tc>
          <w:tcPr>
            <w:tcW w:w="154" w:type="dxa"/>
            <w:tcBorders/>
            <w:shd w:fill="auto" w:val="clear"/>
            <w:vAlign w:val="center"/>
          </w:tcPr>
          <w:p>
            <w:pPr>
              <w:pStyle w:val="TableContents"/>
              <w:spacing w:before="0" w:after="1"/>
              <w:ind w:left="0" w:right="0" w:hanging="0"/>
              <w:rPr/>
            </w:pPr>
            <w:r>
              <w:rPr/>
              <w:t>​</w:t>
            </w:r>
          </w:p>
        </w:tc>
      </w:tr>
      <w:tr>
        <w:trPr/>
        <w:tc>
          <w:tcPr>
            <w:tcW w:w="30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1,645</w:t>
            </w:r>
          </w:p>
        </w:tc>
        <w:tc>
          <w:tcPr>
            <w:tcW w:w="326"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1,598</w:t>
            </w:r>
          </w:p>
        </w:tc>
        <w:tc>
          <w:tcPr>
            <w:tcW w:w="154" w:type="dxa"/>
            <w:tcBorders/>
            <w:shd w:fill="CCEEFF" w:val="clear"/>
            <w:vAlign w:val="center"/>
          </w:tcPr>
          <w:p>
            <w:pPr>
              <w:pStyle w:val="TableContents"/>
              <w:spacing w:before="0" w:after="1"/>
              <w:ind w:left="0" w:right="0" w:hanging="0"/>
              <w:rPr/>
            </w:pPr>
            <w:r>
              <w:rPr/>
              <w:t>​</w:t>
            </w:r>
          </w:p>
        </w:tc>
      </w:tr>
      <w:tr>
        <w:trPr/>
        <w:tc>
          <w:tcPr>
            <w:tcW w:w="30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Manufacturing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341</w:t>
            </w:r>
          </w:p>
        </w:tc>
        <w:tc>
          <w:tcPr>
            <w:tcW w:w="326"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341</w:t>
            </w:r>
          </w:p>
        </w:tc>
        <w:tc>
          <w:tcPr>
            <w:tcW w:w="154" w:type="dxa"/>
            <w:tcBorders/>
            <w:shd w:fill="auto" w:val="clear"/>
            <w:vAlign w:val="center"/>
          </w:tcPr>
          <w:p>
            <w:pPr>
              <w:pStyle w:val="TableContents"/>
              <w:spacing w:before="0" w:after="1"/>
              <w:ind w:left="0" w:right="0" w:hanging="0"/>
              <w:rPr/>
            </w:pPr>
            <w:r>
              <w:rPr/>
              <w:t>​</w:t>
            </w:r>
          </w:p>
        </w:tc>
      </w:tr>
      <w:tr>
        <w:trPr/>
        <w:tc>
          <w:tcPr>
            <w:tcW w:w="30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Leasehold improvements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1,049</w:t>
            </w:r>
          </w:p>
        </w:tc>
        <w:tc>
          <w:tcPr>
            <w:tcW w:w="326"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471</w:t>
            </w:r>
          </w:p>
        </w:tc>
        <w:tc>
          <w:tcPr>
            <w:tcW w:w="154" w:type="dxa"/>
            <w:tcBorders/>
            <w:shd w:fill="CCEEFF" w:val="clear"/>
            <w:vAlign w:val="center"/>
          </w:tcPr>
          <w:p>
            <w:pPr>
              <w:pStyle w:val="TableContents"/>
              <w:spacing w:before="0" w:after="1"/>
              <w:ind w:left="0" w:right="0" w:hanging="0"/>
              <w:rPr/>
            </w:pPr>
            <w:r>
              <w:rPr/>
              <w:t>​</w:t>
            </w:r>
          </w:p>
        </w:tc>
      </w:tr>
      <w:tr>
        <w:trPr/>
        <w:tc>
          <w:tcPr>
            <w:tcW w:w="30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Rental equipment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634</w:t>
            </w:r>
          </w:p>
        </w:tc>
        <w:tc>
          <w:tcPr>
            <w:tcW w:w="326" w:type="dxa"/>
            <w:tcBorders/>
            <w:shd w:fill="auto" w:val="clear"/>
            <w:vAlign w:val="center"/>
          </w:tcPr>
          <w:p>
            <w:pPr>
              <w:pStyle w:val="TableContents"/>
              <w:spacing w:before="0" w:after="1"/>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601</w:t>
            </w:r>
          </w:p>
        </w:tc>
        <w:tc>
          <w:tcPr>
            <w:tcW w:w="154" w:type="dxa"/>
            <w:tcBorders/>
            <w:shd w:fill="auto" w:val="clear"/>
            <w:vAlign w:val="center"/>
          </w:tcPr>
          <w:p>
            <w:pPr>
              <w:pStyle w:val="TableContents"/>
              <w:spacing w:before="0" w:after="1"/>
              <w:ind w:left="0" w:right="0" w:hanging="0"/>
              <w:rPr/>
            </w:pPr>
            <w:r>
              <w:rPr/>
              <w:t>​</w:t>
            </w:r>
          </w:p>
        </w:tc>
      </w:tr>
      <w:tr>
        <w:trPr/>
        <w:tc>
          <w:tcPr>
            <w:tcW w:w="30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Property and equipment, gross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4,476</w:t>
            </w:r>
          </w:p>
        </w:tc>
        <w:tc>
          <w:tcPr>
            <w:tcW w:w="326"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3,757</w:t>
            </w:r>
          </w:p>
        </w:tc>
        <w:tc>
          <w:tcPr>
            <w:tcW w:w="154" w:type="dxa"/>
            <w:tcBorders/>
            <w:shd w:fill="CCEEFF" w:val="clear"/>
            <w:vAlign w:val="center"/>
          </w:tcPr>
          <w:p>
            <w:pPr>
              <w:pStyle w:val="TableContents"/>
              <w:spacing w:before="0" w:after="1"/>
              <w:ind w:left="0" w:right="0" w:hanging="0"/>
              <w:rPr/>
            </w:pPr>
            <w:r>
              <w:rPr/>
              <w:t>​</w:t>
            </w:r>
          </w:p>
        </w:tc>
      </w:tr>
      <w:tr>
        <w:trPr/>
        <w:tc>
          <w:tcPr>
            <w:tcW w:w="30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Less: Accumulated depreciation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(2,654)</w:t>
            </w:r>
          </w:p>
        </w:tc>
        <w:tc>
          <w:tcPr>
            <w:tcW w:w="326" w:type="dxa"/>
            <w:tcBorders/>
            <w:shd w:fill="auto" w:val="clear"/>
            <w:vAlign w:val="center"/>
          </w:tcPr>
          <w:p>
            <w:pPr>
              <w:pStyle w:val="TableContents"/>
              <w:spacing w:before="0" w:after="1"/>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(2,537)</w:t>
            </w:r>
          </w:p>
        </w:tc>
        <w:tc>
          <w:tcPr>
            <w:tcW w:w="154" w:type="dxa"/>
            <w:tcBorders/>
            <w:shd w:fill="auto" w:val="clear"/>
            <w:vAlign w:val="center"/>
          </w:tcPr>
          <w:p>
            <w:pPr>
              <w:pStyle w:val="TableContents"/>
              <w:spacing w:before="0" w:after="1"/>
              <w:ind w:left="0" w:right="0" w:hanging="0"/>
              <w:rPr/>
            </w:pPr>
            <w:r>
              <w:rPr/>
              <w:t>​</w:t>
            </w:r>
          </w:p>
        </w:tc>
      </w:tr>
      <w:tr>
        <w:trPr/>
        <w:tc>
          <w:tcPr>
            <w:tcW w:w="30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1,822</w:t>
            </w:r>
          </w:p>
        </w:tc>
        <w:tc>
          <w:tcPr>
            <w:tcW w:w="326" w:type="dxa"/>
            <w:tcBorders/>
            <w:shd w:fill="CCEEFF" w:val="clear"/>
            <w:vAlign w:val="center"/>
          </w:tcPr>
          <w:p>
            <w:pPr>
              <w:pStyle w:val="TableContents"/>
              <w:spacing w:before="0" w:after="1"/>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1,220</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00"/>
        <w:ind w:left="0" w:right="0" w:hanging="0"/>
        <w:rPr/>
      </w:pPr>
      <w:r>
        <w:rPr/>
        <w: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As of March 31, 2022 and December 31, 2021, the Company had capitalized software costs, net of $3.1 million and $2.5 million, respectively, which are included in “Prepaid expenses and other current assets” and “Other assets” on the balance sheet.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Depreciation and amortization expense was $0.3 million for the three months ended March 31, 2022 and 2021, respectively.</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8.     NOTE RECEIVABLE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On September 29, 2021, Neuronetics, Inc. the Company entered into an exclusive, five-year master sales agreement (the “Commercial Agreement”) with Check Five, LLC d/b/a Success TMS (“Success TMS”). In connection with the Commercial Agreement, the Company agreed to loan Success TMS the principal amount of $10.0 million for a period of five years pursuant to a secured promissory note (the “Note”). The Note will bear interest at a floating rate equal to the prime rate plus 6.00% per annum. The Note includes an interest-only period through October 1, 2022, after which time Success TMS will be required to make monthly payments of principal and interest. The interest-only period can be extended by the Company to October 1, 2023 upon satisfaction of certain conditions by Success TMS after which time Success TMS will be required to make payments of principal and interest. Under the terms of the Note, the Company has received a first priority security interest in substantially all of the assets of Success TMS. Success TMS has also granted the Company an observer seat on the Board of Managers of Success TMS.</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In the Note, Success TMS has made certain representations and warranties and is required to comply with certain customary affirmative and negative covenants during the term of the Note. The Note contains events of default, including, without limitation: (i) failure to make payment pursuant to the terms of the Note; (ii) violation of covenants; (iii) breach of any representation or warranty; (iv) breach or default under the Commercial Agreement; (v) material adverse changes to Success TMS’s business; (vi) any impairment of the Company’s security interest in collateral; (vii) attachment or levy on Success TMS’s assets or judicial restraint on its business; (viii) commencement of insolvency proceedings; (ix) material cross-defaults; (x) significant judgments, orders or awards for payment against Success TMS; (xi) a change of control of Success TMS; and (xii) the invalidity or unenforceability of the Note or the Commercial Agreement. The owner of Success TMS, 6214 Riverwalk LLC, has provided a limited guarantee and pledge of its equity in Success TMS in connection with the Note.</w:t>
      </w:r>
    </w:p>
    <w:p>
      <w:pPr>
        <w:pStyle w:val="TextBody"/>
        <w:spacing w:before="0" w:after="0"/>
        <w:ind w:left="0" w:right="0" w:hanging="0"/>
        <w:rPr>
          <w:rFonts w:ascii="Times New Roman;Times;serif" w:hAnsi="Times New Roman;Times;serif"/>
          <w:sz w:val="20"/>
        </w:rPr>
      </w:pPr>
      <w:r>
        <w:rPr>
          <w:rFonts w:ascii="Arial;Helvetica;sans-serif" w:hAnsi="Arial;Helvetica;sans-serif"/>
          <w:sz w:val="20"/>
        </w:rPr>
        <w:t>On April 29, 2022, the Company entered into a Subordination Agreement (the “Subordination Agreement”) with ZW Partners, LLC, a New Jersey limited liability company (“ZW Partners”), pursuant to which the Company agreed to subordinate its rights under the Note to the rights of ZW Partners under a revolving promissory note, dated as of April 29, 2022 (the “Senior Note”), issued by Success TMS to ZW Partners in an amount up to $10.0</w:t>
      </w:r>
      <w:r>
        <w:rPr>
          <w:rFonts w:ascii="Times New Roman;Times;serif" w:hAnsi="Times New Roman;Times;serif"/>
          <w:sz w:val="20"/>
        </w:rPr>
        <w:t xml:space="preserve"> </w:t>
      </w:r>
      <w:r>
        <w:rPr>
          <w:rFonts w:ascii="Arial;Helvetica;sans-serif" w:hAnsi="Arial;Helvetica;sans-serif"/>
          <w:sz w:val="20"/>
        </w:rPr>
        <w:t>million. As a result, payments in respect of the Note are now subordinate and subject in right and time of payment to payment in full of the Senior Note, and ZW Partners’ liens and security interests upon the collateral securing both the Senior Note and the Note are superior in priority to the Company’s liens and security interests upon such collateral. Under the Agreement, the Company has the right to purchase, at par, the entire aggregate amount of debt under the Senior Note at any time.</w:t>
      </w:r>
    </w:p>
    <w:p>
      <w:pPr>
        <w:pStyle w:val="TextBody"/>
        <w:spacing w:before="0" w:after="0"/>
        <w:ind w:left="0" w:right="0" w:hanging="0"/>
        <w:rPr/>
      </w:pPr>
      <w:r>
        <w:rPr/>
        <w: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As of March 31, 2022, Success TMS has represented to the Company that Success TMS is in compliance with all covenants of the Note.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Interest income recognized by the Company was $0.2 million for the three months ended March 31, 2022.</w:t>
      </w:r>
    </w:p>
    <w:p>
      <w:pPr>
        <w:pStyle w:val="TextBody"/>
        <w:spacing w:before="0" w:after="200"/>
        <w:ind w:left="0" w:right="0" w:hanging="0"/>
        <w:rPr>
          <w:rFonts w:ascii="Arial;Helvetica;sans-serif" w:hAnsi="Arial;Helvetica;sans-serif"/>
          <w:b/>
          <w:sz w:val="20"/>
        </w:rPr>
      </w:pPr>
      <w:bookmarkStart w:id="522" w:name="Tc_ZQKyF30z-UqitbN1ewlnYQ_4_5"/>
      <w:bookmarkStart w:id="523" w:name="Tc_HqBPOwGO20-MIUPqn0UmuA_4_2"/>
      <w:bookmarkStart w:id="524" w:name="Tc_tQOWbGaLzk-GbYOg26JyBw_4_0"/>
      <w:bookmarkStart w:id="525" w:name="Tc_kgX825lhJ0GzLrcwRm785w_3_0"/>
      <w:bookmarkStart w:id="526" w:name="Tc__VwL_NKu-UC-dN6zXXKZoQ_2_5"/>
      <w:bookmarkStart w:id="527" w:name="Tc_ajZU6nJNXEG-Qj0SUwMvUA_2_2"/>
      <w:bookmarkStart w:id="528" w:name="Tc_nKVfiNNYaU2YVl87msOBoQ_1_2"/>
      <w:bookmarkStart w:id="529" w:name="_a733408e_db26_4794_9acb_46fb218c48d9"/>
      <w:bookmarkEnd w:id="522"/>
      <w:bookmarkEnd w:id="523"/>
      <w:bookmarkEnd w:id="524"/>
      <w:bookmarkEnd w:id="525"/>
      <w:bookmarkEnd w:id="526"/>
      <w:bookmarkEnd w:id="527"/>
      <w:bookmarkEnd w:id="528"/>
      <w:bookmarkEnd w:id="529"/>
      <w:r>
        <w:rPr>
          <w:rFonts w:ascii="Arial;Helvetica;sans-serif" w:hAnsi="Arial;Helvetica;sans-serif"/>
          <w:b/>
          <w:sz w:val="20"/>
        </w:rPr>
        <w:t>9.     LEASES</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Lessee: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Company has operating leases for its corporate headquarters, a training facility and office equipment, including copiers. The Company leases an approximately 32,000 square foot facility in Malvern, Pennsylvania for its corporate headquarters, which includes office and warehouse space. The Company leases an approximately 9,600 square foot facility in Charlotte, North Carolina as a training facility for its NeuroStar Advanced Therapy Systems. The Company does not currently have any finance leases or executed leases that have not yet commenced.</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Operating lease rent expense was $0.2 million and $0.2 million for the three months ended March 31, 2022 and 2021, respectively. As of March 31, 2022, the weighted-average remaining lease term of operating leases was 5.8 years and the weighted-average discount rate was 7.1%.</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presents the supplemental cash flow information as a lessee related to leases (in thousands):</w:t>
      </w:r>
    </w:p>
    <w:p>
      <w:pPr>
        <w:pStyle w:val="TextBody"/>
        <w:spacing w:before="0" w:after="200"/>
        <w:ind w:left="0" w:right="0" w:hanging="0"/>
        <w:rPr/>
      </w:pPr>
      <w:r>
        <w:rPr/>
        <w:t>​</w:t>
      </w:r>
    </w:p>
    <w:tbl>
      <w:tblPr>
        <w:tblW w:w="9642" w:type="dxa"/>
        <w:jc w:val="left"/>
        <w:tblInd w:w="0" w:type="dxa"/>
        <w:tblCellMar>
          <w:top w:w="0" w:type="dxa"/>
          <w:left w:w="0" w:type="dxa"/>
          <w:bottom w:w="0" w:type="dxa"/>
          <w:right w:w="0" w:type="dxa"/>
        </w:tblCellMar>
      </w:tblPr>
      <w:tblGrid>
        <w:gridCol w:w="6271"/>
        <w:gridCol w:w="326"/>
        <w:gridCol w:w="420"/>
        <w:gridCol w:w="841"/>
        <w:gridCol w:w="369"/>
        <w:gridCol w:w="420"/>
        <w:gridCol w:w="841"/>
        <w:gridCol w:w="154"/>
      </w:tblGrid>
      <w:tr>
        <w:trPr/>
        <w:tc>
          <w:tcPr>
            <w:tcW w:w="6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982085" cy="175260"/>
                      <wp:effectExtent l="0" t="0" r="0" b="0"/>
                      <wp:wrapNone/>
                      <wp:docPr id="92" name="Frame92"/>
                      <a:graphic xmlns:a="http://schemas.openxmlformats.org/drawingml/2006/main">
                        <a:graphicData uri="http://schemas.microsoft.com/office/word/2010/wordprocessingShape">
                          <wps:wsp>
                            <wps:cNvSpPr txBox="1"/>
                            <wps:spPr>
                              <a:xfrm>
                                <a:off x="0" y="0"/>
                                <a:ext cx="398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66700" cy="175260"/>
                      <wp:effectExtent l="0" t="0" r="0" b="0"/>
                      <wp:wrapNone/>
                      <wp:docPr id="94" name="Frame94"/>
                      <a:graphic xmlns:a="http://schemas.openxmlformats.org/drawingml/2006/main">
                        <a:graphicData uri="http://schemas.microsoft.com/office/word/2010/wordprocessingShape">
                          <wps:wsp>
                            <wps:cNvSpPr txBox="1"/>
                            <wps:spPr>
                              <a:xfrm>
                                <a:off x="0" y="0"/>
                                <a:ext cx="266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34035" cy="175260"/>
                      <wp:effectExtent l="0" t="0" r="0" b="0"/>
                      <wp:wrapNone/>
                      <wp:docPr id="95" name="Frame95"/>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34315" cy="175260"/>
                      <wp:effectExtent l="0" t="0" r="0" b="0"/>
                      <wp:wrapNone/>
                      <wp:docPr id="96" name="Frame96"/>
                      <a:graphic xmlns:a="http://schemas.openxmlformats.org/drawingml/2006/main">
                        <a:graphicData uri="http://schemas.microsoft.com/office/word/2010/wordprocessingShape">
                          <wps:wsp>
                            <wps:cNvSpPr txBox="1"/>
                            <wps:spPr>
                              <a:xfrm>
                                <a:off x="0" y="0"/>
                                <a:ext cx="2343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66700" cy="175260"/>
                      <wp:effectExtent l="0" t="0" r="0" b="0"/>
                      <wp:wrapNone/>
                      <wp:docPr id="97" name="Frame97"/>
                      <a:graphic xmlns:a="http://schemas.openxmlformats.org/drawingml/2006/main">
                        <a:graphicData uri="http://schemas.microsoft.com/office/word/2010/wordprocessingShape">
                          <wps:wsp>
                            <wps:cNvSpPr txBox="1"/>
                            <wps:spPr>
                              <a:xfrm>
                                <a:off x="0" y="0"/>
                                <a:ext cx="266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34035" cy="175260"/>
                      <wp:effectExtent l="0" t="0" r="0" b="0"/>
                      <wp:wrapNone/>
                      <wp:docPr id="98" name="Frame9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7790" cy="175260"/>
                      <wp:effectExtent l="0" t="0" r="0" b="0"/>
                      <wp:wrapNone/>
                      <wp:docPr id="99" name="Frame9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2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89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54" w:type="dxa"/>
            <w:tcBorders/>
            <w:shd w:fill="auto" w:val="clear"/>
            <w:vAlign w:val="center"/>
          </w:tcPr>
          <w:p>
            <w:pPr>
              <w:pStyle w:val="TableContents"/>
              <w:spacing w:before="0" w:after="1"/>
              <w:ind w:left="0" w:right="0" w:hanging="0"/>
              <w:rPr/>
            </w:pPr>
            <w:r>
              <w:rPr/>
              <w:t>​</w:t>
            </w:r>
          </w:p>
        </w:tc>
      </w:tr>
      <w:tr>
        <w:trPr/>
        <w:tc>
          <w:tcPr>
            <w:tcW w:w="62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2022</w:t>
            </w:r>
          </w:p>
        </w:tc>
        <w:tc>
          <w:tcPr>
            <w:tcW w:w="369" w:type="dxa"/>
            <w:tcBorders/>
            <w:shd w:fill="auto" w:val="clear"/>
            <w:vAlign w:val="center"/>
          </w:tcPr>
          <w:p>
            <w:pPr>
              <w:pStyle w:val="TableContents"/>
              <w:spacing w:before="0" w:after="1"/>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2021</w:t>
            </w:r>
          </w:p>
        </w:tc>
        <w:tc>
          <w:tcPr>
            <w:tcW w:w="154" w:type="dxa"/>
            <w:tcBorders/>
            <w:shd w:fill="auto" w:val="clear"/>
            <w:vAlign w:val="center"/>
          </w:tcPr>
          <w:p>
            <w:pPr>
              <w:pStyle w:val="TableContents"/>
              <w:spacing w:before="0" w:after="1"/>
              <w:ind w:left="0" w:right="0" w:hanging="0"/>
              <w:rPr/>
            </w:pPr>
            <w:r>
              <w:rPr/>
              <w:t>​</w:t>
            </w:r>
          </w:p>
        </w:tc>
      </w:tr>
      <w:tr>
        <w:trPr/>
        <w:tc>
          <w:tcPr>
            <w:tcW w:w="627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Cash paid for amounts included in the measurement of lease liabilities:</w:t>
            </w:r>
          </w:p>
        </w:tc>
        <w:tc>
          <w:tcPr>
            <w:tcW w:w="326" w:type="dxa"/>
            <w:tcBorders/>
            <w:shd w:fill="CCEEFF" w:val="clear"/>
            <w:vAlign w:val="center"/>
          </w:tcPr>
          <w:p>
            <w:pPr>
              <w:pStyle w:val="TableContents"/>
              <w:spacing w:before="0" w:after="1"/>
              <w:ind w:left="0" w:right="0" w:hanging="0"/>
              <w:rPr/>
            </w:pPr>
            <w:r>
              <w:rPr/>
              <w:t> </w:t>
            </w:r>
          </w:p>
        </w:tc>
        <w:tc>
          <w:tcPr>
            <w:tcW w:w="420"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  </w:t>
            </w:r>
          </w:p>
        </w:tc>
        <w:tc>
          <w:tcPr>
            <w:tcW w:w="369" w:type="dxa"/>
            <w:tcBorders/>
            <w:shd w:fill="CCEEFF" w:val="clear"/>
            <w:vAlign w:val="center"/>
          </w:tcPr>
          <w:p>
            <w:pPr>
              <w:pStyle w:val="TableContents"/>
              <w:spacing w:before="0" w:after="1"/>
              <w:ind w:left="0" w:right="0" w:hanging="0"/>
              <w:rPr/>
            </w:pPr>
            <w:r>
              <w:rPr/>
              <w:t> </w:t>
            </w:r>
          </w:p>
        </w:tc>
        <w:tc>
          <w:tcPr>
            <w:tcW w:w="420"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rPr/>
            </w:pPr>
            <w:r>
              <w:rPr/>
              <w:t>​</w:t>
            </w:r>
          </w:p>
        </w:tc>
      </w:tr>
      <w:tr>
        <w:trPr/>
        <w:tc>
          <w:tcPr>
            <w:tcW w:w="627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cash flows from operating leases</w:t>
            </w:r>
          </w:p>
        </w:tc>
        <w:tc>
          <w:tcPr>
            <w:tcW w:w="326" w:type="dxa"/>
            <w:tcBorders/>
            <w:shd w:fill="auto" w:val="clear"/>
            <w:vAlign w:val="center"/>
          </w:tcPr>
          <w:p>
            <w:pPr>
              <w:pStyle w:val="TableContents"/>
              <w:spacing w:before="0" w:after="1"/>
              <w:ind w:left="0" w:right="0" w:hanging="0"/>
              <w:rPr/>
            </w:pPr>
            <w:r>
              <w:rPr/>
              <w:t>​</w:t>
            </w:r>
          </w:p>
        </w:tc>
        <w:tc>
          <w:tcPr>
            <w:tcW w:w="420"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4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216</w:t>
            </w:r>
          </w:p>
        </w:tc>
        <w:tc>
          <w:tcPr>
            <w:tcW w:w="369" w:type="dxa"/>
            <w:tcBorders/>
            <w:shd w:fill="auto" w:val="clear"/>
            <w:vAlign w:val="center"/>
          </w:tcPr>
          <w:p>
            <w:pPr>
              <w:pStyle w:val="TableContents"/>
              <w:spacing w:before="0" w:after="1"/>
              <w:ind w:left="0" w:right="0" w:hanging="0"/>
              <w:rPr/>
            </w:pPr>
            <w:r>
              <w:rPr/>
              <w:t>​</w:t>
            </w:r>
          </w:p>
        </w:tc>
        <w:tc>
          <w:tcPr>
            <w:tcW w:w="420"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4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132</w:t>
            </w:r>
          </w:p>
        </w:tc>
        <w:tc>
          <w:tcPr>
            <w:tcW w:w="154" w:type="dxa"/>
            <w:tcBorders/>
            <w:shd w:fill="auto" w:val="clear"/>
            <w:vAlign w:val="center"/>
          </w:tcPr>
          <w:p>
            <w:pPr>
              <w:pStyle w:val="TableContents"/>
              <w:spacing w:before="0" w:after="1"/>
              <w:ind w:left="0" w:right="0" w:hanging="0"/>
              <w:rPr/>
            </w:pPr>
            <w:r>
              <w:rPr/>
              <w:t>​</w:t>
            </w:r>
          </w:p>
        </w:tc>
      </w:tr>
    </w:tbl>
    <w:p>
      <w:pPr>
        <w:pStyle w:val="TextBody"/>
        <w:spacing w:before="0" w:after="20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0"/>
        <w:ind w:left="0" w:right="0" w:hanging="0"/>
        <w:rPr>
          <w:rFonts w:ascii="Arial;Helvetica;sans-serif" w:hAnsi="Arial;Helvetica;sans-serif"/>
          <w:sz w:val="20"/>
        </w:rPr>
      </w:pPr>
      <w:bookmarkStart w:id="530" w:name="Tc_zFIy37I88UW9nWRk0TbqRQ_7_2"/>
      <w:bookmarkStart w:id="531" w:name="Tc_PLzt6cAc60CUfNKJtTqOzw_7_0"/>
      <w:bookmarkStart w:id="532" w:name="Tc_NwXkXbu0qkymOmsMZGR3pA_6_0"/>
      <w:bookmarkStart w:id="533" w:name="Tc_LJbM8uB-50KEA8ZkJEux1g_5_0"/>
      <w:bookmarkStart w:id="534" w:name="Tc_gnaftATB10G5h25R-waj0w_4_0"/>
      <w:bookmarkStart w:id="535" w:name="Tc_uaBRxRjhB0a7xglVWFul1Q_3_2"/>
      <w:bookmarkStart w:id="536" w:name="Tc_ugm0S_U5sE6sItt7VPJnuA_3_0"/>
      <w:bookmarkStart w:id="537" w:name="Tc_6fUDI5sSLkOxqZ0oe7Iw8Q_2_2"/>
      <w:bookmarkStart w:id="538" w:name="Tc_34b-DE3d6Ua5XsjwOKzxQA_1_2"/>
      <w:bookmarkStart w:id="539" w:name="_deb0045f_71e0_47b3_bee0_6b5f963782f6"/>
      <w:bookmarkStart w:id="540" w:name="Tc_mtq8MC2asUi0IuSkNXIyyg_5_5"/>
      <w:bookmarkStart w:id="541" w:name="Tc_5qggOf0InEWfmIIYm-ghrw_5_2"/>
      <w:bookmarkStart w:id="542" w:name="Tc_szxtfs1bxEuP-8Oq2AggEA_5_0"/>
      <w:bookmarkStart w:id="543" w:name="Tc_GoTG1axIrU2jW5ttzX20OA_4_6"/>
      <w:bookmarkStart w:id="544" w:name="Tc_mm8VDe1edUqlb5XHjV_9KA_4_3"/>
      <w:bookmarkStart w:id="545" w:name="Tc_hvxBkNFKTUKR4cKuRCIyCg_4_0"/>
      <w:bookmarkStart w:id="546" w:name="Tc_KX7sXPTF4UGHILMSA5T2ug_3_5"/>
      <w:bookmarkStart w:id="547" w:name="Tc_faQCSoMItEKQ_4EzexlixQ_3_2"/>
      <w:bookmarkStart w:id="548" w:name="Tc_rTEWqIat8UaStJ_6nVp_hg_3_0"/>
      <w:bookmarkStart w:id="549" w:name="Tc_GuOxGWMvD0aHeOL2mXHdiw_2_5"/>
      <w:bookmarkStart w:id="550" w:name="Tc_f_kQktYYBUCJO9IkkONSNw_2_2"/>
      <w:bookmarkStart w:id="551" w:name="Tc_a8ci-T_KVEOZf6kKcWvkVA_1_2"/>
      <w:bookmarkStart w:id="552" w:name="_3366b561_f0fe_442b_905d_3f5b58dd232d"/>
      <w:bookmarkStart w:id="553" w:name="Tc_nwcaCwGDDUOdprCelXo_Lg_10_2"/>
      <w:bookmarkStart w:id="554" w:name="Tc_ZXU7R1K7zUmvXL85HzxIgA_10_0"/>
      <w:bookmarkStart w:id="555" w:name="Tc_SxPAGZeCWUuriL0OBMWojw_9_0"/>
      <w:bookmarkStart w:id="556" w:name="Tc_G4haWwV_bk6XRRqpJfW2-g_8_0"/>
      <w:bookmarkStart w:id="557" w:name="Tc_7bjkTOhUO0We3n45nsoyOA_7_0"/>
      <w:bookmarkStart w:id="558" w:name="Tc_KdqpDq003E-Yw0KWEgaw5w_6_0"/>
      <w:bookmarkStart w:id="559" w:name="Tc_UiRHuui-40uNqLYKU4kWsA_5_0"/>
      <w:bookmarkStart w:id="560" w:name="Tc_ln_Ug6GKN0uE2yXGBiVf6Q_4_0"/>
      <w:bookmarkStart w:id="561" w:name="Tc_DuuVPYsYd0W1CagvWjmLBg_3_0"/>
      <w:bookmarkStart w:id="562" w:name="Tc_P7YJpS6pZUeS4rHnscFLBQ_2_2"/>
      <w:bookmarkStart w:id="563" w:name="Tc_sD9sAKT5mUylM45J-UkNrA_2_0"/>
      <w:bookmarkStart w:id="564" w:name="Tc_VcH_ud8HH0244fodWWae-w_1_2"/>
      <w:bookmarkStart w:id="565" w:name="_c2e02eb5_8567_496d_9ea5_78df2a57c460"/>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r>
        <w:rPr>
          <w:rFonts w:ascii="Arial;Helvetica;sans-serif" w:hAnsi="Arial;Helvetica;sans-serif"/>
          <w:sz w:val="20"/>
        </w:rPr>
        <w:t>The following table sets forth by year the required future payments of operating lease liabilities (in thousands):</w:t>
      </w:r>
    </w:p>
    <w:p>
      <w:pPr>
        <w:pStyle w:val="TextBody"/>
        <w:spacing w:before="0" w:after="200"/>
        <w:ind w:left="0" w:right="0" w:hanging="0"/>
        <w:rPr/>
      </w:pPr>
      <w:r>
        <w:rPr/>
        <w:t>​</w:t>
      </w:r>
    </w:p>
    <w:tbl>
      <w:tblPr>
        <w:tblW w:w="5151" w:type="dxa"/>
        <w:jc w:val="left"/>
        <w:tblInd w:w="0" w:type="dxa"/>
        <w:tblCellMar>
          <w:top w:w="0" w:type="dxa"/>
          <w:left w:w="0" w:type="dxa"/>
          <w:bottom w:w="0" w:type="dxa"/>
          <w:right w:w="0" w:type="dxa"/>
        </w:tblCellMar>
      </w:tblPr>
      <w:tblGrid>
        <w:gridCol w:w="3736"/>
        <w:gridCol w:w="109"/>
        <w:gridCol w:w="302"/>
        <w:gridCol w:w="1004"/>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372360" cy="175260"/>
                      <wp:effectExtent l="0" t="0" r="0" b="0"/>
                      <wp:wrapNone/>
                      <wp:docPr id="100" name="Frame100"/>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91770" cy="175260"/>
                      <wp:effectExtent l="0" t="0" r="0" b="0"/>
                      <wp:wrapNone/>
                      <wp:docPr id="102" name="Frame102"/>
                      <a:graphic xmlns:a="http://schemas.openxmlformats.org/drawingml/2006/main">
                        <a:graphicData uri="http://schemas.microsoft.com/office/word/2010/wordprocessingShape">
                          <wps:wsp>
                            <wps:cNvSpPr txBox="1"/>
                            <wps:spPr>
                              <a:xfrm>
                                <a:off x="0" y="0"/>
                                <a:ext cx="191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37540" cy="175260"/>
                      <wp:effectExtent l="0" t="0" r="0" b="0"/>
                      <wp:wrapNone/>
                      <wp:docPr id="103" name="Frame103"/>
                      <a:graphic xmlns:a="http://schemas.openxmlformats.org/drawingml/2006/main">
                        <a:graphicData uri="http://schemas.microsoft.com/office/word/2010/wordprocessingShape">
                          <wps:wsp>
                            <wps:cNvSpPr txBox="1"/>
                            <wps:spPr>
                              <a:xfrm>
                                <a:off x="0" y="0"/>
                                <a:ext cx="6375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30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2022</w:t>
            </w:r>
          </w:p>
        </w:tc>
      </w:tr>
      <w:tr>
        <w:trPr/>
        <w:tc>
          <w:tcPr>
            <w:tcW w:w="373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Remainder of 2022</w:t>
            </w:r>
          </w:p>
        </w:tc>
        <w:tc>
          <w:tcPr>
            <w:tcW w:w="109" w:type="dxa"/>
            <w:tcBorders/>
            <w:shd w:fill="CCEEFF" w:val="clear"/>
            <w:vAlign w:val="center"/>
          </w:tcPr>
          <w:p>
            <w:pPr>
              <w:pStyle w:val="TableContents"/>
              <w:spacing w:before="0" w:after="1"/>
              <w:ind w:left="0" w:right="0" w:hanging="0"/>
              <w:jc w:val="center"/>
              <w:rPr/>
            </w:pPr>
            <w:r>
              <w:rPr/>
              <w:t>​</w:t>
            </w:r>
          </w:p>
        </w:tc>
        <w:tc>
          <w:tcPr>
            <w:tcW w:w="302"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04"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552</w:t>
            </w:r>
          </w:p>
        </w:tc>
      </w:tr>
      <w:tr>
        <w:trPr/>
        <w:tc>
          <w:tcPr>
            <w:tcW w:w="373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2023</w:t>
            </w:r>
          </w:p>
        </w:tc>
        <w:tc>
          <w:tcPr>
            <w:tcW w:w="109"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w:t>
            </w:r>
          </w:p>
        </w:tc>
        <w:tc>
          <w:tcPr>
            <w:tcW w:w="1004"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880</w:t>
            </w:r>
          </w:p>
        </w:tc>
      </w:tr>
      <w:tr>
        <w:trPr/>
        <w:tc>
          <w:tcPr>
            <w:tcW w:w="373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2024</w:t>
            </w:r>
          </w:p>
        </w:tc>
        <w:tc>
          <w:tcPr>
            <w:tcW w:w="109"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886</w:t>
            </w:r>
          </w:p>
        </w:tc>
      </w:tr>
      <w:tr>
        <w:trPr/>
        <w:tc>
          <w:tcPr>
            <w:tcW w:w="373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2025</w:t>
            </w:r>
          </w:p>
        </w:tc>
        <w:tc>
          <w:tcPr>
            <w:tcW w:w="109"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 </w:t>
            </w:r>
          </w:p>
        </w:tc>
        <w:tc>
          <w:tcPr>
            <w:tcW w:w="1004"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898</w:t>
            </w:r>
          </w:p>
        </w:tc>
      </w:tr>
      <w:tr>
        <w:trPr/>
        <w:tc>
          <w:tcPr>
            <w:tcW w:w="373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2026</w:t>
            </w:r>
          </w:p>
        </w:tc>
        <w:tc>
          <w:tcPr>
            <w:tcW w:w="109"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921</w:t>
            </w:r>
          </w:p>
        </w:tc>
      </w:tr>
      <w:tr>
        <w:trPr/>
        <w:tc>
          <w:tcPr>
            <w:tcW w:w="373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Thereafter</w:t>
            </w:r>
          </w:p>
        </w:tc>
        <w:tc>
          <w:tcPr>
            <w:tcW w:w="109" w:type="dxa"/>
            <w:tcBorders/>
            <w:shd w:fill="auto" w:val="clear"/>
            <w:vAlign w:val="center"/>
          </w:tcPr>
          <w:p>
            <w:pPr>
              <w:pStyle w:val="TableContents"/>
              <w:spacing w:before="0" w:after="1"/>
              <w:ind w:left="0" w:right="0" w:hanging="0"/>
              <w:rPr/>
            </w:pPr>
            <w:r>
              <w:rPr/>
              <w:t>​</w:t>
            </w:r>
          </w:p>
        </w:tc>
        <w:tc>
          <w:tcPr>
            <w:tcW w:w="30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999</w:t>
            </w:r>
          </w:p>
        </w:tc>
      </w:tr>
      <w:tr>
        <w:trPr/>
        <w:tc>
          <w:tcPr>
            <w:tcW w:w="373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lease payments</w:t>
            </w:r>
          </w:p>
        </w:tc>
        <w:tc>
          <w:tcPr>
            <w:tcW w:w="109"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 </w:t>
            </w:r>
          </w:p>
        </w:tc>
        <w:tc>
          <w:tcPr>
            <w:tcW w:w="1004"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5,136</w:t>
            </w:r>
          </w:p>
        </w:tc>
      </w:tr>
      <w:tr>
        <w:trPr/>
        <w:tc>
          <w:tcPr>
            <w:tcW w:w="373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Less imputed interest</w:t>
            </w:r>
          </w:p>
        </w:tc>
        <w:tc>
          <w:tcPr>
            <w:tcW w:w="109" w:type="dxa"/>
            <w:tcBorders/>
            <w:shd w:fill="auto" w:val="clear"/>
            <w:vAlign w:val="center"/>
          </w:tcPr>
          <w:p>
            <w:pPr>
              <w:pStyle w:val="TableContents"/>
              <w:spacing w:before="0" w:after="1"/>
              <w:ind w:left="0" w:right="0" w:hanging="0"/>
              <w:rPr/>
            </w:pPr>
            <w:r>
              <w:rPr/>
              <w:t>​</w:t>
            </w:r>
          </w:p>
        </w:tc>
        <w:tc>
          <w:tcPr>
            <w:tcW w:w="30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(1,012)</w:t>
            </w:r>
          </w:p>
        </w:tc>
      </w:tr>
      <w:tr>
        <w:trPr/>
        <w:tc>
          <w:tcPr>
            <w:tcW w:w="373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Present value of operating lease liabilities</w:t>
            </w:r>
          </w:p>
        </w:tc>
        <w:tc>
          <w:tcPr>
            <w:tcW w:w="109" w:type="dxa"/>
            <w:tcBorders/>
            <w:shd w:fill="CCEEFF" w:val="clear"/>
            <w:vAlign w:val="center"/>
          </w:tcPr>
          <w:p>
            <w:pPr>
              <w:pStyle w:val="TableContents"/>
              <w:spacing w:before="0" w:after="1"/>
              <w:ind w:left="0" w:right="0" w:hanging="0"/>
              <w:rPr/>
            </w:pPr>
            <w:r>
              <w:rPr/>
              <w:t>​</w:t>
            </w:r>
          </w:p>
        </w:tc>
        <w:tc>
          <w:tcPr>
            <w:tcW w:w="302"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04"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Arial;Helvetica;sans-serif" w:hAnsi="Arial;Helvetica;sans-serif"/>
                <w:sz w:val="20"/>
              </w:rPr>
            </w:pPr>
            <w:r>
              <w:rPr>
                <w:rFonts w:ascii="Arial;Helvetica;sans-serif" w:hAnsi="Arial;Helvetica;sans-serif"/>
                <w:sz w:val="20"/>
              </w:rPr>
              <w:t>4,124</w:t>
            </w:r>
          </w:p>
        </w:tc>
      </w:tr>
    </w:tbl>
    <w:p>
      <w:pPr>
        <w:pStyle w:val="TextBody"/>
        <w:spacing w:before="0" w:after="200"/>
        <w:ind w:left="0" w:right="0" w:hanging="0"/>
        <w:rPr/>
      </w:pPr>
      <w:r>
        <w:rPr/>
        <w:t>​</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Lessor sales-type leases: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Certain customers have purchased NeuroStar Advanced Therapy Systems on a rent-to-own basis. The lease term is </w:t>
      </w:r>
      <w:r>
        <w:rPr>
          <w:rFonts w:ascii="Arial;Helvetica;sans-serif" w:hAnsi="Arial;Helvetica;sans-serif"/>
          <w:b w:val="false"/>
          <w:i w:val="false"/>
          <w:caps w:val="false"/>
          <w:smallCaps w:val="false"/>
          <w:sz w:val="20"/>
        </w:rPr>
        <w:t>three</w:t>
      </w:r>
      <w:r>
        <w:rPr>
          <w:rFonts w:ascii="Arial;Helvetica;sans-serif" w:hAnsi="Arial;Helvetica;sans-serif"/>
          <w:sz w:val="20"/>
        </w:rPr>
        <w:t> or four years with a customer option to purchase the NeuroStar Advanced Therapy System at the end of the lease or automatic transfer of ownership of the NeuroStar Advanced Therapy System at the end of the lease.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following table sets forth the profit recognized on sales-type leases (in thousands):</w:t>
      </w:r>
    </w:p>
    <w:p>
      <w:pPr>
        <w:pStyle w:val="TextBody"/>
        <w:spacing w:before="0" w:after="200"/>
        <w:ind w:left="0" w:right="0" w:hanging="0"/>
        <w:rPr/>
      </w:pPr>
      <w:r>
        <w:rPr/>
        <w:t>​</w:t>
      </w:r>
    </w:p>
    <w:tbl>
      <w:tblPr>
        <w:tblW w:w="6625" w:type="dxa"/>
        <w:jc w:val="left"/>
        <w:tblInd w:w="0" w:type="dxa"/>
        <w:tblCellMar>
          <w:top w:w="0" w:type="dxa"/>
          <w:left w:w="0" w:type="dxa"/>
          <w:bottom w:w="0" w:type="dxa"/>
          <w:right w:w="0" w:type="dxa"/>
        </w:tblCellMar>
      </w:tblPr>
      <w:tblGrid>
        <w:gridCol w:w="3661"/>
        <w:gridCol w:w="326"/>
        <w:gridCol w:w="341"/>
        <w:gridCol w:w="560"/>
        <w:gridCol w:w="528"/>
        <w:gridCol w:w="341"/>
        <w:gridCol w:w="868"/>
      </w:tblGrid>
      <w:tr>
        <w:trPr/>
        <w:tc>
          <w:tcPr>
            <w:tcW w:w="36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41" w:type="dxa"/>
            <w:tcBorders/>
            <w:shd w:fill="auto" w:val="clear"/>
            <w:vAlign w:val="center"/>
          </w:tcPr>
          <w:p>
            <w:pPr>
              <w:pStyle w:val="TableContents"/>
              <w:spacing w:before="0" w:after="1"/>
              <w:ind w:left="0" w:right="0" w:hanging="0"/>
              <w:rPr/>
            </w:pPr>
            <w:r>
              <w:rPr/>
              <w:t>​</w:t>
            </w:r>
          </w:p>
        </w:tc>
        <w:tc>
          <w:tcPr>
            <w:tcW w:w="560" w:type="dxa"/>
            <w:tcBorders/>
            <w:shd w:fill="auto" w:val="clear"/>
            <w:vAlign w:val="center"/>
          </w:tcPr>
          <w:p>
            <w:pPr>
              <w:pStyle w:val="TableContents"/>
              <w:spacing w:before="0" w:after="1"/>
              <w:ind w:left="0" w:right="0" w:hanging="0"/>
              <w:rPr/>
            </w:pPr>
            <w:r>
              <w:rPr/>
              <w:t>​</w:t>
            </w:r>
          </w:p>
        </w:tc>
        <w:tc>
          <w:tcPr>
            <w:tcW w:w="528" w:type="dxa"/>
            <w:tcBorders/>
            <w:shd w:fill="auto" w:val="clear"/>
            <w:vAlign w:val="center"/>
          </w:tcPr>
          <w:p>
            <w:pPr>
              <w:pStyle w:val="TableContents"/>
              <w:spacing w:before="0" w:after="1"/>
              <w:ind w:left="0" w:right="0" w:hanging="0"/>
              <w:rPr/>
            </w:pPr>
            <w:r>
              <w:rPr/>
              <w:t>​</w:t>
            </w:r>
          </w:p>
        </w:tc>
        <w:tc>
          <w:tcPr>
            <w:tcW w:w="341" w:type="dxa"/>
            <w:tcBorders/>
            <w:shd w:fill="auto" w:val="clear"/>
            <w:vAlign w:val="center"/>
          </w:tcPr>
          <w:p>
            <w:pPr>
              <w:pStyle w:val="TableContents"/>
              <w:spacing w:before="0" w:after="1"/>
              <w:ind w:left="0" w:right="0" w:hanging="0"/>
              <w:rPr/>
            </w:pPr>
            <w:r>
              <w:rPr/>
              <w:t>​</w:t>
            </w:r>
          </w:p>
        </w:tc>
        <w:tc>
          <w:tcPr>
            <w:tcW w:w="868" w:type="dxa"/>
            <w:tcBorders/>
            <w:shd w:fill="auto" w:val="clear"/>
            <w:vAlign w:val="center"/>
          </w:tcPr>
          <w:p>
            <w:pPr>
              <w:pStyle w:val="TableContents"/>
              <w:spacing w:before="0" w:after="1"/>
              <w:ind w:left="0" w:right="0" w:hanging="0"/>
              <w:rPr/>
            </w:pPr>
            <w:r>
              <w:rPr/>
              <w:t>​</w:t>
            </w:r>
          </w:p>
        </w:tc>
      </w:tr>
      <w:tr>
        <w:trPr/>
        <w:tc>
          <w:tcPr>
            <w:tcW w:w="36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3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36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528" w:type="dxa"/>
            <w:tcBorders/>
            <w:shd w:fill="auto" w:val="clear"/>
            <w:vAlign w:val="center"/>
          </w:tcPr>
          <w:p>
            <w:pPr>
              <w:pStyle w:val="TableContents"/>
              <w:spacing w:before="0" w:after="1"/>
              <w:ind w:left="0" w:right="0" w:hanging="0"/>
              <w:rPr/>
            </w:pPr>
            <w:r>
              <w:rPr/>
              <w:t>    </w:t>
            </w:r>
          </w:p>
        </w:tc>
        <w:tc>
          <w:tcPr>
            <w:tcW w:w="12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Profit recognized at commencement, net</w:t>
            </w:r>
          </w:p>
        </w:tc>
        <w:tc>
          <w:tcPr>
            <w:tcW w:w="326" w:type="dxa"/>
            <w:tcBorders/>
            <w:shd w:fill="CCEEFF" w:val="clear"/>
            <w:vAlign w:val="center"/>
          </w:tcPr>
          <w:p>
            <w:pPr>
              <w:pStyle w:val="TableContents"/>
              <w:spacing w:before="0" w:after="1"/>
              <w:ind w:left="0" w:right="0" w:hanging="0"/>
              <w:rPr/>
            </w:pPr>
            <w:r>
              <w:rPr/>
              <w:t>​</w:t>
            </w:r>
          </w:p>
        </w:tc>
        <w:tc>
          <w:tcPr>
            <w:tcW w:w="3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6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w:t>
            </w:r>
          </w:p>
        </w:tc>
        <w:tc>
          <w:tcPr>
            <w:tcW w:w="528" w:type="dxa"/>
            <w:tcBorders/>
            <w:shd w:fill="CCEEFF" w:val="clear"/>
            <w:vAlign w:val="center"/>
          </w:tcPr>
          <w:p>
            <w:pPr>
              <w:pStyle w:val="TableContents"/>
              <w:spacing w:before="0" w:after="1"/>
              <w:ind w:left="0" w:right="0" w:hanging="0"/>
              <w:rPr/>
            </w:pPr>
            <w:r>
              <w:rPr/>
              <w:t>​</w:t>
            </w:r>
          </w:p>
        </w:tc>
        <w:tc>
          <w:tcPr>
            <w:tcW w:w="3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6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133</w:t>
            </w:r>
          </w:p>
        </w:tc>
      </w:tr>
      <w:tr>
        <w:trPr/>
        <w:tc>
          <w:tcPr>
            <w:tcW w:w="36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Interest income</w:t>
            </w:r>
          </w:p>
        </w:tc>
        <w:tc>
          <w:tcPr>
            <w:tcW w:w="326" w:type="dxa"/>
            <w:tcBorders/>
            <w:shd w:fill="auto" w:val="clear"/>
            <w:vAlign w:val="center"/>
          </w:tcPr>
          <w:p>
            <w:pPr>
              <w:pStyle w:val="TableContents"/>
              <w:spacing w:before="0" w:after="1"/>
              <w:ind w:left="0" w:right="0" w:hanging="0"/>
              <w:rPr/>
            </w:pPr>
            <w:r>
              <w:rPr/>
              <w:t>​</w:t>
            </w:r>
          </w:p>
        </w:tc>
        <w:tc>
          <w:tcPr>
            <w:tcW w:w="34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6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528" w:type="dxa"/>
            <w:tcBorders/>
            <w:shd w:fill="auto" w:val="clear"/>
            <w:vAlign w:val="center"/>
          </w:tcPr>
          <w:p>
            <w:pPr>
              <w:pStyle w:val="TableContents"/>
              <w:spacing w:before="0" w:after="1"/>
              <w:ind w:left="0" w:right="0" w:hanging="0"/>
              <w:rPr/>
            </w:pPr>
            <w:r>
              <w:rPr/>
              <w:t>​</w:t>
            </w:r>
          </w:p>
        </w:tc>
        <w:tc>
          <w:tcPr>
            <w:tcW w:w="34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sales-type lease income</w:t>
            </w:r>
          </w:p>
        </w:tc>
        <w:tc>
          <w:tcPr>
            <w:tcW w:w="326" w:type="dxa"/>
            <w:tcBorders/>
            <w:shd w:fill="CCEEFF" w:val="clear"/>
            <w:vAlign w:val="center"/>
          </w:tcPr>
          <w:p>
            <w:pPr>
              <w:pStyle w:val="TableContents"/>
              <w:spacing w:before="0" w:after="1"/>
              <w:ind w:left="0" w:right="0" w:hanging="0"/>
              <w:rPr/>
            </w:pPr>
            <w:r>
              <w:rPr/>
              <w:t>​</w:t>
            </w:r>
          </w:p>
        </w:tc>
        <w:tc>
          <w:tcPr>
            <w:tcW w:w="34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w:t>
            </w:r>
          </w:p>
        </w:tc>
        <w:tc>
          <w:tcPr>
            <w:tcW w:w="528" w:type="dxa"/>
            <w:tcBorders/>
            <w:shd w:fill="CCEEFF" w:val="clear"/>
            <w:vAlign w:val="center"/>
          </w:tcPr>
          <w:p>
            <w:pPr>
              <w:pStyle w:val="TableContents"/>
              <w:spacing w:before="0" w:after="1"/>
              <w:ind w:left="0" w:right="0" w:hanging="0"/>
              <w:rPr/>
            </w:pPr>
            <w:r>
              <w:rPr/>
              <w:t>​</w:t>
            </w:r>
          </w:p>
        </w:tc>
        <w:tc>
          <w:tcPr>
            <w:tcW w:w="34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68"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Arial;Helvetica;sans-serif" w:hAnsi="Arial;Helvetica;sans-serif"/>
                <w:sz w:val="20"/>
              </w:rPr>
            </w:pPr>
            <w:r>
              <w:rPr>
                <w:rFonts w:ascii="Arial;Helvetica;sans-serif" w:hAnsi="Arial;Helvetica;sans-serif"/>
                <w:sz w:val="20"/>
              </w:rPr>
              <w:t>133</w:t>
            </w:r>
          </w:p>
        </w:tc>
      </w:tr>
    </w:tbl>
    <w:p>
      <w:pPr>
        <w:pStyle w:val="TextBody"/>
        <w:spacing w:before="0" w:after="20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sets forth a maturity analysis of the undiscounted lease receivables related to sales-type leases (in thousands):</w:t>
      </w:r>
    </w:p>
    <w:p>
      <w:pPr>
        <w:pStyle w:val="TextBody"/>
        <w:spacing w:before="0" w:after="200"/>
        <w:ind w:left="0" w:right="0" w:hanging="0"/>
        <w:rPr/>
      </w:pPr>
      <w:r>
        <w:rPr/>
        <w:t>​</w:t>
      </w:r>
    </w:p>
    <w:tbl>
      <w:tblPr>
        <w:tblW w:w="4362" w:type="dxa"/>
        <w:jc w:val="left"/>
        <w:tblInd w:w="0" w:type="dxa"/>
        <w:tblCellMar>
          <w:top w:w="0" w:type="dxa"/>
          <w:left w:w="0" w:type="dxa"/>
          <w:bottom w:w="0" w:type="dxa"/>
          <w:right w:w="0" w:type="dxa"/>
        </w:tblCellMar>
      </w:tblPr>
      <w:tblGrid>
        <w:gridCol w:w="3091"/>
        <w:gridCol w:w="326"/>
        <w:gridCol w:w="221"/>
        <w:gridCol w:w="724"/>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62785" cy="175260"/>
                      <wp:effectExtent l="0" t="0" r="0" b="0"/>
                      <wp:wrapNone/>
                      <wp:docPr id="104" name="Frame104"/>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0335" cy="175260"/>
                      <wp:effectExtent l="0" t="0" r="0" b="0"/>
                      <wp:wrapNone/>
                      <wp:docPr id="106" name="Frame106"/>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59740" cy="175260"/>
                      <wp:effectExtent l="0" t="0" r="0" b="0"/>
                      <wp:wrapNone/>
                      <wp:docPr id="107" name="Frame107"/>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4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0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Remainder of 2022</w:t>
            </w:r>
          </w:p>
        </w:tc>
        <w:tc>
          <w:tcPr>
            <w:tcW w:w="326"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1,703</w:t>
            </w:r>
          </w:p>
        </w:tc>
      </w:tr>
      <w:tr>
        <w:trPr/>
        <w:tc>
          <w:tcPr>
            <w:tcW w:w="30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2023</w:t>
            </w:r>
          </w:p>
        </w:tc>
        <w:tc>
          <w:tcPr>
            <w:tcW w:w="326"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w:t>
            </w:r>
          </w:p>
        </w:tc>
        <w:tc>
          <w:tcPr>
            <w:tcW w:w="724"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1,236</w:t>
            </w:r>
          </w:p>
        </w:tc>
      </w:tr>
      <w:tr>
        <w:trPr/>
        <w:tc>
          <w:tcPr>
            <w:tcW w:w="30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2024</w:t>
            </w:r>
          </w:p>
        </w:tc>
        <w:tc>
          <w:tcPr>
            <w:tcW w:w="326"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 </w:t>
            </w:r>
          </w:p>
        </w:tc>
        <w:tc>
          <w:tcPr>
            <w:tcW w:w="724"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520</w:t>
            </w:r>
          </w:p>
        </w:tc>
      </w:tr>
      <w:tr>
        <w:trPr/>
        <w:tc>
          <w:tcPr>
            <w:tcW w:w="309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2025</w:t>
            </w:r>
          </w:p>
        </w:tc>
        <w:tc>
          <w:tcPr>
            <w:tcW w:w="326" w:type="dxa"/>
            <w:tcBorders/>
            <w:shd w:fill="auto" w:val="clear"/>
            <w:vAlign w:val="center"/>
          </w:tcPr>
          <w:p>
            <w:pPr>
              <w:pStyle w:val="TableContents"/>
              <w:spacing w:before="0" w:after="1"/>
              <w:ind w:left="0" w:right="0" w:hanging="0"/>
              <w:rPr/>
            </w:pPr>
            <w:r>
              <w:rPr/>
              <w:t>​</w:t>
            </w:r>
          </w:p>
        </w:tc>
        <w:tc>
          <w:tcPr>
            <w:tcW w:w="22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46</w:t>
            </w:r>
          </w:p>
        </w:tc>
      </w:tr>
      <w:tr>
        <w:trPr/>
        <w:tc>
          <w:tcPr>
            <w:tcW w:w="309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sales-type lease receivables</w:t>
            </w:r>
          </w:p>
        </w:tc>
        <w:tc>
          <w:tcPr>
            <w:tcW w:w="326" w:type="dxa"/>
            <w:tcBorders/>
            <w:shd w:fill="CCEEFF" w:val="clear"/>
            <w:vAlign w:val="center"/>
          </w:tcPr>
          <w:p>
            <w:pPr>
              <w:pStyle w:val="TableContents"/>
              <w:spacing w:before="0" w:after="1"/>
              <w:ind w:left="0" w:right="0" w:hanging="0"/>
              <w:rPr/>
            </w:pPr>
            <w:r>
              <w:rPr/>
              <w:t>​</w:t>
            </w:r>
          </w:p>
        </w:tc>
        <w:tc>
          <w:tcPr>
            <w:tcW w:w="22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3,505</w:t>
            </w:r>
          </w:p>
        </w:tc>
      </w:tr>
    </w:tbl>
    <w:p>
      <w:pPr>
        <w:pStyle w:val="TextBody"/>
        <w:spacing w:before="0" w:after="200"/>
        <w:ind w:left="0" w:right="0" w:hanging="0"/>
        <w:rPr/>
      </w:pPr>
      <w:r>
        <w:rPr/>
        <w: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As of March 31, 2022, the carrying amount of the lease receivables is $3.5 million. The Company does not have any unguaranteed residual assets.</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Lessor operating leases: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NeuroStar Advanced Therapy Systems sold for which collection is not probable are accounted for as operating leases. For the three months ended March 31, 2022 and 2021, the Company recognized operating lease income of $0.05 million and $0.1 million, respectively. </w:t>
      </w:r>
    </w:p>
    <w:p>
      <w:pPr>
        <w:pStyle w:val="TextBody"/>
        <w:spacing w:before="0" w:after="0"/>
        <w:ind w:left="0" w:right="0" w:hanging="0"/>
        <w:rPr>
          <w:rFonts w:ascii="Times New Roman;Times;serif" w:hAnsi="Times New Roman;Times;serif"/>
          <w:sz w:val="20"/>
        </w:rPr>
      </w:pPr>
      <w:r>
        <w:rPr>
          <w:rFonts w:ascii="Arial;Helvetica;sans-serif" w:hAnsi="Arial;Helvetica;sans-serif"/>
          <w:sz w:val="20"/>
        </w:rPr>
        <w:t>The Company maintained Rental Equipment, net of $0.6</w:t>
      </w:r>
      <w:r>
        <w:rPr>
          <w:rFonts w:ascii="Times New Roman;Times;serif" w:hAnsi="Times New Roman;Times;serif"/>
          <w:sz w:val="20"/>
        </w:rPr>
        <w:t xml:space="preserve"> </w:t>
      </w:r>
      <w:r>
        <w:rPr>
          <w:rFonts w:ascii="Arial;Helvetica;sans-serif" w:hAnsi="Arial;Helvetica;sans-serif"/>
          <w:sz w:val="20"/>
        </w:rPr>
        <w:t>million as of March 31, 2022 and December 31, 2021, respectively, which are included in “Property and equipment, net” on the balance sheet. Rental equipment depreciation expense was $0.03</w:t>
      </w:r>
      <w:r>
        <w:rPr>
          <w:rFonts w:ascii="Times New Roman;Times;serif" w:hAnsi="Times New Roman;Times;serif"/>
          <w:sz w:val="20"/>
        </w:rPr>
        <w:t xml:space="preserve"> </w:t>
      </w:r>
      <w:r>
        <w:rPr>
          <w:rFonts w:ascii="Arial;Helvetica;sans-serif" w:hAnsi="Arial;Helvetica;sans-serif"/>
          <w:sz w:val="20"/>
        </w:rPr>
        <w:t>million and $0.01</w:t>
      </w:r>
      <w:r>
        <w:rPr>
          <w:rFonts w:ascii="Times New Roman;Times;serif" w:hAnsi="Times New Roman;Times;serif"/>
          <w:sz w:val="20"/>
        </w:rPr>
        <w:t xml:space="preserve"> </w:t>
      </w:r>
      <w:r>
        <w:rPr>
          <w:rFonts w:ascii="Arial;Helvetica;sans-serif" w:hAnsi="Arial;Helvetica;sans-serif"/>
          <w:sz w:val="20"/>
        </w:rPr>
        <w:t xml:space="preserve">million for the three months ended March 31, 2022 and 2021, respectively. </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10.     PREPAID COMMISSION EXPENSE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Company pays a commission on both NeuroStar Advanced System sales and Treatment Session sales. Since the commission paid for System sales is not commensurate with the commission paid for Treatment Sessions, the Company capitalizes commission expense associated with NeuroStar Advanced Therapy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NeuroStar Advanced Therapy System commissions are deferred and amortized on a straight-line basis over a seven year period equal to the average customer term, which the Company deems to be the expected period of benefit for these costs.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On the Company’s balance sheets, the current portion of capitalized contract costs is represented by the current portion of prepaid commission expense, while the long-term portion is included in prepaid commission expense. Amortization expense was $0.4 million and $0.3 million for the three months ended March 31, 2022 and 2021, respectively. </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566" w:name="Tc_kohmVNKRu0KMToTaDHTkqg_11_5"/>
      <w:bookmarkStart w:id="567" w:name="Tc_39WlvVWSfEu1Z0Si6QE0jA_11_2"/>
      <w:bookmarkStart w:id="568" w:name="Tc_qOVo24deiE6efQfhbla_GQ_11_0"/>
      <w:bookmarkStart w:id="569" w:name="Tc_KnF35dFu4UOrrhbjCE-Kxg_10_0"/>
      <w:bookmarkStart w:id="570" w:name="Tc_KmGZq5y7vEOKR4SPPqGw7w_9_6"/>
      <w:bookmarkStart w:id="571" w:name="Tc_eI_qNieJfECOG6dyKs7ltQ_9_0"/>
      <w:bookmarkStart w:id="572" w:name="Tc_p2I6vk_mg0i5_nCShIh2dg_8_0"/>
      <w:bookmarkStart w:id="573" w:name="Tc_pgMCuohFCU-Es44q1I39CQ_7_0"/>
      <w:bookmarkStart w:id="574" w:name="Tc_KDyy5EAYMESaDP9dKp6q-g_6_0"/>
      <w:bookmarkStart w:id="575" w:name="Tc_hqoBxLqwykqs61cfz9TDLg_5_0"/>
      <w:bookmarkStart w:id="576" w:name="Tc_2Mt9tO6990itI93S_g7zWw_4_0"/>
      <w:bookmarkStart w:id="577" w:name="Tc_b2N6Hs3lS0m90S8Gft8Y3g_3_5"/>
      <w:bookmarkStart w:id="578" w:name="Tc_TxvYM_Fo40eFgxI6t5pGlQ_3_2"/>
      <w:bookmarkStart w:id="579" w:name="Tc_5elQgZ3-qEqb8CZwA9-dlA_3_0"/>
      <w:bookmarkStart w:id="580" w:name="Tc_QXGy_DljGEO4tNwhqWs1LQ_2_5"/>
      <w:bookmarkStart w:id="581" w:name="Tc_ZM8oWcpsXUG3_rtSlQ2wkg_2_2"/>
      <w:bookmarkStart w:id="582" w:name="Tc_6ZzcsxpuokOGg-w5f5pgwQ_1_5"/>
      <w:bookmarkStart w:id="583" w:name="Tc_dCwqaOz7PU20tcp5hqwzKg_1_2"/>
      <w:bookmarkStart w:id="584" w:name="_4f6781de_a2e1_469c_9d4f_6b185d3b7a7e"/>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rPr>
          <w:rFonts w:ascii="Arial;Helvetica;sans-serif" w:hAnsi="Arial;Helvetica;sans-serif"/>
          <w:b/>
          <w:sz w:val="20"/>
        </w:rPr>
        <w:t>11.     ACCRUED EXPENSES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presents the composition of accrued expenses as of March 31, 2022 and December 31, 2021 (in thousands):</w:t>
      </w:r>
    </w:p>
    <w:p>
      <w:pPr>
        <w:pStyle w:val="TextBody"/>
        <w:spacing w:before="0" w:after="200"/>
        <w:ind w:left="0" w:right="0" w:hanging="0"/>
        <w:rPr/>
      </w:pPr>
      <w:r>
        <w:rPr/>
        <w:t>​</w:t>
      </w:r>
    </w:p>
    <w:tbl>
      <w:tblPr>
        <w:tblW w:w="6203" w:type="dxa"/>
        <w:jc w:val="left"/>
        <w:tblInd w:w="0" w:type="dxa"/>
        <w:tblCellMar>
          <w:top w:w="0" w:type="dxa"/>
          <w:left w:w="0" w:type="dxa"/>
          <w:bottom w:w="0" w:type="dxa"/>
          <w:right w:w="0" w:type="dxa"/>
        </w:tblCellMar>
      </w:tblPr>
      <w:tblGrid>
        <w:gridCol w:w="3391"/>
        <w:gridCol w:w="326"/>
        <w:gridCol w:w="237"/>
        <w:gridCol w:w="663"/>
        <w:gridCol w:w="326"/>
        <w:gridCol w:w="290"/>
        <w:gridCol w:w="970"/>
      </w:tblGrid>
      <w:tr>
        <w:trPr/>
        <w:tc>
          <w:tcPr>
            <w:tcW w:w="3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53285" cy="175260"/>
                      <wp:effectExtent l="0" t="0" r="0" b="0"/>
                      <wp:wrapNone/>
                      <wp:docPr id="108" name="Frame108"/>
                      <a:graphic xmlns:a="http://schemas.openxmlformats.org/drawingml/2006/main">
                        <a:graphicData uri="http://schemas.microsoft.com/office/word/2010/wordprocessingShape">
                          <wps:wsp>
                            <wps:cNvSpPr txBox="1"/>
                            <wps:spPr>
                              <a:xfrm>
                                <a:off x="0" y="0"/>
                                <a:ext cx="2153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50495" cy="175260"/>
                      <wp:effectExtent l="0" t="0" r="0" b="0"/>
                      <wp:wrapNone/>
                      <wp:docPr id="110" name="Frame110"/>
                      <a:graphic xmlns:a="http://schemas.openxmlformats.org/drawingml/2006/main">
                        <a:graphicData uri="http://schemas.microsoft.com/office/word/2010/wordprocessingShape">
                          <wps:wsp>
                            <wps:cNvSpPr txBox="1"/>
                            <wps:spPr>
                              <a:xfrm>
                                <a:off x="0" y="0"/>
                                <a:ext cx="150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1005" cy="175260"/>
                      <wp:effectExtent l="0" t="0" r="0" b="0"/>
                      <wp:wrapNone/>
                      <wp:docPr id="111" name="Frame111"/>
                      <a:graphic xmlns:a="http://schemas.openxmlformats.org/drawingml/2006/main">
                        <a:graphicData uri="http://schemas.microsoft.com/office/word/2010/wordprocessingShape">
                          <wps:wsp>
                            <wps:cNvSpPr txBox="1"/>
                            <wps:spPr>
                              <a:xfrm>
                                <a:off x="0" y="0"/>
                                <a:ext cx="421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4150" cy="175260"/>
                      <wp:effectExtent l="0" t="0" r="0" b="0"/>
                      <wp:wrapNone/>
                      <wp:docPr id="113" name="Frame113"/>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15950" cy="175260"/>
                      <wp:effectExtent l="0" t="0" r="0" b="0"/>
                      <wp:wrapNone/>
                      <wp:docPr id="114" name="Frame114"/>
                      <a:graphic xmlns:a="http://schemas.openxmlformats.org/drawingml/2006/main">
                        <a:graphicData uri="http://schemas.microsoft.com/office/word/2010/wordprocessingShape">
                          <wps:wsp>
                            <wps:cNvSpPr txBox="1"/>
                            <wps:spPr>
                              <a:xfrm>
                                <a:off x="0" y="0"/>
                                <a:ext cx="615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0"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260"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33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Compensation and related benefits</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4,112</w:t>
            </w:r>
          </w:p>
        </w:tc>
        <w:tc>
          <w:tcPr>
            <w:tcW w:w="32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5,090</w:t>
            </w:r>
          </w:p>
        </w:tc>
      </w:tr>
      <w:tr>
        <w:trPr/>
        <w:tc>
          <w:tcPr>
            <w:tcW w:w="33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Consulting and professional fees</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663"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717</w:t>
            </w:r>
          </w:p>
        </w:tc>
        <w:tc>
          <w:tcPr>
            <w:tcW w:w="32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970"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537</w:t>
            </w:r>
          </w:p>
        </w:tc>
      </w:tr>
      <w:tr>
        <w:trPr/>
        <w:tc>
          <w:tcPr>
            <w:tcW w:w="33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Research and development expenses</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663"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400</w:t>
            </w:r>
          </w:p>
        </w:tc>
        <w:tc>
          <w:tcPr>
            <w:tcW w:w="32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 </w:t>
            </w:r>
          </w:p>
        </w:tc>
        <w:tc>
          <w:tcPr>
            <w:tcW w:w="97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388</w:t>
            </w:r>
          </w:p>
        </w:tc>
      </w:tr>
      <w:tr>
        <w:trPr/>
        <w:tc>
          <w:tcPr>
            <w:tcW w:w="33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Sales and marketing expenses</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663"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544</w:t>
            </w:r>
          </w:p>
        </w:tc>
        <w:tc>
          <w:tcPr>
            <w:tcW w:w="32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w:t>
            </w:r>
          </w:p>
        </w:tc>
        <w:tc>
          <w:tcPr>
            <w:tcW w:w="970"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268</w:t>
            </w:r>
          </w:p>
        </w:tc>
      </w:tr>
      <w:tr>
        <w:trPr/>
        <w:tc>
          <w:tcPr>
            <w:tcW w:w="33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Warranty</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 </w:t>
            </w:r>
          </w:p>
        </w:tc>
        <w:tc>
          <w:tcPr>
            <w:tcW w:w="663"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299</w:t>
            </w:r>
          </w:p>
        </w:tc>
        <w:tc>
          <w:tcPr>
            <w:tcW w:w="32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 </w:t>
            </w:r>
          </w:p>
        </w:tc>
        <w:tc>
          <w:tcPr>
            <w:tcW w:w="97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306</w:t>
            </w:r>
          </w:p>
        </w:tc>
      </w:tr>
      <w:tr>
        <w:trPr/>
        <w:tc>
          <w:tcPr>
            <w:tcW w:w="33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Sales and other taxes payable</w:t>
            </w:r>
          </w:p>
        </w:tc>
        <w:tc>
          <w:tcPr>
            <w:tcW w:w="32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 </w:t>
            </w:r>
          </w:p>
        </w:tc>
        <w:tc>
          <w:tcPr>
            <w:tcW w:w="663"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563</w:t>
            </w:r>
          </w:p>
        </w:tc>
        <w:tc>
          <w:tcPr>
            <w:tcW w:w="32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970"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664</w:t>
            </w:r>
          </w:p>
        </w:tc>
      </w:tr>
      <w:tr>
        <w:trPr/>
        <w:tc>
          <w:tcPr>
            <w:tcW w:w="33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Interest payable</w:t>
            </w:r>
          </w:p>
        </w:tc>
        <w:tc>
          <w:tcPr>
            <w:tcW w:w="32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w:t>
            </w:r>
          </w:p>
        </w:tc>
        <w:tc>
          <w:tcPr>
            <w:tcW w:w="663"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281</w:t>
            </w:r>
          </w:p>
        </w:tc>
        <w:tc>
          <w:tcPr>
            <w:tcW w:w="32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w:t>
            </w:r>
          </w:p>
        </w:tc>
        <w:tc>
          <w:tcPr>
            <w:tcW w:w="970" w:type="dxa"/>
            <w:tcBorders/>
            <w:shd w:fill="CCEEFF" w:val="clear"/>
            <w:vAlign w:val="center"/>
          </w:tcPr>
          <w:p>
            <w:pPr>
              <w:pStyle w:val="TableContents"/>
              <w:spacing w:before="0" w:after="0"/>
              <w:ind w:left="0" w:right="0" w:hanging="0"/>
              <w:jc w:val="right"/>
              <w:rPr/>
            </w:pPr>
            <w:r>
              <w:rPr/>
              <w:t>—</w:t>
            </w:r>
          </w:p>
        </w:tc>
      </w:tr>
      <w:tr>
        <w:trPr/>
        <w:tc>
          <w:tcPr>
            <w:tcW w:w="33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w:t>
            </w:r>
          </w:p>
        </w:tc>
        <w:tc>
          <w:tcPr>
            <w:tcW w:w="32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869</w:t>
            </w:r>
          </w:p>
        </w:tc>
        <w:tc>
          <w:tcPr>
            <w:tcW w:w="326" w:type="dxa"/>
            <w:tcBorders/>
            <w:shd w:fill="auto" w:val="clear"/>
            <w:vAlign w:val="center"/>
          </w:tcPr>
          <w:p>
            <w:pPr>
              <w:pStyle w:val="TableContents"/>
              <w:spacing w:before="0" w:after="0"/>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980</w:t>
            </w:r>
          </w:p>
        </w:tc>
      </w:tr>
      <w:tr>
        <w:trPr/>
        <w:tc>
          <w:tcPr>
            <w:tcW w:w="33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spacing w:before="0" w:after="0"/>
              <w:ind w:left="0" w:right="0" w:hanging="0"/>
              <w:rPr/>
            </w:pPr>
            <w:r>
              <w:rPr/>
              <w:t>​</w:t>
            </w:r>
          </w:p>
        </w:tc>
        <w:tc>
          <w:tcPr>
            <w:tcW w:w="237"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7,785</w:t>
            </w:r>
          </w:p>
        </w:tc>
        <w:tc>
          <w:tcPr>
            <w:tcW w:w="326" w:type="dxa"/>
            <w:tcBorders/>
            <w:shd w:fill="CCEEFF" w:val="clear"/>
            <w:vAlign w:val="center"/>
          </w:tcPr>
          <w:p>
            <w:pPr>
              <w:pStyle w:val="TableContents"/>
              <w:spacing w:before="0" w:after="0"/>
              <w:ind w:left="0" w:right="0" w:hanging="0"/>
              <w:rPr/>
            </w:pPr>
            <w:r>
              <w:rPr/>
              <w:t>​</w:t>
            </w:r>
          </w:p>
        </w:tc>
        <w:tc>
          <w:tcPr>
            <w:tcW w:w="290"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Arial;Helvetica;sans-serif" w:hAnsi="Arial;Helvetica;sans-serif"/>
                <w:sz w:val="20"/>
              </w:rPr>
            </w:pPr>
            <w:r>
              <w:rPr>
                <w:rFonts w:ascii="Arial;Helvetica;sans-serif" w:hAnsi="Arial;Helvetica;sans-serif"/>
                <w:sz w:val="20"/>
              </w:rPr>
              <w:t>8,233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12.     DEFERRED REVENUE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Payment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contract liabilities (deferred revenue). For multi-year agreements, the Company generally invoices customers annually at the beginning of each annual coverage period and recognizes revenue over the term of the coverage period.</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0"/>
        <w:ind w:left="0" w:right="0" w:hanging="0"/>
        <w:rPr>
          <w:rFonts w:ascii="Arial;Helvetica;sans-serif" w:hAnsi="Arial;Helvetica;sans-serif"/>
          <w:sz w:val="20"/>
        </w:rPr>
      </w:pPr>
      <w:bookmarkStart w:id="585" w:name="Tc_iYfFm1iBi02eKFHVVm2KJQ_7_3"/>
      <w:bookmarkStart w:id="586" w:name="Tc_Kd9axs_bHE61sQjQdkhzMQ_7_0"/>
      <w:bookmarkStart w:id="587" w:name="Tc_7Ebi1jVcoEOgop82t3Q3sw_6_3"/>
      <w:bookmarkStart w:id="588" w:name="Tc_fkKGUQD3KEytBcPU52Qo-w_5_3"/>
      <w:bookmarkStart w:id="589" w:name="Tc_1llxrf2UiU-BNfWPamWeMA_4_3"/>
      <w:bookmarkStart w:id="590" w:name="Tc_Xv5w1Nt1OUOveS-0wX7_jA_3_3"/>
      <w:bookmarkStart w:id="591" w:name="Tc_qlivL1L_bE-7-RcHMErjjA_2_2"/>
      <w:bookmarkStart w:id="592" w:name="Tc_mK3Pz_NSkUOTC-wdGe1HDw_2_0"/>
      <w:bookmarkStart w:id="593" w:name="Tc_fo-vbZy4gk-QGmW_loYi8Q_1_2"/>
      <w:bookmarkStart w:id="594" w:name="_046e54bf_fe22_4824_bda9_f9a9c51381c1"/>
      <w:bookmarkEnd w:id="585"/>
      <w:bookmarkEnd w:id="586"/>
      <w:bookmarkEnd w:id="587"/>
      <w:bookmarkEnd w:id="588"/>
      <w:bookmarkEnd w:id="589"/>
      <w:bookmarkEnd w:id="590"/>
      <w:bookmarkEnd w:id="591"/>
      <w:bookmarkEnd w:id="592"/>
      <w:bookmarkEnd w:id="593"/>
      <w:bookmarkEnd w:id="594"/>
      <w:r>
        <w:rPr>
          <w:rFonts w:ascii="Arial;Helvetica;sans-serif" w:hAnsi="Arial;Helvetica;sans-serif"/>
          <w:sz w:val="20"/>
        </w:rPr>
        <w:t>As of March 31, 2022, the Company expects to recognize approximately the following percentages of deferred revenue by year:</w:t>
      </w:r>
    </w:p>
    <w:p>
      <w:pPr>
        <w:pStyle w:val="TextBody"/>
        <w:spacing w:before="0" w:after="200"/>
        <w:ind w:left="0" w:right="0" w:hanging="0"/>
        <w:rPr/>
      </w:pPr>
      <w:r>
        <w:rPr/>
        <w:t>​</w:t>
      </w:r>
    </w:p>
    <w:tbl>
      <w:tblPr>
        <w:tblW w:w="3494" w:type="dxa"/>
        <w:jc w:val="left"/>
        <w:tblInd w:w="0" w:type="dxa"/>
        <w:tblCellMar>
          <w:top w:w="0" w:type="dxa"/>
          <w:left w:w="0" w:type="dxa"/>
          <w:bottom w:w="0" w:type="dxa"/>
          <w:right w:w="0" w:type="dxa"/>
        </w:tblCellMar>
      </w:tblPr>
      <w:tblGrid>
        <w:gridCol w:w="1756"/>
        <w:gridCol w:w="326"/>
        <w:gridCol w:w="1081"/>
        <w:gridCol w:w="331"/>
      </w:tblGrid>
      <w:tr>
        <w:trPr/>
        <w:tc>
          <w:tcPr>
            <w:tcW w:w="1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115060" cy="175260"/>
                      <wp:effectExtent l="0" t="0" r="0" b="0"/>
                      <wp:wrapNone/>
                      <wp:docPr id="115" name="Frame115"/>
                      <a:graphic xmlns:a="http://schemas.openxmlformats.org/drawingml/2006/main">
                        <a:graphicData uri="http://schemas.microsoft.com/office/word/2010/wordprocessingShape">
                          <wps:wsp>
                            <wps:cNvSpPr txBox="1"/>
                            <wps:spPr>
                              <a:xfrm>
                                <a:off x="0" y="0"/>
                                <a:ext cx="1115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86435" cy="175260"/>
                      <wp:effectExtent l="0" t="0" r="0" b="0"/>
                      <wp:wrapNone/>
                      <wp:docPr id="117" name="Frame117"/>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0185" cy="175260"/>
                      <wp:effectExtent l="0" t="0" r="0" b="0"/>
                      <wp:wrapNone/>
                      <wp:docPr id="118" name="Frame118"/>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8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Revenue</w:t>
            </w:r>
          </w:p>
        </w:tc>
        <w:tc>
          <w:tcPr>
            <w:tcW w:w="331" w:type="dxa"/>
            <w:tcBorders/>
            <w:shd w:fill="auto" w:val="clear"/>
            <w:vAlign w:val="center"/>
          </w:tcPr>
          <w:p>
            <w:pPr>
              <w:pStyle w:val="TableContents"/>
              <w:spacing w:before="0" w:after="1"/>
              <w:ind w:left="0" w:right="0" w:hanging="0"/>
              <w:jc w:val="center"/>
              <w:rPr/>
            </w:pPr>
            <w:r>
              <w:rPr/>
              <w:t> </w:t>
            </w:r>
          </w:p>
        </w:tc>
      </w:tr>
      <w:tr>
        <w:trPr/>
        <w:tc>
          <w:tcPr>
            <w:tcW w:w="1756" w:type="dxa"/>
            <w:tcBorders>
              <w:bottom w:val="single" w:sz="2"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Year:</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Recognition</w:t>
            </w:r>
          </w:p>
        </w:tc>
        <w:tc>
          <w:tcPr>
            <w:tcW w:w="331" w:type="dxa"/>
            <w:tcBorders/>
            <w:shd w:fill="auto" w:val="clear"/>
            <w:vAlign w:val="center"/>
          </w:tcPr>
          <w:p>
            <w:pPr>
              <w:pStyle w:val="TableContents"/>
              <w:spacing w:before="0" w:after="1"/>
              <w:ind w:left="0" w:right="0" w:hanging="0"/>
              <w:jc w:val="center"/>
              <w:rPr/>
            </w:pPr>
            <w:r>
              <w:rPr/>
              <w:t> </w:t>
            </w:r>
          </w:p>
        </w:tc>
      </w:tr>
      <w:tr>
        <w:trPr/>
        <w:tc>
          <w:tcPr>
            <w:tcW w:w="1756" w:type="dxa"/>
            <w:tcBorders/>
            <w:shd w:fill="CCEEFF" w:val="clear"/>
            <w:vAlign w:val="center"/>
          </w:tcPr>
          <w:p>
            <w:pPr>
              <w:pStyle w:val="TableContents"/>
              <w:spacing w:before="0" w:after="1"/>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Remainder of 2022</w:t>
            </w:r>
          </w:p>
        </w:tc>
        <w:tc>
          <w:tcPr>
            <w:tcW w:w="326" w:type="dxa"/>
            <w:tcBorders/>
            <w:shd w:fill="CCEEFF" w:val="clear"/>
            <w:vAlign w:val="center"/>
          </w:tcPr>
          <w:p>
            <w:pPr>
              <w:pStyle w:val="TableContents"/>
              <w:spacing w:before="0" w:after="1"/>
              <w:ind w:left="0" w:right="0" w:hanging="0"/>
              <w:jc w:val="center"/>
              <w:rPr/>
            </w:pPr>
            <w:r>
              <w:rPr/>
              <w:t>​</w:t>
            </w:r>
          </w:p>
        </w:tc>
        <w:tc>
          <w:tcPr>
            <w:tcW w:w="108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50</w:t>
            </w:r>
          </w:p>
        </w:tc>
        <w:tc>
          <w:tcPr>
            <w:tcW w:w="331" w:type="dxa"/>
            <w:tcBorders/>
            <w:shd w:fill="CCEEFF"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1756" w:type="dxa"/>
            <w:tcBorders/>
            <w:shd w:fill="auto" w:val="clear"/>
            <w:vAlign w:val="center"/>
          </w:tcPr>
          <w:p>
            <w:pPr>
              <w:pStyle w:val="TableContents"/>
              <w:spacing w:before="0" w:after="1"/>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2023</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spacing w:before="0" w:after="1"/>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2024</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1756" w:type="dxa"/>
            <w:tcBorders/>
            <w:shd w:fill="auto" w:val="clear"/>
            <w:vAlign w:val="center"/>
          </w:tcPr>
          <w:p>
            <w:pPr>
              <w:pStyle w:val="TableContents"/>
              <w:spacing w:before="0" w:after="1"/>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326" w:type="dxa"/>
            <w:tcBorders/>
            <w:shd w:fill="auto" w:val="clear"/>
            <w:vAlign w:val="center"/>
          </w:tcPr>
          <w:p>
            <w:pPr>
              <w:pStyle w:val="TableContents"/>
              <w:spacing w:before="0" w:after="1"/>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spacing w:before="0" w:after="1"/>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200"/>
        <w:ind w:left="0" w:right="0" w:hanging="0"/>
        <w:rPr/>
      </w:pPr>
      <w:r>
        <w:rPr/>
        <w:t>​</w:t>
      </w:r>
    </w:p>
    <w:p>
      <w:pPr>
        <w:pStyle w:val="TextBody"/>
        <w:spacing w:before="0" w:after="200"/>
        <w:ind w:left="0" w:right="0" w:hanging="0"/>
        <w:rPr/>
      </w:pPr>
      <w:r>
        <w:rPr/>
        <w:drawing>
          <wp:inline distT="0" distB="0" distL="0" distR="0">
            <wp:extent cx="14605" cy="14605"/>
            <wp:effectExtent l="0" t="0" r="0" b="0"/>
            <wp:docPr id="1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 descr=""/>
                    <pic:cNvPicPr>
                      <a:picLocks noChangeAspect="1" noChangeArrowheads="1"/>
                    </pic:cNvPicPr>
                  </pic:nvPicPr>
                  <pic:blipFill>
                    <a:blip r:embed="rId2"/>
                    <a:stretch>
                      <a:fillRect/>
                    </a:stretch>
                  </pic:blipFill>
                  <pic:spPr bwMode="auto">
                    <a:xfrm>
                      <a:off x="0" y="0"/>
                      <a:ext cx="14605" cy="14605"/>
                    </a:xfrm>
                    <a:prstGeom prst="rect">
                      <a:avLst/>
                    </a:prstGeom>
                  </pic:spPr>
                </pic:pic>
              </a:graphicData>
            </a:graphic>
          </wp:inline>
        </w:drawing>
      </w:r>
      <w:r>
        <w:rPr>
          <w:rFonts w:ascii="Arial;Helvetica;sans-serif" w:hAnsi="Arial;Helvetica;sans-serif"/>
          <w:sz w:val="20"/>
        </w:rPr>
        <w:t>Revenue recognized for the three months ended March 31, 2022 that was included in the contract liability balance at the beginning of the year was $1.4 million and $1.2 million, respectively, and primarily represented revenue earned from separately priced extended warranties, customer deposits, milestone revenue, and clinical training.</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Customers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For the three months ended March 31, 2022 and 2021, one customer accounted for more than 10% of the Company’s revenues, respectively. </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595" w:name="Tc_EGGeCsJTkEKqjA3cM5kquw_8_5"/>
      <w:bookmarkStart w:id="596" w:name="Tc_XWpkb7QC80i30b8zO50K-A_8_2"/>
      <w:bookmarkStart w:id="597" w:name="Tc_kT25LUv7eEekx6DuCQlX4A_8_0"/>
      <w:bookmarkStart w:id="598" w:name="Tc_7xjH-B1AjUSfKobtsXvnWw_7_6"/>
      <w:bookmarkStart w:id="599" w:name="Tc_QZQZvD9Xqkq3pfWw35v_qg_7_3"/>
      <w:bookmarkStart w:id="600" w:name="Tc_M9Uo0CyRF0iDuv7UME410Q_7_0"/>
      <w:bookmarkStart w:id="601" w:name="Tc_gy6azmFeF0qJwb4OzWzQrQ_6_0"/>
      <w:bookmarkStart w:id="602" w:name="Tc_wRJICc4sBECR1pnV7JwVsA_5_0"/>
      <w:bookmarkStart w:id="603" w:name="Tc_V02cZ31fLU-CSQpJNetQdQ_4_0"/>
      <w:bookmarkStart w:id="604" w:name="Tc_m9vsx_Be2UmYz8wXJjSTug_3_5"/>
      <w:bookmarkStart w:id="605" w:name="Tc_V0m6aVOuQU62RMvPvQuFpg_3_2"/>
      <w:bookmarkStart w:id="606" w:name="Tc_RAGQOefybk251FHqF1mD3w_3_0"/>
      <w:bookmarkStart w:id="607" w:name="Tc_OpzNFAo2Z06ijlZw-XWgLQ_2_5"/>
      <w:bookmarkStart w:id="608" w:name="Tc_uft6wPpj4UyNT_h9F0luQw_2_2"/>
      <w:bookmarkStart w:id="609" w:name="Tc_4Hb8wyCOdk-LTnoDGUd1Ig_1_5"/>
      <w:bookmarkStart w:id="610" w:name="Tc_GaLafzVnhk-OtQf25ORWtg_1_2"/>
      <w:bookmarkStart w:id="611" w:name="_08411695_41a8_455f_ae2f_3443dd6a14f5"/>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Pr>
          <w:rFonts w:ascii="Arial;Helvetica;sans-serif" w:hAnsi="Arial;Helvetica;sans-serif"/>
          <w:b/>
          <w:sz w:val="20"/>
        </w:rPr>
        <w:t>13.     DEBT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presents the composition of debt as of March 31, 2022 and December 31, 2021 (in thousands):</w:t>
      </w:r>
    </w:p>
    <w:p>
      <w:pPr>
        <w:pStyle w:val="TextBody"/>
        <w:spacing w:before="0" w:after="200"/>
        <w:ind w:left="0" w:right="0" w:hanging="0"/>
        <w:rPr/>
      </w:pPr>
      <w:r>
        <w:rPr/>
        <w:t>​</w:t>
      </w:r>
    </w:p>
    <w:tbl>
      <w:tblPr>
        <w:tblW w:w="5444" w:type="dxa"/>
        <w:jc w:val="left"/>
        <w:tblInd w:w="0" w:type="dxa"/>
        <w:tblCellMar>
          <w:top w:w="0" w:type="dxa"/>
          <w:left w:w="0" w:type="dxa"/>
          <w:bottom w:w="0" w:type="dxa"/>
          <w:right w:w="0" w:type="dxa"/>
        </w:tblCellMar>
      </w:tblPr>
      <w:tblGrid>
        <w:gridCol w:w="2506"/>
        <w:gridCol w:w="326"/>
        <w:gridCol w:w="211"/>
        <w:gridCol w:w="706"/>
        <w:gridCol w:w="326"/>
        <w:gridCol w:w="284"/>
        <w:gridCol w:w="931"/>
        <w:gridCol w:w="154"/>
      </w:tblGrid>
      <w:tr>
        <w:trPr/>
        <w:tc>
          <w:tcPr>
            <w:tcW w:w="2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4"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7"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215"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shd w:fill="auto" w:val="clear"/>
            <w:vAlign w:val="center"/>
          </w:tcPr>
          <w:p>
            <w:pPr>
              <w:pStyle w:val="TableContents"/>
              <w:spacing w:before="0" w:after="0"/>
              <w:ind w:left="0" w:right="0" w:hanging="0"/>
              <w:jc w:val="center"/>
              <w:rPr/>
            </w:pPr>
            <w:r>
              <w:rPr/>
              <w:t>​</w:t>
            </w:r>
          </w:p>
        </w:tc>
      </w:tr>
      <w:tr>
        <w:trPr/>
        <w:tc>
          <w:tcPr>
            <w:tcW w:w="2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    </w:t>
            </w:r>
          </w:p>
        </w:tc>
        <w:tc>
          <w:tcPr>
            <w:tcW w:w="12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154" w:type="dxa"/>
            <w:tcBorders/>
            <w:shd w:fill="auto" w:val="clear"/>
            <w:vAlign w:val="center"/>
          </w:tcPr>
          <w:p>
            <w:pPr>
              <w:pStyle w:val="TableContents"/>
              <w:spacing w:before="0" w:after="0"/>
              <w:ind w:left="0" w:right="0" w:hanging="0"/>
              <w:rPr/>
            </w:pPr>
            <w:r>
              <w:rPr/>
              <w:t>​</w:t>
            </w:r>
          </w:p>
        </w:tc>
      </w:tr>
      <w:tr>
        <w:trPr/>
        <w:tc>
          <w:tcPr>
            <w:tcW w:w="25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Outstanding principal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35,000</w:t>
            </w:r>
          </w:p>
        </w:tc>
        <w:tc>
          <w:tcPr>
            <w:tcW w:w="326" w:type="dxa"/>
            <w:tcBorders/>
            <w:shd w:fill="CCEEFF" w:val="clear"/>
            <w:vAlign w:val="center"/>
          </w:tcPr>
          <w:p>
            <w:pPr>
              <w:pStyle w:val="TableContents"/>
              <w:spacing w:before="0" w:after="0"/>
              <w:ind w:left="0" w:right="0" w:hanging="0"/>
              <w:rPr/>
            </w:pPr>
            <w:r>
              <w:rPr/>
              <w:t>​</w:t>
            </w:r>
          </w:p>
        </w:tc>
        <w:tc>
          <w:tcPr>
            <w:tcW w:w="284"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35,000</w:t>
            </w:r>
          </w:p>
        </w:tc>
        <w:tc>
          <w:tcPr>
            <w:tcW w:w="154" w:type="dxa"/>
            <w:tcBorders/>
            <w:shd w:fill="CCEEFF" w:val="clear"/>
            <w:vAlign w:val="center"/>
          </w:tcPr>
          <w:p>
            <w:pPr>
              <w:pStyle w:val="TableContents"/>
              <w:spacing w:before="0" w:after="0"/>
              <w:ind w:left="0" w:right="0" w:hanging="0"/>
              <w:rPr/>
            </w:pPr>
            <w:r>
              <w:rPr/>
              <w:t>​</w:t>
            </w:r>
          </w:p>
        </w:tc>
      </w:tr>
      <w:tr>
        <w:trPr/>
        <w:tc>
          <w:tcPr>
            <w:tcW w:w="25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Accrued final payment fees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1,925</w:t>
            </w:r>
          </w:p>
        </w:tc>
        <w:tc>
          <w:tcPr>
            <w:tcW w:w="326" w:type="dxa"/>
            <w:tcBorders/>
            <w:shd w:fill="auto" w:val="clear"/>
            <w:vAlign w:val="center"/>
          </w:tcPr>
          <w:p>
            <w:pPr>
              <w:pStyle w:val="TableContents"/>
              <w:spacing w:before="0" w:after="0"/>
              <w:ind w:left="0" w:right="0" w:hanging="0"/>
              <w:rPr/>
            </w:pPr>
            <w:r>
              <w:rPr/>
              <w:t>​</w:t>
            </w:r>
          </w:p>
        </w:tc>
        <w:tc>
          <w:tcPr>
            <w:tcW w:w="284"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1,925</w:t>
            </w:r>
          </w:p>
        </w:tc>
        <w:tc>
          <w:tcPr>
            <w:tcW w:w="154" w:type="dxa"/>
            <w:tcBorders/>
            <w:shd w:fill="auto" w:val="clear"/>
            <w:vAlign w:val="center"/>
          </w:tcPr>
          <w:p>
            <w:pPr>
              <w:pStyle w:val="TableContents"/>
              <w:spacing w:before="0" w:after="0"/>
              <w:ind w:left="0" w:right="0" w:hanging="0"/>
              <w:rPr/>
            </w:pPr>
            <w:r>
              <w:rPr/>
              <w:t>​</w:t>
            </w:r>
          </w:p>
        </w:tc>
      </w:tr>
      <w:tr>
        <w:trPr/>
        <w:tc>
          <w:tcPr>
            <w:tcW w:w="25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Less debt discounts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(1,483)</w:t>
            </w:r>
          </w:p>
        </w:tc>
        <w:tc>
          <w:tcPr>
            <w:tcW w:w="326" w:type="dxa"/>
            <w:tcBorders/>
            <w:shd w:fill="CCEEFF" w:val="clear"/>
            <w:vAlign w:val="center"/>
          </w:tcPr>
          <w:p>
            <w:pPr>
              <w:pStyle w:val="TableContents"/>
              <w:spacing w:before="0" w:after="0"/>
              <w:ind w:left="0" w:right="0" w:hanging="0"/>
              <w:rPr/>
            </w:pPr>
            <w:r>
              <w:rPr/>
              <w:t>​</w:t>
            </w:r>
          </w:p>
        </w:tc>
        <w:tc>
          <w:tcPr>
            <w:tcW w:w="28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(1,590)</w:t>
            </w:r>
          </w:p>
        </w:tc>
        <w:tc>
          <w:tcPr>
            <w:tcW w:w="154" w:type="dxa"/>
            <w:tcBorders/>
            <w:shd w:fill="CCEEFF" w:val="clear"/>
            <w:vAlign w:val="center"/>
          </w:tcPr>
          <w:p>
            <w:pPr>
              <w:pStyle w:val="TableContents"/>
              <w:spacing w:before="0" w:after="0"/>
              <w:ind w:left="0" w:right="0" w:hanging="0"/>
              <w:rPr/>
            </w:pPr>
            <w:r>
              <w:rPr/>
              <w:t>​</w:t>
            </w:r>
          </w:p>
        </w:tc>
      </w:tr>
      <w:tr>
        <w:trPr/>
        <w:tc>
          <w:tcPr>
            <w:tcW w:w="25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debt,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35,442</w:t>
            </w:r>
          </w:p>
        </w:tc>
        <w:tc>
          <w:tcPr>
            <w:tcW w:w="326" w:type="dxa"/>
            <w:tcBorders/>
            <w:shd w:fill="auto" w:val="clear"/>
            <w:vAlign w:val="center"/>
          </w:tcPr>
          <w:p>
            <w:pPr>
              <w:pStyle w:val="TableContents"/>
              <w:spacing w:before="0" w:after="0"/>
              <w:ind w:left="0" w:right="0" w:hanging="0"/>
              <w:rPr/>
            </w:pPr>
            <w:r>
              <w:rPr/>
              <w:t>​</w:t>
            </w:r>
          </w:p>
        </w:tc>
        <w:tc>
          <w:tcPr>
            <w:tcW w:w="284"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35,335</w:t>
            </w:r>
          </w:p>
        </w:tc>
        <w:tc>
          <w:tcPr>
            <w:tcW w:w="154" w:type="dxa"/>
            <w:tcBorders/>
            <w:shd w:fill="auto" w:val="clear"/>
            <w:vAlign w:val="center"/>
          </w:tcPr>
          <w:p>
            <w:pPr>
              <w:pStyle w:val="TableContents"/>
              <w:spacing w:before="0" w:after="0"/>
              <w:ind w:left="0" w:right="0" w:hanging="0"/>
              <w:rPr/>
            </w:pPr>
            <w:r>
              <w:rPr/>
              <w:t>​</w:t>
            </w:r>
          </w:p>
        </w:tc>
      </w:tr>
      <w:tr>
        <w:trPr/>
        <w:tc>
          <w:tcPr>
            <w:tcW w:w="25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Less current portion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8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5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Long-term debt,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35,442</w:t>
            </w:r>
          </w:p>
        </w:tc>
        <w:tc>
          <w:tcPr>
            <w:tcW w:w="326" w:type="dxa"/>
            <w:tcBorders/>
            <w:shd w:fill="auto" w:val="clear"/>
            <w:vAlign w:val="center"/>
          </w:tcPr>
          <w:p>
            <w:pPr>
              <w:pStyle w:val="TableContents"/>
              <w:spacing w:before="0" w:after="0"/>
              <w:ind w:left="0" w:right="0" w:hanging="0"/>
              <w:rPr/>
            </w:pPr>
            <w:r>
              <w:rPr/>
              <w:t>​</w:t>
            </w:r>
          </w:p>
        </w:tc>
        <w:tc>
          <w:tcPr>
            <w:tcW w:w="284"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35,335</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For the three months ended March 31, 2022 and March 31, 2021, the Company recognized interest expense of $1.0 million, of which $0.8 million was cash and $0.2 million was non-cash interest expense related to the amortization of deferred debt issuance costs and accrual of final payment fees, respectively. </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Solar Credit Facility</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Solar Facility originally permitted the Company to borrow up to an aggregate amount of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 (i) upon the Company achieving a specified amount of trailing twelve months net product revenue, and (ii) assuming there has been </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no event of default under the Solar Facility prior to such election. Once the net product revenue condition has been satisfied, the Company may make an election to borrow under the Term B Loan portion of the Solar Facility until the earlier of (a) December 15, 2021, (b) 30 days following achievement of the net product revenue condition or (c) the occurrence of an event of default.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w:t>
      </w:r>
      <w:r>
        <w:rPr>
          <w:rFonts w:ascii="Arial;Helvetica;sans-serif" w:hAnsi="Arial;Helvetica;sans-serif"/>
          <w:b w:val="false"/>
          <w:i w:val="false"/>
          <w:caps w:val="false"/>
          <w:smallCaps w:val="false"/>
          <w:sz w:val="20"/>
        </w:rPr>
        <w:t>March</w:t>
      </w:r>
      <w:r>
        <w:rPr>
          <w:rFonts w:ascii="Arial;Helvetica;sans-serif" w:hAnsi="Arial;Helvetica;sans-serif"/>
          <w:sz w:val="20"/>
        </w:rPr>
        <w:t xml:space="preserve"> 1, 2022, after which time the Company will be required to make monthly payments of principal and interest. Monthly principal payments are to be paid in equal amounts on a pro rata basis to lenders. At the Company’s election, the interest only period may be extended through </w:t>
      </w:r>
      <w:r>
        <w:rPr>
          <w:rFonts w:ascii="Arial;Helvetica;sans-serif" w:hAnsi="Arial;Helvetica;sans-serif"/>
          <w:b w:val="false"/>
          <w:i w:val="false"/>
          <w:caps w:val="false"/>
          <w:smallCaps w:val="false"/>
          <w:sz w:val="20"/>
        </w:rPr>
        <w:t>February 2023</w:t>
      </w:r>
      <w:r>
        <w:rPr>
          <w:rFonts w:ascii="Arial;Helvetica;sans-serif" w:hAnsi="Arial;Helvetica;sans-serif"/>
          <w:sz w:val="20"/>
        </w:rPr>
        <w:t xml:space="preserve"> if the Company satisfies a minimum net product revenue covenant through March 1, 2022 and no event of default shall have occurred. </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 (d) 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Company’s obligations under the Solar Facility are secured by a first priority security interest in substantially all of its assets, including its intellectual property. The loan and security agreement requires the Company to comply with certain financial covenants, including the attainment of a minimum trailing net revenue amount beginning on December 31, 2020, as well as customary affirmative and negative covenants.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On December 8, 2020, the Company, Solar Capital Ltd., and our other lenders defined in the Solar Facility, executed an amendment to the Solar Facility (the “Solar Amendment”). The Solar Amendment divided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pStyle w:val="TextBody"/>
        <w:spacing w:before="0" w:after="0"/>
        <w:ind w:left="0" w:right="0" w:hanging="0"/>
        <w:rPr>
          <w:rFonts w:ascii="Times New Roman;Times;serif" w:hAnsi="Times New Roman;Times;serif"/>
          <w:sz w:val="20"/>
        </w:rPr>
      </w:pPr>
      <w:r>
        <w:rPr>
          <w:rFonts w:ascii="Arial;Helvetica;sans-serif" w:hAnsi="Arial;Helvetica;sans-serif"/>
          <w:sz w:val="20"/>
        </w:rPr>
        <w:t>The Solar Amendment also reduced the trailing twelve-month net product revenue requirement for the Amended Term B Loan portion of the facility. Subject to certain conditions, the Company has the ability to extend the interest only period on the initial Term A Loan to 36 months</w:t>
      </w:r>
      <w:r>
        <w:rPr>
          <w:rFonts w:ascii="Times New Roman;Times;serif" w:hAnsi="Times New Roman;Times;serif"/>
          <w:sz w:val="20"/>
        </w:rPr>
        <w:t xml:space="preserve"> </w:t>
      </w:r>
      <w:r>
        <w:rPr>
          <w:rFonts w:ascii="Arial;Helvetica;sans-serif" w:hAnsi="Arial;Helvetica;sans-serif"/>
          <w:sz w:val="20"/>
        </w:rPr>
        <w:t>from 24 months</w:t>
      </w:r>
      <w:r>
        <w:rPr>
          <w:rFonts w:ascii="Times New Roman;Times;serif" w:hAnsi="Times New Roman;Times;serif"/>
          <w:sz w:val="20"/>
        </w:rPr>
        <w:t xml:space="preserve"> </w:t>
      </w:r>
      <w:r>
        <w:rPr>
          <w:rFonts w:ascii="Arial;Helvetica;sans-serif" w:hAnsi="Arial;Helvetica;sans-serif"/>
          <w:sz w:val="20"/>
        </w:rPr>
        <w:t>upon achieving the revenue targets associated with the Amended Term B Loan. The Company was required to pay an amendment fee of $0.1</w:t>
      </w:r>
      <w:r>
        <w:rPr>
          <w:rFonts w:ascii="Times New Roman;Times;serif" w:hAnsi="Times New Roman;Times;serif"/>
          <w:sz w:val="20"/>
        </w:rPr>
        <w:t xml:space="preserve"> </w:t>
      </w:r>
      <w:r>
        <w:rPr>
          <w:rFonts w:ascii="Arial;Helvetica;sans-serif" w:hAnsi="Arial;Helvetica;sans-serif"/>
          <w:sz w:val="20"/>
        </w:rPr>
        <w:t>million to Solar, which was recognized as a deferred debt issuance cost as of December 31, 2020 that will be amortized to interest expense using the effective interest method.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Arial;Helvetica;sans-serif" w:hAnsi="Arial;Helvetica;sans-serif"/>
          <w:sz w:val="20"/>
        </w:rPr>
        <w:t>On February 15, 2022, the Company, SLR Investment Corp. (formerly known as Solar Capital Ltd.) (“Solar”).,and our other lenders defined in the Solar Facility, executed an amendment to the Solar Facility and the Solar Amendment (the “2022 Solar Amendment”). The 2022 Solar Amendment waived any default under the Solar Facility and Solar Amendment that resulted from the Company’s failure to comply with the minimum monthly trailing twelve months net product revenue financial covenant, beginning with the testing period for the calendar month ending December 31, 2021 and continuing to the execution date of the 2022 Solar Amendment; (ii) decreased the amount of trailing twelve months net product revenue that the Company is required to achieve, for testing periods on and from the calendar month ending January 31, 2022; (iii) modified the definition of the fourth draw period with respect to the Company’s ability to borrow the Term D Loan portion of the Solar Facility, such that after giving effect to the 2022 Solar Amendment, the Term D Loan portion of the Solar Facility is no longer available to be drawn by the Company; and (iv) modified the definition of interest only extension conditions to allow commencement of loan principal amortization under the Solar Facility to be extended to March 1, 2023. The Company was required to pay an amendment fee of $0.06</w:t>
      </w:r>
      <w:r>
        <w:rPr>
          <w:rFonts w:ascii="Times New Roman;Times;serif" w:hAnsi="Times New Roman;Times;serif"/>
          <w:sz w:val="20"/>
        </w:rPr>
        <w:t xml:space="preserve"> </w:t>
      </w:r>
      <w:r>
        <w:rPr>
          <w:rFonts w:ascii="Arial;Helvetica;sans-serif" w:hAnsi="Arial;Helvetica;sans-serif"/>
          <w:sz w:val="20"/>
        </w:rPr>
        <w:t>million to Solar, which has been recognized as a deferred debt issuance cost as of March 31, 2022 that will be amortized to interest expense using the effective interest method.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Arial;Helvetica;sans-serif" w:hAnsi="Arial;Helvetica;sans-serif"/>
          <w:sz w:val="20"/>
        </w:rPr>
        <w:t>As of March 31, 2022, the Company is in compliance with</w:t>
      </w:r>
      <w:r>
        <w:rPr>
          <w:rFonts w:ascii="Times New Roman;Times;serif" w:hAnsi="Times New Roman;Times;serif"/>
          <w:sz w:val="20"/>
        </w:rPr>
        <w:t xml:space="preserve"> </w:t>
      </w:r>
      <w:r>
        <w:rPr>
          <w:rFonts w:ascii="Arial;Helvetica;sans-serif" w:hAnsi="Arial;Helvetica;sans-serif"/>
          <w:sz w:val="20"/>
        </w:rPr>
        <w:t>all covenants in the Solar Facility and is projected to be in compliance with the reduced minimum revenue covenant amounts going forward.</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14.     COMMON STOCK</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Common Stock Offering</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On February 2, 2021, we closed on our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 </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b/>
          <w:sz w:val="20"/>
        </w:rPr>
      </w:pPr>
      <w:bookmarkStart w:id="612" w:name="Tc_9cqEmxht_0y2BZ_8xAsr7g_8_2"/>
      <w:bookmarkStart w:id="613" w:name="Tc_QCDJmEN0E0KYrtnD-CHAeg_7_2"/>
      <w:bookmarkStart w:id="614" w:name="Tc_WBk44C8hoU6BXqt7QKs92g_6_2"/>
      <w:bookmarkStart w:id="615" w:name="Tc_1d2g00og0Eyz1WAqzqTFhg_5_2"/>
      <w:bookmarkStart w:id="616" w:name="Tc_RbapzCJLGk6kEljc8Qi5CA_4_5"/>
      <w:bookmarkStart w:id="617" w:name="Tc_HqergSWQFkyUHrEAeO0zUA_4_2"/>
      <w:bookmarkStart w:id="618" w:name="Tc_poXQw_ui8km-1ijsjR4PjA_4_0"/>
      <w:bookmarkStart w:id="619" w:name="Tc_tM9Mpi3MWUmYJ2fZqcf9Jw_3_0"/>
      <w:bookmarkStart w:id="620" w:name="Tc_-UVqrEylXU-VlzZoVty1hw_2_0"/>
      <w:bookmarkStart w:id="621" w:name="Tc_wQdJVFAmQEC0Z02Qsxmj3Q_1_0"/>
      <w:bookmarkStart w:id="622" w:name="_3afc1274_8f31_446e_87ef_78f6f6dff05f"/>
      <w:bookmarkStart w:id="623" w:name="Tc_hb42mrpwE0KdmzaTCKbcZQ_8_2"/>
      <w:bookmarkStart w:id="624" w:name="Tc_S1PtnCGhx06srSTglDcexg_7_2"/>
      <w:bookmarkStart w:id="625" w:name="Tc_2rYrWHRzoEmS6FkKIEXV9A_6_2"/>
      <w:bookmarkStart w:id="626" w:name="Tc_Xl5z5wgMFU-Y-ZWX_boCiw_5_2"/>
      <w:bookmarkStart w:id="627" w:name="Tc_FrB3KE8HPUKTtVqBKf5f0Q_4_5"/>
      <w:bookmarkStart w:id="628" w:name="Tc_GMPJg8LBn0m6QrfHuQ35cA_4_2"/>
      <w:bookmarkStart w:id="629" w:name="Tc_wQOYOnO_v0qbBr2Om-HPvA_4_0"/>
      <w:bookmarkStart w:id="630" w:name="Tc_GWsxMa3a8Ea_2hHJjNVaZQ_3_0"/>
      <w:bookmarkStart w:id="631" w:name="Tc_vxbv2sRXeU-pMpvFtBhnJg_2_0"/>
      <w:bookmarkStart w:id="632" w:name="Tc_TOLcljLL6EKd-gfGrYtzOA_1_0"/>
      <w:bookmarkStart w:id="633" w:name="_16cf423c_712d_45d1_b753_8f0a028d703d"/>
      <w:bookmarkStart w:id="634" w:name="Tc_1NSzKge6S0WcIV2fLrI8Hw_9_0"/>
      <w:bookmarkStart w:id="635" w:name="Tc_LtETfQbVykaPET6YyuKUWA_8_0"/>
      <w:bookmarkStart w:id="636" w:name="Tc_ailXs7O-fkWCwHWGX068Ow_7_0"/>
      <w:bookmarkStart w:id="637" w:name="Tc_hRF6DFRbZkevMRFaHwoF-Q_6_0"/>
      <w:bookmarkStart w:id="638" w:name="Tc_dzlGAdZePUGXWLXxt7FDXw_5_0"/>
      <w:bookmarkStart w:id="639" w:name="Tc_n6McJ9t8p06U41GLubd0nw_4_0"/>
      <w:bookmarkStart w:id="640" w:name="Tc_Cd6rLYpaC0W0wtavCAHXQg_3_0"/>
      <w:bookmarkStart w:id="641" w:name="Tc_IT2CsvrfYEmNEOHM25_kdg_2_0"/>
      <w:bookmarkStart w:id="642" w:name="Tc_0fXK6TraUUyGkL8Ur5Ci6Q_1_4"/>
      <w:bookmarkStart w:id="643" w:name="Tc_XSU6MHsdEEmr7YyXz7lD7A_1_2"/>
      <w:bookmarkStart w:id="644" w:name="_ea2aa6cf_c580_4ba5_83c7_52ba8c209b9b"/>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Pr>
          <w:rFonts w:ascii="Arial;Helvetica;sans-serif" w:hAnsi="Arial;Helvetica;sans-serif"/>
          <w:b/>
          <w:sz w:val="20"/>
        </w:rPr>
        <w:t>Common Stock</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summarizes the total number of shares of the Company’s common stock issued and reserved for issuance as of March 31, 2022 and December 31, 2021 (in thousands):</w:t>
      </w:r>
    </w:p>
    <w:p>
      <w:pPr>
        <w:pStyle w:val="TextBody"/>
        <w:spacing w:before="0" w:after="200"/>
        <w:ind w:left="0" w:right="0" w:hanging="0"/>
        <w:rPr/>
      </w:pPr>
      <w:r>
        <w:rPr/>
        <w:t>​</w:t>
      </w:r>
    </w:p>
    <w:tbl>
      <w:tblPr>
        <w:tblW w:w="9250" w:type="dxa"/>
        <w:jc w:val="left"/>
        <w:tblInd w:w="0" w:type="dxa"/>
        <w:tblCellMar>
          <w:top w:w="0" w:type="dxa"/>
          <w:left w:w="0" w:type="dxa"/>
          <w:bottom w:w="0" w:type="dxa"/>
          <w:right w:w="0" w:type="dxa"/>
        </w:tblCellMar>
      </w:tblPr>
      <w:tblGrid>
        <w:gridCol w:w="5716"/>
        <w:gridCol w:w="326"/>
        <w:gridCol w:w="1261"/>
        <w:gridCol w:w="326"/>
        <w:gridCol w:w="1621"/>
      </w:tblGrid>
      <w:tr>
        <w:trPr/>
        <w:tc>
          <w:tcPr>
            <w:tcW w:w="5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29660" cy="175260"/>
                      <wp:effectExtent l="0" t="0" r="0" b="0"/>
                      <wp:wrapNone/>
                      <wp:docPr id="120" name="Frame119"/>
                      <a:graphic xmlns:a="http://schemas.openxmlformats.org/drawingml/2006/main">
                        <a:graphicData uri="http://schemas.microsoft.com/office/word/2010/wordprocessingShape">
                          <wps:wsp>
                            <wps:cNvSpPr txBox="1"/>
                            <wps:spPr>
                              <a:xfrm>
                                <a:off x="0" y="0"/>
                                <a:ext cx="3629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00735" cy="175260"/>
                      <wp:effectExtent l="0" t="0" r="0" b="0"/>
                      <wp:wrapNone/>
                      <wp:docPr id="122" name="Frame121"/>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029335" cy="175260"/>
                      <wp:effectExtent l="0" t="0" r="0" b="0"/>
                      <wp:wrapNone/>
                      <wp:docPr id="124" name="Frame123"/>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2022</w:t>
            </w:r>
          </w:p>
        </w:tc>
        <w:tc>
          <w:tcPr>
            <w:tcW w:w="326" w:type="dxa"/>
            <w:tcBorders/>
            <w:shd w:fill="auto" w:val="clear"/>
            <w:vAlign w:val="center"/>
          </w:tcPr>
          <w:p>
            <w:pPr>
              <w:pStyle w:val="TableContents"/>
              <w:spacing w:before="0" w:after="0"/>
              <w:ind w:left="0" w:right="0" w:hanging="0"/>
              <w:jc w:val="center"/>
              <w:rPr/>
            </w:pPr>
            <w:r>
              <w:rPr/>
              <w:t>    </w:t>
            </w:r>
          </w:p>
        </w:tc>
        <w:tc>
          <w:tcPr>
            <w:tcW w:w="16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2021</w:t>
            </w:r>
          </w:p>
        </w:tc>
      </w:tr>
      <w:tr>
        <w:trPr/>
        <w:tc>
          <w:tcPr>
            <w:tcW w:w="571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Shares of common stock issued</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26,717</w:t>
            </w:r>
          </w:p>
        </w:tc>
        <w:tc>
          <w:tcPr>
            <w:tcW w:w="326" w:type="dxa"/>
            <w:tcBorders/>
            <w:shd w:fill="CCEEFF" w:val="clear"/>
            <w:vAlign w:val="center"/>
          </w:tcPr>
          <w:p>
            <w:pPr>
              <w:pStyle w:val="TableContents"/>
              <w:spacing w:before="0" w:after="0"/>
              <w:ind w:left="0" w:right="0" w:hanging="0"/>
              <w:rPr/>
            </w:pPr>
            <w:r>
              <w:rPr/>
              <w:t> </w:t>
            </w:r>
          </w:p>
        </w:tc>
        <w:tc>
          <w:tcPr>
            <w:tcW w:w="162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26,395</w:t>
            </w:r>
          </w:p>
        </w:tc>
      </w:tr>
      <w:tr>
        <w:trPr/>
        <w:tc>
          <w:tcPr>
            <w:tcW w:w="57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Shares of common stock reserved for issuance for:</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621" w:type="dxa"/>
            <w:tcBorders/>
            <w:shd w:fill="auto" w:val="clear"/>
            <w:vAlign w:val="center"/>
          </w:tcPr>
          <w:p>
            <w:pPr>
              <w:pStyle w:val="TableContents"/>
              <w:spacing w:before="0" w:after="0"/>
              <w:ind w:left="0" w:right="0" w:hanging="0"/>
              <w:jc w:val="right"/>
              <w:rPr/>
            </w:pPr>
            <w:r>
              <w:rPr/>
              <w:t>  </w:t>
            </w:r>
          </w:p>
        </w:tc>
      </w:tr>
      <w:tr>
        <w:trPr/>
        <w:tc>
          <w:tcPr>
            <w:tcW w:w="571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Common stock warrants outstanding</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326" w:type="dxa"/>
            <w:tcBorders/>
            <w:shd w:fill="CCEEFF" w:val="clear"/>
            <w:vAlign w:val="center"/>
          </w:tcPr>
          <w:p>
            <w:pPr>
              <w:pStyle w:val="TableContents"/>
              <w:spacing w:before="0" w:after="0"/>
              <w:ind w:left="0" w:right="0" w:hanging="0"/>
              <w:rPr/>
            </w:pPr>
            <w:r>
              <w:rPr/>
              <w:t> </w:t>
            </w:r>
          </w:p>
        </w:tc>
        <w:tc>
          <w:tcPr>
            <w:tcW w:w="162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w:t>
            </w:r>
          </w:p>
        </w:tc>
      </w:tr>
      <w:tr>
        <w:trPr/>
        <w:tc>
          <w:tcPr>
            <w:tcW w:w="57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Stock options outstanding</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1,488</w:t>
            </w:r>
          </w:p>
        </w:tc>
        <w:tc>
          <w:tcPr>
            <w:tcW w:w="326" w:type="dxa"/>
            <w:tcBorders/>
            <w:shd w:fill="auto" w:val="clear"/>
            <w:vAlign w:val="center"/>
          </w:tcPr>
          <w:p>
            <w:pPr>
              <w:pStyle w:val="TableContents"/>
              <w:spacing w:before="0" w:after="0"/>
              <w:ind w:left="0" w:right="0" w:hanging="0"/>
              <w:rPr/>
            </w:pPr>
            <w:r>
              <w:rPr/>
              <w:t> </w:t>
            </w:r>
          </w:p>
        </w:tc>
        <w:tc>
          <w:tcPr>
            <w:tcW w:w="162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1,499</w:t>
            </w:r>
          </w:p>
        </w:tc>
      </w:tr>
      <w:tr>
        <w:trPr/>
        <w:tc>
          <w:tcPr>
            <w:tcW w:w="571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Restricted stock units outstanding</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4,061</w:t>
            </w:r>
          </w:p>
        </w:tc>
        <w:tc>
          <w:tcPr>
            <w:tcW w:w="326" w:type="dxa"/>
            <w:tcBorders/>
            <w:shd w:fill="CCEEFF" w:val="clear"/>
            <w:vAlign w:val="center"/>
          </w:tcPr>
          <w:p>
            <w:pPr>
              <w:pStyle w:val="TableContents"/>
              <w:spacing w:before="0" w:after="0"/>
              <w:ind w:left="0" w:right="0" w:hanging="0"/>
              <w:rPr/>
            </w:pPr>
            <w:r>
              <w:rPr/>
              <w:t> </w:t>
            </w:r>
          </w:p>
        </w:tc>
        <w:tc>
          <w:tcPr>
            <w:tcW w:w="162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2,124</w:t>
            </w:r>
          </w:p>
        </w:tc>
      </w:tr>
      <w:tr>
        <w:trPr/>
        <w:tc>
          <w:tcPr>
            <w:tcW w:w="57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Shares available for grant under stock incentive plan</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1,345</w:t>
            </w:r>
          </w:p>
        </w:tc>
        <w:tc>
          <w:tcPr>
            <w:tcW w:w="326" w:type="dxa"/>
            <w:tcBorders/>
            <w:shd w:fill="auto" w:val="clear"/>
            <w:vAlign w:val="center"/>
          </w:tcPr>
          <w:p>
            <w:pPr>
              <w:pStyle w:val="TableContents"/>
              <w:spacing w:before="0" w:after="0"/>
              <w:ind w:left="0" w:right="0" w:hanging="0"/>
              <w:rPr/>
            </w:pPr>
            <w:r>
              <w:rPr/>
              <w:t> </w:t>
            </w:r>
          </w:p>
        </w:tc>
        <w:tc>
          <w:tcPr>
            <w:tcW w:w="162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2,037</w:t>
            </w:r>
          </w:p>
        </w:tc>
      </w:tr>
      <w:tr>
        <w:trPr/>
        <w:tc>
          <w:tcPr>
            <w:tcW w:w="571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Shares available for sale under employee stock purchase plan</w:t>
            </w:r>
          </w:p>
        </w:tc>
        <w:tc>
          <w:tcPr>
            <w:tcW w:w="326" w:type="dxa"/>
            <w:tcBorders/>
            <w:shd w:fill="CCEEFF" w:val="clear"/>
            <w:vAlign w:val="center"/>
          </w:tcPr>
          <w:p>
            <w:pPr>
              <w:pStyle w:val="TableContents"/>
              <w:spacing w:before="0" w:after="0"/>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1,063</w:t>
            </w:r>
          </w:p>
        </w:tc>
        <w:tc>
          <w:tcPr>
            <w:tcW w:w="326" w:type="dxa"/>
            <w:tcBorders/>
            <w:shd w:fill="CCEEFF" w:val="clear"/>
            <w:vAlign w:val="center"/>
          </w:tcPr>
          <w:p>
            <w:pPr>
              <w:pStyle w:val="TableContents"/>
              <w:spacing w:before="0" w:after="0"/>
              <w:ind w:left="0" w:right="0" w:hanging="0"/>
              <w:rPr/>
            </w:pPr>
            <w:r>
              <w:rPr/>
              <w:t> </w:t>
            </w:r>
          </w:p>
        </w:tc>
        <w:tc>
          <w:tcPr>
            <w:tcW w:w="1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799</w:t>
            </w:r>
          </w:p>
        </w:tc>
      </w:tr>
      <w:tr>
        <w:trPr/>
        <w:tc>
          <w:tcPr>
            <w:tcW w:w="57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shares of common stock issued and reserved for issuance</w:t>
            </w:r>
          </w:p>
        </w:tc>
        <w:tc>
          <w:tcPr>
            <w:tcW w:w="326" w:type="dxa"/>
            <w:tcBorders/>
            <w:shd w:fill="auto" w:val="clear"/>
            <w:vAlign w:val="center"/>
          </w:tcPr>
          <w:p>
            <w:pPr>
              <w:pStyle w:val="TableContents"/>
              <w:spacing w:before="0" w:after="0"/>
              <w:ind w:left="0" w:right="0" w:hanging="0"/>
              <w:rPr/>
            </w:pPr>
            <w:r>
              <w:rPr/>
              <w:t> </w:t>
            </w:r>
          </w:p>
        </w:tc>
        <w:tc>
          <w:tcPr>
            <w:tcW w:w="12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34,749</w:t>
            </w:r>
          </w:p>
        </w:tc>
        <w:tc>
          <w:tcPr>
            <w:tcW w:w="326" w:type="dxa"/>
            <w:tcBorders/>
            <w:shd w:fill="auto" w:val="clear"/>
            <w:vAlign w:val="center"/>
          </w:tcPr>
          <w:p>
            <w:pPr>
              <w:pStyle w:val="TableContents"/>
              <w:spacing w:before="0" w:after="0"/>
              <w:ind w:left="0" w:right="0" w:hanging="0"/>
              <w:rPr/>
            </w:pPr>
            <w:r>
              <w:rPr/>
              <w:t> </w:t>
            </w:r>
          </w:p>
        </w:tc>
        <w:tc>
          <w:tcPr>
            <w:tcW w:w="162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32,929</w:t>
            </w:r>
          </w:p>
        </w:tc>
      </w:tr>
    </w:tbl>
    <w:p>
      <w:pPr>
        <w:pStyle w:val="TextBody"/>
        <w:spacing w:before="0" w:after="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Common Stock Warrants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tables summarize the Company’s outstanding common stock warrants as of March 31, 2022, and December 31, 2021:</w:t>
      </w:r>
    </w:p>
    <w:p>
      <w:pPr>
        <w:pStyle w:val="TextBody"/>
        <w:spacing w:before="0" w:after="200"/>
        <w:ind w:left="0" w:right="0" w:hanging="0"/>
        <w:rPr/>
      </w:pPr>
      <w:r>
        <w:rPr/>
        <w:t>​</w:t>
      </w:r>
    </w:p>
    <w:tbl>
      <w:tblPr>
        <w:tblW w:w="4510" w:type="dxa"/>
        <w:jc w:val="left"/>
        <w:tblInd w:w="0" w:type="dxa"/>
        <w:tblCellMar>
          <w:top w:w="0" w:type="dxa"/>
          <w:left w:w="0" w:type="dxa"/>
          <w:bottom w:w="0" w:type="dxa"/>
          <w:right w:w="0" w:type="dxa"/>
        </w:tblCellMar>
      </w:tblPr>
      <w:tblGrid>
        <w:gridCol w:w="1291"/>
        <w:gridCol w:w="326"/>
        <w:gridCol w:w="429"/>
        <w:gridCol w:w="772"/>
        <w:gridCol w:w="326"/>
        <w:gridCol w:w="1366"/>
      </w:tblGrid>
      <w:tr>
        <w:trPr/>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19785" cy="175260"/>
                      <wp:effectExtent l="0" t="0" r="0" b="0"/>
                      <wp:wrapNone/>
                      <wp:docPr id="125" name="Frame124"/>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72415" cy="175260"/>
                      <wp:effectExtent l="0" t="0" r="0" b="0"/>
                      <wp:wrapNone/>
                      <wp:docPr id="127" name="Frame126"/>
                      <a:graphic xmlns:a="http://schemas.openxmlformats.org/drawingml/2006/main">
                        <a:graphicData uri="http://schemas.microsoft.com/office/word/2010/wordprocessingShape">
                          <wps:wsp>
                            <wps:cNvSpPr txBox="1"/>
                            <wps:spPr>
                              <a:xfrm>
                                <a:off x="0" y="0"/>
                                <a:ext cx="272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0220" cy="175260"/>
                      <wp:effectExtent l="0" t="0" r="0" b="0"/>
                      <wp:wrapNone/>
                      <wp:docPr id="128" name="Frame127"/>
                      <a:graphic xmlns:a="http://schemas.openxmlformats.org/drawingml/2006/main">
                        <a:graphicData uri="http://schemas.microsoft.com/office/word/2010/wordprocessingShape">
                          <wps:wsp>
                            <wps:cNvSpPr txBox="1"/>
                            <wps:spPr>
                              <a:xfrm>
                                <a:off x="0" y="0"/>
                                <a:ext cx="490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67410" cy="175260"/>
                      <wp:effectExtent l="0" t="0" r="0" b="0"/>
                      <wp:wrapNone/>
                      <wp:docPr id="130" name="Frame129"/>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9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2022</w:t>
            </w:r>
          </w:p>
        </w:tc>
        <w:tc>
          <w:tcPr>
            <w:tcW w:w="326" w:type="dxa"/>
            <w:tcBorders/>
            <w:shd w:fill="auto" w:val="clear"/>
            <w:vAlign w:val="center"/>
          </w:tcPr>
          <w:p>
            <w:pPr>
              <w:pStyle w:val="TableContents"/>
              <w:spacing w:before="0" w:after="0"/>
              <w:ind w:left="0" w:right="0" w:hanging="0"/>
              <w:rPr/>
            </w:pPr>
            <w:r>
              <w:rPr/>
              <w:t>    </w:t>
            </w:r>
          </w:p>
        </w:tc>
        <w:tc>
          <w:tcPr>
            <w:tcW w:w="429" w:type="dxa"/>
            <w:tcBorders/>
            <w:shd w:fill="auto" w:val="clear"/>
            <w:vAlign w:val="center"/>
          </w:tcPr>
          <w:p>
            <w:pPr>
              <w:pStyle w:val="TableContents"/>
              <w:spacing w:before="0" w:after="0"/>
              <w:ind w:left="0" w:right="0" w:hanging="0"/>
              <w:jc w:val="center"/>
              <w:rPr/>
            </w:pPr>
            <w:r>
              <w:rPr/>
              <w:t>    </w:t>
            </w:r>
          </w:p>
        </w:tc>
        <w:tc>
          <w:tcPr>
            <w:tcW w:w="7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center"/>
              <w:rPr/>
            </w:pPr>
            <w:r>
              <w:rPr/>
              <w:t>    </w:t>
            </w:r>
          </w:p>
        </w:tc>
      </w:tr>
      <w:tr>
        <w:trPr/>
        <w:tc>
          <w:tcPr>
            <w:tcW w:w="129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Warrants</w:t>
            </w:r>
          </w:p>
        </w:tc>
        <w:tc>
          <w:tcPr>
            <w:tcW w:w="326" w:type="dxa"/>
            <w:tcBorders/>
            <w:shd w:fill="auto" w:val="clear"/>
            <w:vAlign w:val="center"/>
          </w:tcPr>
          <w:p>
            <w:pPr>
              <w:pStyle w:val="TableContents"/>
              <w:spacing w:before="0" w:after="0"/>
              <w:ind w:left="0" w:right="0" w:hanging="0"/>
              <w:rPr/>
            </w:pPr>
            <w:r>
              <w:rPr/>
              <w:t>    </w:t>
            </w:r>
          </w:p>
        </w:tc>
        <w:tc>
          <w:tcPr>
            <w:tcW w:w="429" w:type="dxa"/>
            <w:tcBorders/>
            <w:shd w:fill="auto" w:val="clear"/>
            <w:vAlign w:val="center"/>
          </w:tcPr>
          <w:p>
            <w:pPr>
              <w:pStyle w:val="TableContents"/>
              <w:spacing w:before="0" w:after="0"/>
              <w:ind w:left="0" w:right="0" w:hanging="0"/>
              <w:jc w:val="center"/>
              <w:rPr/>
            </w:pPr>
            <w:r>
              <w:rPr/>
              <w:t>    </w:t>
            </w:r>
          </w:p>
        </w:tc>
        <w:tc>
          <w:tcPr>
            <w:tcW w:w="7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center"/>
              <w:rPr/>
            </w:pPr>
            <w:r>
              <w:rPr/>
              <w:t>    </w:t>
            </w:r>
          </w:p>
        </w:tc>
      </w:tr>
      <w:tr>
        <w:trPr/>
        <w:tc>
          <w:tcPr>
            <w:tcW w:w="129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jc w:val="center"/>
              <w:rPr/>
            </w:pPr>
            <w:r>
              <w:rPr/>
              <w:t>​</w:t>
            </w:r>
          </w:p>
        </w:tc>
        <w:tc>
          <w:tcPr>
            <w:tcW w:w="7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jc w:val="center"/>
              <w:rPr/>
            </w:pPr>
            <w:r>
              <w:rPr/>
              <w:t>​</w:t>
            </w:r>
          </w:p>
        </w:tc>
      </w:tr>
      <w:tr>
        <w:trPr/>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shd w:fill="auto" w:val="clear"/>
            <w:vAlign w:val="center"/>
          </w:tcPr>
          <w:p>
            <w:pPr>
              <w:pStyle w:val="TableContents"/>
              <w:spacing w:before="0" w:after="0"/>
              <w:ind w:left="0" w:right="0" w:hanging="0"/>
              <w:rPr/>
            </w:pPr>
            <w:r>
              <w:rPr/>
              <w:t>​</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Expiration Date</w:t>
            </w:r>
          </w:p>
        </w:tc>
      </w:tr>
      <w:tr>
        <w:trPr/>
        <w:tc>
          <w:tcPr>
            <w:tcW w:w="12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26" w:type="dxa"/>
            <w:tcBorders/>
            <w:shd w:fill="CCEEFF" w:val="clear"/>
            <w:vAlign w:val="center"/>
          </w:tcPr>
          <w:p>
            <w:pPr>
              <w:pStyle w:val="TableContents"/>
              <w:spacing w:before="0" w:after="0"/>
              <w:ind w:left="0" w:right="0" w:hanging="0"/>
              <w:rPr/>
            </w:pPr>
            <w:r>
              <w:rPr/>
              <w:t>​</w:t>
            </w:r>
          </w:p>
        </w:tc>
        <w:tc>
          <w:tcPr>
            <w:tcW w:w="42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19.55</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Dec-2022</w:t>
            </w:r>
          </w:p>
        </w:tc>
      </w:tr>
      <w:tr>
        <w:trPr/>
        <w:tc>
          <w:tcPr>
            <w:tcW w:w="12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Aug-2023</w:t>
            </w:r>
          </w:p>
        </w:tc>
      </w:tr>
      <w:tr>
        <w:trPr/>
        <w:tc>
          <w:tcPr>
            <w:tcW w:w="12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CCEEFF" w:val="clear"/>
            <w:vAlign w:val="center"/>
          </w:tcPr>
          <w:p>
            <w:pPr>
              <w:pStyle w:val="TableContents"/>
              <w:spacing w:before="0" w:after="0"/>
              <w:ind w:left="0" w:right="0" w:hanging="0"/>
              <w:rPr/>
            </w:pPr>
            <w:r>
              <w:rPr/>
              <w:t>​</w:t>
            </w:r>
          </w:p>
        </w:tc>
        <w:tc>
          <w:tcPr>
            <w:tcW w:w="42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Mar-2024</w:t>
            </w:r>
          </w:p>
        </w:tc>
      </w:tr>
      <w:tr>
        <w:trPr/>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326"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Dec-2024</w:t>
            </w:r>
          </w:p>
        </w:tc>
      </w:tr>
      <w:tr>
        <w:trPr/>
        <w:tc>
          <w:tcPr>
            <w:tcW w:w="12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326" w:type="dxa"/>
            <w:tcBorders/>
            <w:shd w:fill="CCEEFF" w:val="clear"/>
            <w:vAlign w:val="center"/>
          </w:tcPr>
          <w:p>
            <w:pPr>
              <w:pStyle w:val="TableContents"/>
              <w:spacing w:before="0" w:after="0"/>
              <w:ind w:left="0" w:right="0" w:hanging="0"/>
              <w:rPr/>
            </w:pPr>
            <w:r>
              <w:rPr/>
              <w:t>​</w:t>
            </w:r>
          </w:p>
        </w:tc>
        <w:tc>
          <w:tcPr>
            <w:tcW w:w="429"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  </w:t>
            </w:r>
          </w:p>
        </w:tc>
      </w:tr>
    </w:tbl>
    <w:p>
      <w:pPr>
        <w:pStyle w:val="TextBody"/>
        <w:spacing w:before="0" w:after="0"/>
        <w:ind w:left="0" w:right="0" w:hanging="0"/>
        <w:rPr/>
      </w:pPr>
      <w:r>
        <w:rPr/>
        <w:t>​</w:t>
      </w:r>
    </w:p>
    <w:tbl>
      <w:tblPr>
        <w:tblW w:w="4810" w:type="dxa"/>
        <w:jc w:val="left"/>
        <w:tblInd w:w="0" w:type="dxa"/>
        <w:tblCellMar>
          <w:top w:w="0" w:type="dxa"/>
          <w:left w:w="0" w:type="dxa"/>
          <w:bottom w:w="0" w:type="dxa"/>
          <w:right w:w="0" w:type="dxa"/>
        </w:tblCellMar>
      </w:tblPr>
      <w:tblGrid>
        <w:gridCol w:w="1591"/>
        <w:gridCol w:w="326"/>
        <w:gridCol w:w="429"/>
        <w:gridCol w:w="772"/>
        <w:gridCol w:w="326"/>
        <w:gridCol w:w="1366"/>
      </w:tblGrid>
      <w:tr>
        <w:trPr/>
        <w:tc>
          <w:tcPr>
            <w:tcW w:w="1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010285" cy="175260"/>
                      <wp:effectExtent l="0" t="0" r="0" b="0"/>
                      <wp:wrapNone/>
                      <wp:docPr id="131" name="Frame130"/>
                      <a:graphic xmlns:a="http://schemas.openxmlformats.org/drawingml/2006/main">
                        <a:graphicData uri="http://schemas.microsoft.com/office/word/2010/wordprocessingShape">
                          <wps:wsp>
                            <wps:cNvSpPr txBox="1"/>
                            <wps:spPr>
                              <a:xfrm>
                                <a:off x="0" y="0"/>
                                <a:ext cx="1010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72415" cy="175260"/>
                      <wp:effectExtent l="0" t="0" r="0" b="0"/>
                      <wp:wrapNone/>
                      <wp:docPr id="133" name="Frame132"/>
                      <a:graphic xmlns:a="http://schemas.openxmlformats.org/drawingml/2006/main">
                        <a:graphicData uri="http://schemas.microsoft.com/office/word/2010/wordprocessingShape">
                          <wps:wsp>
                            <wps:cNvSpPr txBox="1"/>
                            <wps:spPr>
                              <a:xfrm>
                                <a:off x="0" y="0"/>
                                <a:ext cx="272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0220" cy="175260"/>
                      <wp:effectExtent l="0" t="0" r="0" b="0"/>
                      <wp:wrapNone/>
                      <wp:docPr id="134" name="Frame133"/>
                      <a:graphic xmlns:a="http://schemas.openxmlformats.org/drawingml/2006/main">
                        <a:graphicData uri="http://schemas.microsoft.com/office/word/2010/wordprocessingShape">
                          <wps:wsp>
                            <wps:cNvSpPr txBox="1"/>
                            <wps:spPr>
                              <a:xfrm>
                                <a:off x="0" y="0"/>
                                <a:ext cx="490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867410" cy="175260"/>
                      <wp:effectExtent l="0" t="0" r="0" b="0"/>
                      <wp:wrapNone/>
                      <wp:docPr id="136" name="Frame135"/>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9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2021</w:t>
            </w:r>
          </w:p>
        </w:tc>
        <w:tc>
          <w:tcPr>
            <w:tcW w:w="326" w:type="dxa"/>
            <w:tcBorders/>
            <w:shd w:fill="auto" w:val="clear"/>
            <w:vAlign w:val="center"/>
          </w:tcPr>
          <w:p>
            <w:pPr>
              <w:pStyle w:val="TableContents"/>
              <w:spacing w:before="0" w:after="0"/>
              <w:ind w:left="0" w:right="0" w:hanging="0"/>
              <w:rPr/>
            </w:pPr>
            <w:r>
              <w:rPr/>
              <w:t>    </w:t>
            </w:r>
          </w:p>
        </w:tc>
        <w:tc>
          <w:tcPr>
            <w:tcW w:w="429" w:type="dxa"/>
            <w:tcBorders/>
            <w:shd w:fill="auto" w:val="clear"/>
            <w:vAlign w:val="center"/>
          </w:tcPr>
          <w:p>
            <w:pPr>
              <w:pStyle w:val="TableContents"/>
              <w:spacing w:before="0" w:after="0"/>
              <w:ind w:left="0" w:right="0" w:hanging="0"/>
              <w:jc w:val="center"/>
              <w:rPr/>
            </w:pPr>
            <w:r>
              <w:rPr/>
              <w:t>    </w:t>
            </w:r>
          </w:p>
        </w:tc>
        <w:tc>
          <w:tcPr>
            <w:tcW w:w="7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Warrants</w:t>
            </w:r>
          </w:p>
        </w:tc>
        <w:tc>
          <w:tcPr>
            <w:tcW w:w="326" w:type="dxa"/>
            <w:tcBorders/>
            <w:shd w:fill="auto" w:val="clear"/>
            <w:vAlign w:val="center"/>
          </w:tcPr>
          <w:p>
            <w:pPr>
              <w:pStyle w:val="TableContents"/>
              <w:spacing w:before="0" w:after="0"/>
              <w:ind w:left="0" w:right="0" w:hanging="0"/>
              <w:rPr/>
            </w:pPr>
            <w:r>
              <w:rPr/>
              <w:t>    </w:t>
            </w:r>
          </w:p>
        </w:tc>
        <w:tc>
          <w:tcPr>
            <w:tcW w:w="429" w:type="dxa"/>
            <w:tcBorders/>
            <w:shd w:fill="auto" w:val="clear"/>
            <w:vAlign w:val="center"/>
          </w:tcPr>
          <w:p>
            <w:pPr>
              <w:pStyle w:val="TableContents"/>
              <w:spacing w:before="0" w:after="0"/>
              <w:ind w:left="0" w:right="0" w:hanging="0"/>
              <w:jc w:val="center"/>
              <w:rPr/>
            </w:pPr>
            <w:r>
              <w:rPr/>
              <w:t>    </w:t>
            </w:r>
          </w:p>
        </w:tc>
        <w:tc>
          <w:tcPr>
            <w:tcW w:w="7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jc w:val="center"/>
              <w:rPr/>
            </w:pPr>
            <w:r>
              <w:rPr/>
              <w:t>​</w:t>
            </w:r>
          </w:p>
        </w:tc>
        <w:tc>
          <w:tcPr>
            <w:tcW w:w="7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jc w:val="center"/>
              <w:rPr/>
            </w:pPr>
            <w:r>
              <w:rPr/>
              <w:t>​</w:t>
            </w:r>
          </w:p>
        </w:tc>
      </w:tr>
      <w:tr>
        <w:trPr/>
        <w:tc>
          <w:tcPr>
            <w:tcW w:w="15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shd w:fill="auto" w:val="clear"/>
            <w:vAlign w:val="center"/>
          </w:tcPr>
          <w:p>
            <w:pPr>
              <w:pStyle w:val="TableContents"/>
              <w:spacing w:before="0" w:after="0"/>
              <w:ind w:left="0" w:right="0" w:hanging="0"/>
              <w:rPr/>
            </w:pPr>
            <w:r>
              <w:rPr/>
              <w:t>​</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Expiration Date</w:t>
            </w:r>
          </w:p>
        </w:tc>
      </w:tr>
      <w:tr>
        <w:trPr/>
        <w:tc>
          <w:tcPr>
            <w:tcW w:w="15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26" w:type="dxa"/>
            <w:tcBorders/>
            <w:shd w:fill="CCEEFF" w:val="clear"/>
            <w:vAlign w:val="center"/>
          </w:tcPr>
          <w:p>
            <w:pPr>
              <w:pStyle w:val="TableContents"/>
              <w:spacing w:before="0" w:after="0"/>
              <w:ind w:left="0" w:right="0" w:hanging="0"/>
              <w:rPr/>
            </w:pPr>
            <w:r>
              <w:rPr/>
              <w:t>​</w:t>
            </w:r>
          </w:p>
        </w:tc>
        <w:tc>
          <w:tcPr>
            <w:tcW w:w="42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19.55</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Dec-2022</w:t>
            </w:r>
          </w:p>
        </w:tc>
      </w:tr>
      <w:tr>
        <w:trPr/>
        <w:tc>
          <w:tcPr>
            <w:tcW w:w="15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Aug-2023</w:t>
            </w:r>
          </w:p>
        </w:tc>
      </w:tr>
      <w:tr>
        <w:trPr/>
        <w:tc>
          <w:tcPr>
            <w:tcW w:w="15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CCEEFF" w:val="clear"/>
            <w:vAlign w:val="center"/>
          </w:tcPr>
          <w:p>
            <w:pPr>
              <w:pStyle w:val="TableContents"/>
              <w:spacing w:before="0" w:after="0"/>
              <w:ind w:left="0" w:right="0" w:hanging="0"/>
              <w:rPr/>
            </w:pPr>
            <w:r>
              <w:rPr/>
              <w:t>​</w:t>
            </w:r>
          </w:p>
        </w:tc>
        <w:tc>
          <w:tcPr>
            <w:tcW w:w="42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Mar-2024</w:t>
            </w:r>
          </w:p>
        </w:tc>
      </w:tr>
      <w:tr>
        <w:trPr/>
        <w:tc>
          <w:tcPr>
            <w:tcW w:w="15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326"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Dec-2024</w:t>
            </w:r>
          </w:p>
        </w:tc>
      </w:tr>
      <w:tr>
        <w:trPr/>
        <w:tc>
          <w:tcPr>
            <w:tcW w:w="15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326" w:type="dxa"/>
            <w:tcBorders/>
            <w:shd w:fill="CCEEFF" w:val="clear"/>
            <w:vAlign w:val="center"/>
          </w:tcPr>
          <w:p>
            <w:pPr>
              <w:pStyle w:val="TableContents"/>
              <w:spacing w:before="0" w:after="0"/>
              <w:ind w:left="0" w:right="0" w:hanging="0"/>
              <w:rPr/>
            </w:pPr>
            <w:r>
              <w:rPr/>
              <w:t>​</w:t>
            </w:r>
          </w:p>
        </w:tc>
        <w:tc>
          <w:tcPr>
            <w:tcW w:w="429"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15.     LOSS PER SHARE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sz w:val="20"/>
        </w:rPr>
      </w:pPr>
      <w:bookmarkStart w:id="645" w:name="Tc_HLRzYnxp70eQUTZlFv29JA_6_0"/>
      <w:bookmarkStart w:id="646" w:name="Tc_2Rt8jhNbFUqGNt7KWUuNOw_5_0"/>
      <w:bookmarkStart w:id="647" w:name="Tc_btnKPuf3vEyPUbAvcfj9NQ_4_0"/>
      <w:bookmarkStart w:id="648" w:name="Tc_dsEDhClbTUi5JA0vw1ZuRQ_3_0"/>
      <w:bookmarkStart w:id="649" w:name="Tc_Q1uI_GEjpEGpMrm9aRBfMw_2_4"/>
      <w:bookmarkStart w:id="650" w:name="Tc_V7ibap7M00aRCyW5shgO_A_2_2"/>
      <w:bookmarkStart w:id="651" w:name="Tc_hHqb4HrCN0qEhIgXlUdWZg_1_2"/>
      <w:bookmarkStart w:id="652" w:name="_acb40eff_2991_455c_813e_792faeb1229e"/>
      <w:bookmarkEnd w:id="645"/>
      <w:bookmarkEnd w:id="646"/>
      <w:bookmarkEnd w:id="647"/>
      <w:bookmarkEnd w:id="648"/>
      <w:bookmarkEnd w:id="649"/>
      <w:bookmarkEnd w:id="650"/>
      <w:bookmarkEnd w:id="651"/>
      <w:bookmarkEnd w:id="652"/>
      <w:r>
        <w:rPr>
          <w:rFonts w:ascii="Arial;Helvetica;sans-serif" w:hAnsi="Arial;Helvetica;sans-serif"/>
          <w:sz w:val="20"/>
        </w:rPr>
        <w:t>stock units and non-vested performance restricted stock units using the treasury stock method, along with the effect, if any, from the potential conversion of outstanding securities, such as convertible preferred stock.</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potentially dilutive securities outstanding as of March 31, 2022 and 2021 have been excluded from the denominator of the diluted loss per share of common stock outstanding calculation (in thousands):</w:t>
      </w:r>
    </w:p>
    <w:p>
      <w:pPr>
        <w:pStyle w:val="TextBody"/>
        <w:spacing w:before="0" w:after="200"/>
        <w:ind w:left="0" w:right="0" w:hanging="0"/>
        <w:rPr/>
      </w:pPr>
      <w:r>
        <w:rPr/>
        <w:t>​</w:t>
      </w:r>
    </w:p>
    <w:tbl>
      <w:tblPr>
        <w:tblW w:w="6119" w:type="dxa"/>
        <w:jc w:val="left"/>
        <w:tblInd w:w="0" w:type="dxa"/>
        <w:tblCellMar>
          <w:top w:w="0" w:type="dxa"/>
          <w:left w:w="0" w:type="dxa"/>
          <w:bottom w:w="0" w:type="dxa"/>
          <w:right w:w="0" w:type="dxa"/>
        </w:tblCellMar>
      </w:tblPr>
      <w:tblGrid>
        <w:gridCol w:w="4141"/>
        <w:gridCol w:w="326"/>
        <w:gridCol w:w="586"/>
        <w:gridCol w:w="326"/>
        <w:gridCol w:w="586"/>
        <w:gridCol w:w="154"/>
      </w:tblGrid>
      <w:tr>
        <w:trPr/>
        <w:tc>
          <w:tcPr>
            <w:tcW w:w="4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629535" cy="175260"/>
                      <wp:effectExtent l="0" t="0" r="0" b="0"/>
                      <wp:wrapNone/>
                      <wp:docPr id="137" name="Frame136"/>
                      <a:graphic xmlns:a="http://schemas.openxmlformats.org/drawingml/2006/main">
                        <a:graphicData uri="http://schemas.microsoft.com/office/word/2010/wordprocessingShape">
                          <wps:wsp>
                            <wps:cNvSpPr txBox="1"/>
                            <wps:spPr>
                              <a:xfrm>
                                <a:off x="0" y="0"/>
                                <a:ext cx="2629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72110" cy="175260"/>
                      <wp:effectExtent l="0" t="0" r="0" b="0"/>
                      <wp:wrapNone/>
                      <wp:docPr id="139" name="Frame138"/>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72110" cy="175260"/>
                      <wp:effectExtent l="0" t="0" r="0" b="0"/>
                      <wp:wrapNone/>
                      <wp:docPr id="141" name="Frame140"/>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7790" cy="175260"/>
                      <wp:effectExtent l="0" t="0" r="0" b="0"/>
                      <wp:wrapNone/>
                      <wp:docPr id="142" name="Frame14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154" w:type="dxa"/>
            <w:tcBorders/>
            <w:shd w:fill="auto"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154" w:type="dxa"/>
            <w:tcBorders/>
            <w:shd w:fill="auto" w:val="clear"/>
            <w:vAlign w:val="center"/>
          </w:tcPr>
          <w:p>
            <w:pPr>
              <w:pStyle w:val="TableContents"/>
              <w:spacing w:before="0" w:after="0"/>
              <w:ind w:left="0" w:right="0" w:hanging="0"/>
              <w:rPr/>
            </w:pPr>
            <w:r>
              <w:rPr/>
              <w:t>​</w:t>
            </w:r>
          </w:p>
        </w:tc>
      </w:tr>
      <w:tr>
        <w:trPr/>
        <w:tc>
          <w:tcPr>
            <w:tcW w:w="414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Stock options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1,488</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1,806</w:t>
            </w:r>
          </w:p>
        </w:tc>
        <w:tc>
          <w:tcPr>
            <w:tcW w:w="154" w:type="dxa"/>
            <w:tcBorders/>
            <w:shd w:fill="CCEEFF"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Non-vested performance restricted stock units</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154" w:type="dxa"/>
            <w:tcBorders/>
            <w:shd w:fill="auto" w:val="clear"/>
            <w:vAlign w:val="center"/>
          </w:tcPr>
          <w:p>
            <w:pPr>
              <w:pStyle w:val="TableContents"/>
              <w:spacing w:before="0" w:after="0"/>
              <w:ind w:left="0" w:right="0" w:hanging="0"/>
              <w:rPr/>
            </w:pPr>
            <w:r>
              <w:rPr/>
              <w:t>​</w:t>
            </w:r>
          </w:p>
        </w:tc>
      </w:tr>
      <w:tr>
        <w:trPr/>
        <w:tc>
          <w:tcPr>
            <w:tcW w:w="414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Non-vested restricted stock units</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3,666</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1,942</w:t>
            </w:r>
          </w:p>
        </w:tc>
        <w:tc>
          <w:tcPr>
            <w:tcW w:w="154" w:type="dxa"/>
            <w:tcBorders/>
            <w:shd w:fill="CCEEFF"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Common stock warrants</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653" w:name="Tc_TX_14ew0LkO3cxm_MsluRg_7_5"/>
      <w:bookmarkStart w:id="654" w:name="Tc_AFcGYCoUpUmIzDafT-wEfw_7_2"/>
      <w:bookmarkStart w:id="655" w:name="Tc_U1J1Qz86bUGHmHnehyhgGA_7_0"/>
      <w:bookmarkStart w:id="656" w:name="Tc_-bg2XMy1DEC3CAKaq4C3Jg_6_0"/>
      <w:bookmarkStart w:id="657" w:name="Tc_PuXVlGTW1kCrjYKYXBJaSQ_5_0"/>
      <w:bookmarkStart w:id="658" w:name="Tc_CrGBA_CC902WWJv13CDhXQ_4_0"/>
      <w:bookmarkStart w:id="659" w:name="Tc_aBmKq2nzQkWH_PxobUMGmw_3_5"/>
      <w:bookmarkStart w:id="660" w:name="Tc_VMC-jSE3xkCNltAQ0Zfj8Q_3_2"/>
      <w:bookmarkStart w:id="661" w:name="Tc_beahpvVy50C0uwmdINWx2Q_3_0"/>
      <w:bookmarkStart w:id="662" w:name="Tc_pPSDmktLWUm6JSoGsYASsQ_2_5"/>
      <w:bookmarkStart w:id="663" w:name="Tc_PxUyayobUE-cfNXE2ryXDQ_2_2"/>
      <w:bookmarkStart w:id="664" w:name="Tc_4fNA6g6qPEaAfGeZG_bd6w_1_2"/>
      <w:bookmarkStart w:id="665" w:name="_af4cf635_7727_423c_8db5_56b289600909"/>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Arial;Helvetica;sans-serif" w:hAnsi="Arial;Helvetica;sans-serif"/>
          <w:b/>
          <w:sz w:val="20"/>
        </w:rPr>
        <w:t>16.     SHARE-BASED COMPENSATION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amount of share-based compensation expense recognized by the Company by location in its statements of operations for the three months ended March 31, 2022 and 2021 is as follows (in thousands):</w:t>
      </w:r>
    </w:p>
    <w:p>
      <w:pPr>
        <w:pStyle w:val="TextBody"/>
        <w:spacing w:before="0" w:after="200"/>
        <w:ind w:left="0" w:right="0" w:hanging="0"/>
        <w:rPr/>
      </w:pPr>
      <w:r>
        <w:rPr/>
        <w:t>​</w:t>
      </w:r>
    </w:p>
    <w:tbl>
      <w:tblPr>
        <w:tblW w:w="5565" w:type="dxa"/>
        <w:jc w:val="left"/>
        <w:tblInd w:w="0" w:type="dxa"/>
        <w:tblCellMar>
          <w:top w:w="0" w:type="dxa"/>
          <w:left w:w="0" w:type="dxa"/>
          <w:bottom w:w="0" w:type="dxa"/>
          <w:right w:w="0" w:type="dxa"/>
        </w:tblCellMar>
      </w:tblPr>
      <w:tblGrid>
        <w:gridCol w:w="2491"/>
        <w:gridCol w:w="326"/>
        <w:gridCol w:w="285"/>
        <w:gridCol w:w="792"/>
        <w:gridCol w:w="440"/>
        <w:gridCol w:w="285"/>
        <w:gridCol w:w="792"/>
        <w:gridCol w:w="154"/>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581785" cy="175260"/>
                      <wp:effectExtent l="0" t="0" r="0" b="0"/>
                      <wp:wrapNone/>
                      <wp:docPr id="143" name="Frame142"/>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0975" cy="175260"/>
                      <wp:effectExtent l="0" t="0" r="0" b="0"/>
                      <wp:wrapNone/>
                      <wp:docPr id="145" name="Frame144"/>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02920" cy="175260"/>
                      <wp:effectExtent l="0" t="0" r="0" b="0"/>
                      <wp:wrapNone/>
                      <wp:docPr id="146" name="Frame145"/>
                      <a:graphic xmlns:a="http://schemas.openxmlformats.org/drawingml/2006/main">
                        <a:graphicData uri="http://schemas.microsoft.com/office/word/2010/wordprocessingShape">
                          <wps:wsp>
                            <wps:cNvSpPr txBox="1"/>
                            <wps:spPr>
                              <a:xfrm>
                                <a:off x="0" y="0"/>
                                <a:ext cx="502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79400" cy="175260"/>
                      <wp:effectExtent l="0" t="0" r="0" b="0"/>
                      <wp:wrapNone/>
                      <wp:docPr id="147" name="Frame146"/>
                      <a:graphic xmlns:a="http://schemas.openxmlformats.org/drawingml/2006/main">
                        <a:graphicData uri="http://schemas.microsoft.com/office/word/2010/wordprocessingShape">
                          <wps:wsp>
                            <wps:cNvSpPr txBox="1"/>
                            <wps:spPr>
                              <a:xfrm>
                                <a:off x="0" y="0"/>
                                <a:ext cx="279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0975" cy="175260"/>
                      <wp:effectExtent l="0" t="0" r="0" b="0"/>
                      <wp:wrapNone/>
                      <wp:docPr id="148" name="Frame147"/>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02920" cy="175260"/>
                      <wp:effectExtent l="0" t="0" r="0" b="0"/>
                      <wp:wrapNone/>
                      <wp:docPr id="149" name="Frame148"/>
                      <a:graphic xmlns:a="http://schemas.openxmlformats.org/drawingml/2006/main">
                        <a:graphicData uri="http://schemas.microsoft.com/office/word/2010/wordprocessingShape">
                          <wps:wsp>
                            <wps:cNvSpPr txBox="1"/>
                            <wps:spPr>
                              <a:xfrm>
                                <a:off x="0" y="0"/>
                                <a:ext cx="502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7790" cy="175260"/>
                      <wp:effectExtent l="0" t="0" r="0" b="0"/>
                      <wp:wrapNone/>
                      <wp:docPr id="150" name="Frame14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59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154" w:type="dxa"/>
            <w:tcBorders/>
            <w:shd w:fill="auto" w:val="clear"/>
            <w:vAlign w:val="center"/>
          </w:tcPr>
          <w:p>
            <w:pPr>
              <w:pStyle w:val="TableContents"/>
              <w:spacing w:before="0" w:after="0"/>
              <w:ind w:left="0" w:right="0" w:hanging="0"/>
              <w:rPr/>
            </w:pPr>
            <w:r>
              <w:rPr/>
              <w:t>​</w:t>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40" w:type="dxa"/>
            <w:tcBorders/>
            <w:shd w:fill="auto" w:val="clear"/>
            <w:vAlign w:val="center"/>
          </w:tcPr>
          <w:p>
            <w:pPr>
              <w:pStyle w:val="TableContents"/>
              <w:spacing w:before="0" w:after="0"/>
              <w:ind w:left="0" w:right="0" w:hanging="0"/>
              <w:rPr/>
            </w:pPr>
            <w:r>
              <w:rPr/>
              <w:t>    </w:t>
            </w:r>
          </w:p>
        </w:tc>
        <w:tc>
          <w:tcPr>
            <w:tcW w:w="10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154" w:type="dxa"/>
            <w:tcBorders/>
            <w:shd w:fill="auto" w:val="clear"/>
            <w:vAlign w:val="center"/>
          </w:tcPr>
          <w:p>
            <w:pPr>
              <w:pStyle w:val="TableContents"/>
              <w:spacing w:before="0" w:after="0"/>
              <w:ind w:left="0" w:right="0" w:hanging="0"/>
              <w:rPr/>
            </w:pPr>
            <w:r>
              <w:rPr/>
              <w:t>​</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Cost of revenues</w:t>
            </w:r>
          </w:p>
        </w:tc>
        <w:tc>
          <w:tcPr>
            <w:tcW w:w="326"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440"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154" w:type="dxa"/>
            <w:tcBorders/>
            <w:shd w:fill="CCEEFF" w:val="clear"/>
            <w:vAlign w:val="center"/>
          </w:tcPr>
          <w:p>
            <w:pPr>
              <w:pStyle w:val="TableContents"/>
              <w:spacing w:before="0" w:after="0"/>
              <w:ind w:left="0" w:right="0" w:hanging="0"/>
              <w:rPr/>
            </w:pPr>
            <w:r>
              <w:rPr/>
              <w:t>​</w:t>
            </w:r>
          </w:p>
        </w:tc>
      </w:tr>
      <w:tr>
        <w:trPr/>
        <w:tc>
          <w:tcPr>
            <w:tcW w:w="24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Sales and marketing</w:t>
            </w:r>
          </w:p>
        </w:tc>
        <w:tc>
          <w:tcPr>
            <w:tcW w:w="326"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1,135</w:t>
            </w:r>
          </w:p>
        </w:tc>
        <w:tc>
          <w:tcPr>
            <w:tcW w:w="440"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575</w:t>
            </w:r>
          </w:p>
        </w:tc>
        <w:tc>
          <w:tcPr>
            <w:tcW w:w="154" w:type="dxa"/>
            <w:tcBorders/>
            <w:shd w:fill="auto" w:val="clear"/>
            <w:vAlign w:val="center"/>
          </w:tcPr>
          <w:p>
            <w:pPr>
              <w:pStyle w:val="TableContents"/>
              <w:spacing w:before="0" w:after="0"/>
              <w:ind w:left="0" w:right="0" w:hanging="0"/>
              <w:rPr/>
            </w:pPr>
            <w:r>
              <w:rPr/>
              <w:t>​</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1,009</w:t>
            </w:r>
          </w:p>
        </w:tc>
        <w:tc>
          <w:tcPr>
            <w:tcW w:w="440"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1,518</w:t>
            </w:r>
          </w:p>
        </w:tc>
        <w:tc>
          <w:tcPr>
            <w:tcW w:w="154" w:type="dxa"/>
            <w:tcBorders/>
            <w:shd w:fill="CCEEFF" w:val="clear"/>
            <w:vAlign w:val="center"/>
          </w:tcPr>
          <w:p>
            <w:pPr>
              <w:pStyle w:val="TableContents"/>
              <w:spacing w:before="0" w:after="0"/>
              <w:ind w:left="0" w:right="0" w:hanging="0"/>
              <w:rPr/>
            </w:pPr>
            <w:r>
              <w:rPr/>
              <w:t>​</w:t>
            </w:r>
          </w:p>
        </w:tc>
      </w:tr>
      <w:tr>
        <w:trPr/>
        <w:tc>
          <w:tcPr>
            <w:tcW w:w="24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28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83</w:t>
            </w:r>
          </w:p>
        </w:tc>
        <w:tc>
          <w:tcPr>
            <w:tcW w:w="440" w:type="dxa"/>
            <w:tcBorders/>
            <w:shd w:fill="auto" w:val="clear"/>
            <w:vAlign w:val="center"/>
          </w:tcPr>
          <w:p>
            <w:pPr>
              <w:pStyle w:val="TableContents"/>
              <w:spacing w:before="0" w:after="0"/>
              <w:ind w:left="0" w:right="0" w:hanging="0"/>
              <w:rPr/>
            </w:pPr>
            <w:r>
              <w:rPr/>
              <w:t>​</w:t>
            </w:r>
          </w:p>
        </w:tc>
        <w:tc>
          <w:tcPr>
            <w:tcW w:w="28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83</w:t>
            </w:r>
          </w:p>
        </w:tc>
        <w:tc>
          <w:tcPr>
            <w:tcW w:w="154" w:type="dxa"/>
            <w:tcBorders/>
            <w:shd w:fill="auto" w:val="clear"/>
            <w:vAlign w:val="center"/>
          </w:tcPr>
          <w:p>
            <w:pPr>
              <w:pStyle w:val="TableContents"/>
              <w:spacing w:before="0" w:after="0"/>
              <w:ind w:left="0" w:right="0" w:hanging="0"/>
              <w:rPr/>
            </w:pPr>
            <w:r>
              <w:rPr/>
              <w:t>​</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spacing w:before="0" w:after="0"/>
              <w:ind w:left="0" w:right="0" w:hanging="0"/>
              <w:rPr/>
            </w:pPr>
            <w:r>
              <w:rPr/>
              <w:t>​</w:t>
            </w:r>
          </w:p>
        </w:tc>
        <w:tc>
          <w:tcPr>
            <w:tcW w:w="285"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2,252</w:t>
            </w:r>
          </w:p>
        </w:tc>
        <w:tc>
          <w:tcPr>
            <w:tcW w:w="440" w:type="dxa"/>
            <w:tcBorders/>
            <w:shd w:fill="CCEEFF" w:val="clear"/>
            <w:vAlign w:val="center"/>
          </w:tcPr>
          <w:p>
            <w:pPr>
              <w:pStyle w:val="TableContents"/>
              <w:spacing w:before="0" w:after="0"/>
              <w:ind w:left="0" w:right="0" w:hanging="0"/>
              <w:rPr/>
            </w:pPr>
            <w:r>
              <w:rPr/>
              <w:t>​</w:t>
            </w:r>
          </w:p>
        </w:tc>
        <w:tc>
          <w:tcPr>
            <w:tcW w:w="285"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2,196</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2018 Equity Incentive Plan</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w:t>
      </w:r>
      <w:r>
        <w:rPr>
          <w:rFonts w:ascii="Arial;Helvetica;sans-serif" w:hAnsi="Arial;Helvetica;sans-serif"/>
          <w:b w:val="false"/>
          <w:i w:val="false"/>
          <w:caps w:val="false"/>
          <w:smallCaps w:val="false"/>
          <w:sz w:val="20"/>
        </w:rPr>
        <w:t>10 years</w:t>
      </w:r>
      <w:r>
        <w:rPr>
          <w:rFonts w:ascii="Arial;Helvetica;sans-serif" w:hAnsi="Arial;Helvetica;sans-serif"/>
          <w:sz w:val="20"/>
        </w:rPr>
        <w:t xml:space="preserve">, and stock options are exercisable in cash or as otherwise determined by the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Performance restricted stock units (“PRSUs”) generally vest based on appreciation of the Company’s common stock to a certain price as determined by the Company’s board of directors measured using a trailing </w:t>
      </w:r>
      <w:r>
        <w:rPr>
          <w:rFonts w:ascii="Arial;Helvetica;sans-serif" w:hAnsi="Arial;Helvetica;sans-serif"/>
          <w:b w:val="false"/>
          <w:i w:val="false"/>
          <w:caps w:val="false"/>
          <w:smallCaps w:val="false"/>
          <w:sz w:val="20"/>
        </w:rPr>
        <w:t>30-day</w:t>
      </w:r>
      <w:r>
        <w:rPr>
          <w:rFonts w:ascii="Arial;Helvetica;sans-serif" w:hAnsi="Arial;Helvetica;sans-serif"/>
          <w:sz w:val="20"/>
        </w:rPr>
        <w:t xml:space="preserve"> volume weighted average price of a share of the Company’s common stock. The fair value of the PRSU awards are determined using a risk neutral Monte Carlo simulation valuation model. As of March 31, 2022, there were 0.7 million shares available for future issuance under the 2018 Plan.</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b/>
          <w:sz w:val="20"/>
        </w:rPr>
      </w:pPr>
      <w:bookmarkStart w:id="666" w:name="Tc_otHXBz70l0WQQdWsLfAMQA_9_9"/>
      <w:bookmarkStart w:id="667" w:name="Tc_ga4o-CylwkWpV8JuGbClbA_9_4"/>
      <w:bookmarkStart w:id="668" w:name="Tc_s-HarMEG30aLc6LsowmiXA_9_0"/>
      <w:bookmarkStart w:id="669" w:name="Tc_8WhXhA5hNky99eAXQ8QBYw_8_10"/>
      <w:bookmarkStart w:id="670" w:name="Tc_670GDj5goEipborH2cy8Ig_8_9"/>
      <w:bookmarkStart w:id="671" w:name="Tc_xgq-xarm9065ZSnJPCblIQ_8_7"/>
      <w:bookmarkStart w:id="672" w:name="Tc_7xyrmJUfQU6pJYeHqcDDHQ_8_4"/>
      <w:bookmarkStart w:id="673" w:name="Tc_aZmkDTbDBUOPEPlrtYM-eA_8_0"/>
      <w:bookmarkStart w:id="674" w:name="Tc_U91vzP6nHUaT-M3IfIy_VQ_7_10"/>
      <w:bookmarkStart w:id="675" w:name="Tc_gxsVd3en20KQXxLGlEYNAA_7_9"/>
      <w:bookmarkStart w:id="676" w:name="Tc_ZX5Z05RPMEOGDH7qnnJ4zg_7_7"/>
      <w:bookmarkStart w:id="677" w:name="Tc_mr_K0Rv7g0iXg5WMvwiggw_7_4"/>
      <w:bookmarkStart w:id="678" w:name="Tc_txzPOjSWyUqg3y0i6bPihg_7_0"/>
      <w:bookmarkStart w:id="679" w:name="Tc_8-tk6eSKL0KDbCjsj_usYQ_6_10"/>
      <w:bookmarkStart w:id="680" w:name="Tc_rYqHcTejlEON1LoDGvfnnQ_6_9"/>
      <w:bookmarkStart w:id="681" w:name="Tc_zz3C2fF-Ykyi4CSXa2ze2Q_6_7"/>
      <w:bookmarkStart w:id="682" w:name="Tc_BAPSFqaeu0aDCOU5GVN5aQ_6_4"/>
      <w:bookmarkStart w:id="683" w:name="Tc_WX6BrSpdvUaDzdgxeniDqA_6_0"/>
      <w:bookmarkStart w:id="684" w:name="Tc_8kaSyeiiq0yHjJS8-N1e-A_5_9"/>
      <w:bookmarkStart w:id="685" w:name="Tc_NiaOXih9HkibdKbk5IWJMQ_5_4"/>
      <w:bookmarkStart w:id="686" w:name="Tc_erTPh55sH0CTe9REb2JLjQ_5_0"/>
      <w:bookmarkStart w:id="687" w:name="Tc__5zPX0kDQ02spTCF5BPU_A_4_10"/>
      <w:bookmarkStart w:id="688" w:name="Tc_J8XNPFcUI0ek0kXeenW-ng_4_7"/>
      <w:bookmarkStart w:id="689" w:name="Tc_rHK-bIg35UiahpIInmcyMg_4_5"/>
      <w:bookmarkStart w:id="690" w:name="Tc_ZTV7GLiYJUKV0iGxBK9jCw_4_2"/>
      <w:bookmarkStart w:id="691" w:name="Tc_EPdWUYxCNU2KfdNcOptWGQ_3_10"/>
      <w:bookmarkStart w:id="692" w:name="Tc_EQ42X9f_Z0GsaCPlyN6aQg_3_7"/>
      <w:bookmarkStart w:id="693" w:name="Tc_STP83OSgdUieoUMQyPoEiQ_3_5"/>
      <w:bookmarkStart w:id="694" w:name="Tc_00Pi_M_3u0Gd7K0J7UZhww_3_2"/>
      <w:bookmarkStart w:id="695" w:name="Tc_lRMzTOliGUWWfTIjnTmDrQ_2_10"/>
      <w:bookmarkStart w:id="696" w:name="Tc_EaoiC61Wc02R1ZqcbHcARQ_2_7"/>
      <w:bookmarkStart w:id="697" w:name="Tc_EPbd1qI8DEqyEjFttYiFMA_2_5"/>
      <w:bookmarkStart w:id="698" w:name="Tc_dCE73tYUM0Sc1L9FyIQaXw_2_2"/>
      <w:bookmarkStart w:id="699" w:name="Tc_iVur75mtZEextrBVu4fAcA_1_10"/>
      <w:bookmarkStart w:id="700" w:name="Tc_Ro-Df0y81ku6gTDm8JJauQ_1_7"/>
      <w:bookmarkStart w:id="701" w:name="Tc_BWAy793MP0mY7Jknpjop0g_1_5"/>
      <w:bookmarkStart w:id="702" w:name="Tc_BOi44BN2VkG6NL3GBjJUgQ_1_2"/>
      <w:bookmarkStart w:id="703" w:name="_8a57e19d_f13f_4748_817a_09200e561221"/>
      <w:bookmarkStart w:id="704" w:name="Tc_he2aPZKajEatWkQW8FdbnQ_12_9"/>
      <w:bookmarkStart w:id="705" w:name="Tc_i2v5trMhwUey8mnVe7-G7w_12_4"/>
      <w:bookmarkStart w:id="706" w:name="Tc_rrs5NutvUUG-5zgRIgBCog_12_0"/>
      <w:bookmarkStart w:id="707" w:name="Tc_UsIXowIeCEGn0xaL9UlY9Q_11_9"/>
      <w:bookmarkStart w:id="708" w:name="Tc_dt4dNnUXrUGpZegCnQ3AiA_11_4"/>
      <w:bookmarkStart w:id="709" w:name="Tc_Gtkl6NikpEWTOW48eS_POw_11_0"/>
      <w:bookmarkStart w:id="710" w:name="Tc_m_Tr74FwjUiWKaikleig8Q_10_9"/>
      <w:bookmarkStart w:id="711" w:name="Tc_jb8C3bukpkSyJzMhZrQtEg_10_4"/>
      <w:bookmarkStart w:id="712" w:name="Tc_FSiol6DJp0SUpZ3zKbETNg_10_0"/>
      <w:bookmarkStart w:id="713" w:name="Tc_VGAh9wo0sE6plrIBTTHXCQ_9_4"/>
      <w:bookmarkStart w:id="714" w:name="Tc_-pw--oVsN0yxrfRLAONcwg_9_0"/>
      <w:bookmarkStart w:id="715" w:name="Tc_i5AhOixl9kuxt_HiGDpIpw_8_4"/>
      <w:bookmarkStart w:id="716" w:name="Tc_BAOPKRLYKkWY61SutYplVw_8_0"/>
      <w:bookmarkStart w:id="717" w:name="Tc_JAvTt482rU-38J2MjTL5ww_7_5"/>
      <w:bookmarkStart w:id="718" w:name="Tc_uwx-WLuspku5y7ZNQmdHYw_7_4"/>
      <w:bookmarkStart w:id="719" w:name="Tc_Mq6IZJdzMUaF5tEZ11xD-w_7_2"/>
      <w:bookmarkStart w:id="720" w:name="Tc_ZtylvoRnIkufx2n6ioUFIg_7_0"/>
      <w:bookmarkStart w:id="721" w:name="Tc_5YyjRkkg7kGYLtRmYXLyng_6_4"/>
      <w:bookmarkStart w:id="722" w:name="Tc_SZSfYuCDoUiDZ5ql4QvZFw_6_0"/>
      <w:bookmarkStart w:id="723" w:name="Tc_H5b8KhbMtUeJRj57yXO8ng_5_9"/>
      <w:bookmarkStart w:id="724" w:name="Tc_OP_w1_-LiUORgxkLQmo04A_5_7"/>
      <w:bookmarkStart w:id="725" w:name="Tc_JuJX1A_yJ0OxyIXjFP_-iw_5_4"/>
      <w:bookmarkStart w:id="726" w:name="Tc_aj14wHDKt0mAkc7RBuxwew_5_2"/>
      <w:bookmarkStart w:id="727" w:name="Tc_y7s16amtmEWzXYUDWeztpA_4_9"/>
      <w:bookmarkStart w:id="728" w:name="Tc_j5-p0TQ9tUy9AZEg_b6mqA_4_7"/>
      <w:bookmarkStart w:id="729" w:name="Tc_YqRTEHApuEiz3XMBah6CAQ_4_4"/>
      <w:bookmarkStart w:id="730" w:name="Tc_FEKqbyNWFUWGejZ3Xro1wg_4_2"/>
      <w:bookmarkStart w:id="731" w:name="Tc_WsDekP0rsEC0toFBiSus2Q_3_9"/>
      <w:bookmarkStart w:id="732" w:name="Tc_tSQISACSbEeCpT6-qNlerQ_3_7"/>
      <w:bookmarkStart w:id="733" w:name="Tc_K2nndWF-TUST5ilChUzGgA_3_4"/>
      <w:bookmarkStart w:id="734" w:name="Tc_9PdhKxifm0uAMJyseEZ_UA_3_2"/>
      <w:bookmarkStart w:id="735" w:name="Tc_9Ke3QhIUokueE3rd4XFE9A_2_9"/>
      <w:bookmarkStart w:id="736" w:name="Tc_OW5TmlgNXkC_56qfnrmbXQ_2_7"/>
      <w:bookmarkStart w:id="737" w:name="Tc_QfifohrCCkeh8gLysh3Suw_2_4"/>
      <w:bookmarkStart w:id="738" w:name="Tc_2jVwBYO3d0689TFvZB_k9g_2_2"/>
      <w:bookmarkStart w:id="739" w:name="Tc_xfhgEfre0EGBQZ1IYTgmCA_1_9"/>
      <w:bookmarkStart w:id="740" w:name="_2954aeab_11b0_4273_8265_db3f2e7b3eda"/>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r>
        <w:rPr>
          <w:rFonts w:ascii="Arial;Helvetica;sans-serif" w:hAnsi="Arial;Helvetica;sans-serif"/>
          <w:b/>
          <w:sz w:val="20"/>
        </w:rPr>
        <w:t>2020 Inducement Incentive Plan</w:t>
      </w:r>
    </w:p>
    <w:p>
      <w:pPr>
        <w:pStyle w:val="TextBody"/>
        <w:spacing w:before="0" w:after="200"/>
        <w:ind w:left="0" w:right="0" w:hanging="0"/>
        <w:rPr>
          <w:rFonts w:ascii="Arial;Helvetica;sans-serif" w:hAnsi="Arial;Helvetica;sans-serif"/>
          <w:b/>
          <w:sz w:val="20"/>
        </w:rPr>
      </w:pPr>
      <w:r>
        <w:rPr>
          <w:rFonts w:ascii="Arial;Helvetica;sans-serif" w:hAnsi="Arial;Helvetica;sans-serif"/>
          <w:b w:val="false"/>
          <w:sz w:val="20"/>
        </w:rPr>
        <w:t>In December 2020, the Company adopted the 2020 Inducement Incentive Plan, which authorized the issuance of up to 0.4</w:t>
      </w:r>
      <w:r>
        <w:rPr>
          <w:rFonts w:ascii="Arial;Helvetica;sans-serif" w:hAnsi="Arial;Helvetica;sans-serif"/>
          <w:b/>
          <w:sz w:val="20"/>
        </w:rPr>
        <w:t xml:space="preserve"> </w:t>
      </w:r>
      <w:r>
        <w:rPr>
          <w:rFonts w:ascii="Arial;Helvetica;sans-serif" w:hAnsi="Arial;Helvetica;sans-serif"/>
          <w:b w:val="false"/>
          <w:sz w:val="20"/>
        </w:rPr>
        <w:t>million shares, subject to increase by approval of the Company’s board of directors, in the form of stock options, stock appreciation rights, restricted stock awards, restricted stock unit awards, performance stock awards and other stock awards to eligible employees who satisfy the standards for inducement grants under Nasdaq Global Market rules. In March 2022, the Company’s board of directors approved an additional 500,000</w:t>
      </w:r>
      <w:r>
        <w:rPr>
          <w:rFonts w:ascii="Arial;Helvetica;sans-serif" w:hAnsi="Arial;Helvetica;sans-serif"/>
          <w:b/>
          <w:sz w:val="20"/>
        </w:rPr>
        <w:t xml:space="preserve"> </w:t>
      </w:r>
      <w:r>
        <w:rPr>
          <w:rFonts w:ascii="Arial;Helvetica;sans-serif" w:hAnsi="Arial;Helvetica;sans-serif"/>
          <w:b w:val="false"/>
          <w:sz w:val="20"/>
        </w:rPr>
        <w:t>shares for the issuance under the plan. An individual who previously served as an employee or director of the Company is not eligible to receive awards under this plan. The amount and terms of grants are determined by the Company’s board of directors. As of March 31, 2022, there were 0.6</w:t>
      </w:r>
      <w:r>
        <w:rPr>
          <w:rFonts w:ascii="Arial;Helvetica;sans-serif" w:hAnsi="Arial;Helvetica;sans-serif"/>
          <w:b/>
          <w:sz w:val="20"/>
        </w:rPr>
        <w:t xml:space="preserve"> </w:t>
      </w:r>
      <w:r>
        <w:rPr>
          <w:rFonts w:ascii="Arial;Helvetica;sans-serif" w:hAnsi="Arial;Helvetica;sans-serif"/>
          <w:b w:val="false"/>
          <w:sz w:val="20"/>
        </w:rPr>
        <w:t>million shares available for future issuance under the 2020 Inducement Incentive Plan.</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Stock Options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summarizes the Company’s stock option activity for the three months ended March 31, 2022:</w:t>
      </w:r>
    </w:p>
    <w:p>
      <w:pPr>
        <w:pStyle w:val="TextBody"/>
        <w:spacing w:before="0" w:after="200"/>
        <w:ind w:left="0" w:right="0" w:hanging="0"/>
        <w:rPr/>
      </w:pPr>
      <w:r>
        <w:rPr/>
        <w:t>​</w:t>
      </w:r>
    </w:p>
    <w:tbl>
      <w:tblPr>
        <w:tblW w:w="10205" w:type="dxa"/>
        <w:jc w:val="left"/>
        <w:tblInd w:w="0" w:type="dxa"/>
        <w:tblCellMar>
          <w:top w:w="0" w:type="dxa"/>
          <w:left w:w="0" w:type="dxa"/>
          <w:bottom w:w="0" w:type="dxa"/>
          <w:right w:w="0" w:type="dxa"/>
        </w:tblCellMar>
      </w:tblPr>
      <w:tblGrid>
        <w:gridCol w:w="3941"/>
        <w:gridCol w:w="326"/>
        <w:gridCol w:w="1268"/>
        <w:gridCol w:w="326"/>
        <w:gridCol w:w="429"/>
        <w:gridCol w:w="772"/>
        <w:gridCol w:w="326"/>
        <w:gridCol w:w="1178"/>
        <w:gridCol w:w="326"/>
        <w:gridCol w:w="301"/>
        <w:gridCol w:w="1012"/>
      </w:tblGrid>
      <w:tr>
        <w:trPr/>
        <w:tc>
          <w:tcPr>
            <w:tcW w:w="3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502535" cy="175260"/>
                      <wp:effectExtent l="0" t="0" r="0" b="0"/>
                      <wp:wrapNone/>
                      <wp:docPr id="151" name="Frame150"/>
                      <a:graphic xmlns:a="http://schemas.openxmlformats.org/drawingml/2006/main">
                        <a:graphicData uri="http://schemas.microsoft.com/office/word/2010/wordprocessingShape">
                          <wps:wsp>
                            <wps:cNvSpPr txBox="1"/>
                            <wps:spPr>
                              <a:xfrm>
                                <a:off x="0" y="0"/>
                                <a:ext cx="2502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05180" cy="175260"/>
                      <wp:effectExtent l="0" t="0" r="0" b="0"/>
                      <wp:wrapNone/>
                      <wp:docPr id="153" name="Frame152"/>
                      <a:graphic xmlns:a="http://schemas.openxmlformats.org/drawingml/2006/main">
                        <a:graphicData uri="http://schemas.microsoft.com/office/word/2010/wordprocessingShape">
                          <wps:wsp>
                            <wps:cNvSpPr txBox="1"/>
                            <wps:spPr>
                              <a:xfrm>
                                <a:off x="0" y="0"/>
                                <a:ext cx="805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72415" cy="175260"/>
                      <wp:effectExtent l="0" t="0" r="0" b="0"/>
                      <wp:wrapNone/>
                      <wp:docPr id="155" name="Frame154"/>
                      <a:graphic xmlns:a="http://schemas.openxmlformats.org/drawingml/2006/main">
                        <a:graphicData uri="http://schemas.microsoft.com/office/word/2010/wordprocessingShape">
                          <wps:wsp>
                            <wps:cNvSpPr txBox="1"/>
                            <wps:spPr>
                              <a:xfrm>
                                <a:off x="0" y="0"/>
                                <a:ext cx="2724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90220" cy="175260"/>
                      <wp:effectExtent l="0" t="0" r="0" b="0"/>
                      <wp:wrapNone/>
                      <wp:docPr id="156" name="Frame155"/>
                      <a:graphic xmlns:a="http://schemas.openxmlformats.org/drawingml/2006/main">
                        <a:graphicData uri="http://schemas.microsoft.com/office/word/2010/wordprocessingShape">
                          <wps:wsp>
                            <wps:cNvSpPr txBox="1"/>
                            <wps:spPr>
                              <a:xfrm>
                                <a:off x="0" y="0"/>
                                <a:ext cx="4902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48030" cy="175260"/>
                      <wp:effectExtent l="0" t="0" r="0" b="0"/>
                      <wp:wrapNone/>
                      <wp:docPr id="158" name="Frame157"/>
                      <a:graphic xmlns:a="http://schemas.openxmlformats.org/drawingml/2006/main">
                        <a:graphicData uri="http://schemas.microsoft.com/office/word/2010/wordprocessingShape">
                          <wps:wsp>
                            <wps:cNvSpPr txBox="1"/>
                            <wps:spPr>
                              <a:xfrm>
                                <a:off x="0" y="0"/>
                                <a:ext cx="748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91135" cy="175260"/>
                      <wp:effectExtent l="0" t="0" r="0" b="0"/>
                      <wp:wrapNone/>
                      <wp:docPr id="160" name="Frame159"/>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2620" cy="175260"/>
                      <wp:effectExtent l="0" t="0" r="0" b="0"/>
                      <wp:wrapNone/>
                      <wp:docPr id="161" name="Frame160"/>
                      <a:graphic xmlns:a="http://schemas.openxmlformats.org/drawingml/2006/main">
                        <a:graphicData uri="http://schemas.microsoft.com/office/word/2010/wordprocessingShape">
                          <wps:wsp>
                            <wps:cNvSpPr txBox="1"/>
                            <wps:spPr>
                              <a:xfrm>
                                <a:off x="0" y="0"/>
                                <a:ext cx="642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68"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429" w:type="dxa"/>
            <w:tcBorders/>
            <w:shd w:fill="auto" w:val="clear"/>
            <w:vAlign w:val="center"/>
          </w:tcPr>
          <w:p>
            <w:pPr>
              <w:pStyle w:val="TableContents"/>
              <w:spacing w:before="0" w:after="1"/>
              <w:ind w:left="0" w:right="0" w:hanging="0"/>
              <w:jc w:val="center"/>
              <w:rPr/>
            </w:pPr>
            <w:r>
              <w:rPr/>
              <w:t>    </w:t>
            </w:r>
          </w:p>
        </w:tc>
        <w:tc>
          <w:tcPr>
            <w:tcW w:w="77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78"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1313"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3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68"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shd w:fill="auto" w:val="clear"/>
            <w:vAlign w:val="center"/>
          </w:tcPr>
          <w:p>
            <w:pPr>
              <w:pStyle w:val="TableContents"/>
              <w:spacing w:before="0" w:after="1"/>
              <w:ind w:left="0" w:right="0" w:hanging="0"/>
              <w:jc w:val="center"/>
              <w:rPr/>
            </w:pPr>
            <w:r>
              <w:rPr/>
              <w:t>​</w:t>
            </w:r>
          </w:p>
        </w:tc>
        <w:tc>
          <w:tcPr>
            <w:tcW w:w="120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1178"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1313"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68"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Shares under</w:t>
            </w:r>
          </w:p>
        </w:tc>
        <w:tc>
          <w:tcPr>
            <w:tcW w:w="326" w:type="dxa"/>
            <w:tcBorders/>
            <w:shd w:fill="auto" w:val="clear"/>
            <w:vAlign w:val="center"/>
          </w:tcPr>
          <w:p>
            <w:pPr>
              <w:pStyle w:val="TableContents"/>
              <w:spacing w:before="0" w:after="1"/>
              <w:ind w:left="0" w:right="0" w:hanging="0"/>
              <w:jc w:val="center"/>
              <w:rPr/>
            </w:pPr>
            <w:r>
              <w:rPr/>
              <w:t>​</w:t>
            </w:r>
          </w:p>
        </w:tc>
        <w:tc>
          <w:tcPr>
            <w:tcW w:w="120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1178"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shd w:fill="auto" w:val="clear"/>
            <w:vAlign w:val="center"/>
          </w:tcPr>
          <w:p>
            <w:pPr>
              <w:pStyle w:val="TableContents"/>
              <w:spacing w:before="0" w:after="1"/>
              <w:ind w:left="0" w:right="0" w:hanging="0"/>
              <w:jc w:val="center"/>
              <w:rPr/>
            </w:pPr>
            <w:r>
              <w:rPr/>
              <w:t>​</w:t>
            </w:r>
          </w:p>
        </w:tc>
        <w:tc>
          <w:tcPr>
            <w:tcW w:w="1313"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3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68"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Option</w:t>
            </w:r>
          </w:p>
        </w:tc>
        <w:tc>
          <w:tcPr>
            <w:tcW w:w="326" w:type="dxa"/>
            <w:tcBorders/>
            <w:shd w:fill="auto" w:val="clear"/>
            <w:vAlign w:val="center"/>
          </w:tcPr>
          <w:p>
            <w:pPr>
              <w:pStyle w:val="TableContents"/>
              <w:spacing w:before="0" w:after="1"/>
              <w:ind w:left="0" w:right="0" w:hanging="0"/>
              <w:jc w:val="center"/>
              <w:rPr/>
            </w:pPr>
            <w:r>
              <w:rPr/>
              <w:t>​</w:t>
            </w:r>
          </w:p>
        </w:tc>
        <w:tc>
          <w:tcPr>
            <w:tcW w:w="1201"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shd w:fill="auto" w:val="clear"/>
            <w:vAlign w:val="center"/>
          </w:tcPr>
          <w:p>
            <w:pPr>
              <w:pStyle w:val="TableContents"/>
              <w:spacing w:before="0" w:after="1"/>
              <w:ind w:left="0" w:right="0" w:hanging="0"/>
              <w:jc w:val="center"/>
              <w:rPr/>
            </w:pPr>
            <w:r>
              <w:rPr/>
              <w:t>​</w:t>
            </w:r>
          </w:p>
        </w:tc>
        <w:tc>
          <w:tcPr>
            <w:tcW w:w="1178"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26" w:type="dxa"/>
            <w:tcBorders/>
            <w:shd w:fill="auto" w:val="clear"/>
            <w:vAlign w:val="center"/>
          </w:tcPr>
          <w:p>
            <w:pPr>
              <w:pStyle w:val="TableContents"/>
              <w:spacing w:before="0" w:after="1"/>
              <w:ind w:left="0" w:right="0" w:hanging="0"/>
              <w:jc w:val="center"/>
              <w:rPr/>
            </w:pPr>
            <w:r>
              <w:rPr/>
              <w:t>​</w:t>
            </w:r>
          </w:p>
        </w:tc>
        <w:tc>
          <w:tcPr>
            <w:tcW w:w="1313"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6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shd w:fill="auto" w:val="clear"/>
            <w:vAlign w:val="center"/>
          </w:tcPr>
          <w:p>
            <w:pPr>
              <w:pStyle w:val="TableContents"/>
              <w:spacing w:before="0" w:after="1"/>
              <w:ind w:left="0" w:right="0" w:hanging="0"/>
              <w:jc w:val="center"/>
              <w:rPr/>
            </w:pPr>
            <w:r>
              <w:rPr/>
              <w:t>​</w:t>
            </w:r>
          </w:p>
        </w:tc>
        <w:tc>
          <w:tcPr>
            <w:tcW w:w="12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per Option</w:t>
            </w:r>
          </w:p>
        </w:tc>
        <w:tc>
          <w:tcPr>
            <w:tcW w:w="326" w:type="dxa"/>
            <w:tcBorders/>
            <w:shd w:fill="auto" w:val="clear"/>
            <w:vAlign w:val="center"/>
          </w:tcPr>
          <w:p>
            <w:pPr>
              <w:pStyle w:val="TableContents"/>
              <w:spacing w:before="0" w:after="1"/>
              <w:ind w:left="0" w:right="0" w:hanging="0"/>
              <w:jc w:val="center"/>
              <w:rPr/>
            </w:pPr>
            <w:r>
              <w:rPr/>
              <w:t>​</w:t>
            </w:r>
          </w:p>
        </w:tc>
        <w:tc>
          <w:tcPr>
            <w:tcW w:w="117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Life (in years)</w:t>
            </w:r>
          </w:p>
        </w:tc>
        <w:tc>
          <w:tcPr>
            <w:tcW w:w="326" w:type="dxa"/>
            <w:tcBorders/>
            <w:shd w:fill="auto" w:val="clear"/>
            <w:vAlign w:val="center"/>
          </w:tcPr>
          <w:p>
            <w:pPr>
              <w:pStyle w:val="TableContents"/>
              <w:spacing w:before="0" w:after="1"/>
              <w:ind w:left="0" w:right="0" w:hanging="0"/>
              <w:jc w:val="center"/>
              <w:rPr/>
            </w:pPr>
            <w:r>
              <w:rPr/>
              <w:t>​</w:t>
            </w:r>
          </w:p>
        </w:tc>
        <w:tc>
          <w:tcPr>
            <w:tcW w:w="131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3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Outstanding at December 31, 2021</w:t>
            </w:r>
          </w:p>
        </w:tc>
        <w:tc>
          <w:tcPr>
            <w:tcW w:w="326" w:type="dxa"/>
            <w:tcBorders/>
            <w:shd w:fill="CCEEFF" w:val="clear"/>
            <w:vAlign w:val="center"/>
          </w:tcPr>
          <w:p>
            <w:pPr>
              <w:pStyle w:val="TableContents"/>
              <w:spacing w:before="0" w:after="1"/>
              <w:ind w:left="0" w:right="0" w:hanging="0"/>
              <w:rPr/>
            </w:pPr>
            <w:r>
              <w:rPr/>
              <w:t> </w:t>
            </w:r>
          </w:p>
        </w:tc>
        <w:tc>
          <w:tcPr>
            <w:tcW w:w="126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1,499</w:t>
            </w:r>
          </w:p>
        </w:tc>
        <w:tc>
          <w:tcPr>
            <w:tcW w:w="326" w:type="dxa"/>
            <w:tcBorders/>
            <w:shd w:fill="CCEEFF" w:val="clear"/>
            <w:vAlign w:val="center"/>
          </w:tcPr>
          <w:p>
            <w:pPr>
              <w:pStyle w:val="TableContents"/>
              <w:spacing w:before="0" w:after="1"/>
              <w:ind w:left="0" w:right="0" w:hanging="0"/>
              <w:rPr/>
            </w:pPr>
            <w:r>
              <w:rPr/>
              <w:t>​</w:t>
            </w:r>
          </w:p>
        </w:tc>
        <w:tc>
          <w:tcPr>
            <w:tcW w:w="42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4.01</w:t>
            </w:r>
          </w:p>
        </w:tc>
        <w:tc>
          <w:tcPr>
            <w:tcW w:w="326" w:type="dxa"/>
            <w:tcBorders/>
            <w:shd w:fill="CCEEFF" w:val="clear"/>
            <w:vAlign w:val="center"/>
          </w:tcPr>
          <w:p>
            <w:pPr>
              <w:pStyle w:val="TableContents"/>
              <w:spacing w:before="0" w:after="1"/>
              <w:ind w:left="0" w:right="0" w:hanging="0"/>
              <w:rPr/>
            </w:pPr>
            <w:r>
              <w:rPr/>
              <w:t> </w:t>
            </w:r>
          </w:p>
        </w:tc>
        <w:tc>
          <w:tcPr>
            <w:tcW w:w="117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301" w:type="dxa"/>
            <w:tcBorders/>
            <w:shd w:fill="CCEEFF" w:val="clear"/>
            <w:vAlign w:val="center"/>
          </w:tcPr>
          <w:p>
            <w:pPr>
              <w:pStyle w:val="TableContents"/>
              <w:spacing w:before="0" w:after="1"/>
              <w:ind w:left="0" w:right="0" w:hanging="0"/>
              <w:rPr/>
            </w:pPr>
            <w:r>
              <w:rPr/>
              <w:t>​</w:t>
            </w:r>
          </w:p>
        </w:tc>
        <w:tc>
          <w:tcPr>
            <w:tcW w:w="1012" w:type="dxa"/>
            <w:tcBorders/>
            <w:shd w:fill="CCEEFF" w:val="clear"/>
            <w:vAlign w:val="center"/>
          </w:tcPr>
          <w:p>
            <w:pPr>
              <w:pStyle w:val="TableContents"/>
              <w:spacing w:before="0" w:after="1"/>
              <w:ind w:left="0" w:right="0" w:hanging="0"/>
              <w:jc w:val="right"/>
              <w:rPr/>
            </w:pPr>
            <w:r>
              <w:rPr/>
              <w:t>​</w:t>
            </w:r>
          </w:p>
        </w:tc>
      </w:tr>
      <w:tr>
        <w:trPr/>
        <w:tc>
          <w:tcPr>
            <w:tcW w:w="3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Granted</w:t>
            </w:r>
          </w:p>
        </w:tc>
        <w:tc>
          <w:tcPr>
            <w:tcW w:w="326" w:type="dxa"/>
            <w:tcBorders/>
            <w:shd w:fill="auto" w:val="clear"/>
            <w:vAlign w:val="center"/>
          </w:tcPr>
          <w:p>
            <w:pPr>
              <w:pStyle w:val="TableContents"/>
              <w:spacing w:before="0" w:after="1"/>
              <w:ind w:left="0" w:right="0" w:hanging="0"/>
              <w:rPr/>
            </w:pPr>
            <w:r>
              <w:rPr/>
              <w:t> </w:t>
            </w:r>
          </w:p>
        </w:tc>
        <w:tc>
          <w:tcPr>
            <w:tcW w:w="12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2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7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301" w:type="dxa"/>
            <w:tcBorders/>
            <w:shd w:fill="auto" w:val="clear"/>
            <w:vAlign w:val="center"/>
          </w:tcPr>
          <w:p>
            <w:pPr>
              <w:pStyle w:val="TableContents"/>
              <w:spacing w:before="0" w:after="1"/>
              <w:ind w:left="0" w:right="0" w:hanging="0"/>
              <w:rPr/>
            </w:pPr>
            <w:r>
              <w:rPr/>
              <w:t>​</w:t>
            </w:r>
          </w:p>
        </w:tc>
        <w:tc>
          <w:tcPr>
            <w:tcW w:w="1012" w:type="dxa"/>
            <w:tcBorders/>
            <w:shd w:fill="auto" w:val="clear"/>
            <w:vAlign w:val="center"/>
          </w:tcPr>
          <w:p>
            <w:pPr>
              <w:pStyle w:val="TableContents"/>
              <w:spacing w:before="0" w:after="1"/>
              <w:ind w:left="0" w:right="0" w:hanging="0"/>
              <w:jc w:val="right"/>
              <w:rPr/>
            </w:pPr>
            <w:r>
              <w:rPr/>
              <w:t>  </w:t>
            </w:r>
          </w:p>
        </w:tc>
      </w:tr>
      <w:tr>
        <w:trPr/>
        <w:tc>
          <w:tcPr>
            <w:tcW w:w="3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Exercised</w:t>
            </w:r>
          </w:p>
        </w:tc>
        <w:tc>
          <w:tcPr>
            <w:tcW w:w="326" w:type="dxa"/>
            <w:tcBorders/>
            <w:shd w:fill="CCEEFF" w:val="clear"/>
            <w:vAlign w:val="center"/>
          </w:tcPr>
          <w:p>
            <w:pPr>
              <w:pStyle w:val="TableContents"/>
              <w:spacing w:before="0" w:after="1"/>
              <w:ind w:left="0" w:right="0" w:hanging="0"/>
              <w:rPr/>
            </w:pPr>
            <w:r>
              <w:rPr/>
              <w:t> </w:t>
            </w:r>
          </w:p>
        </w:tc>
        <w:tc>
          <w:tcPr>
            <w:tcW w:w="126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326" w:type="dxa"/>
            <w:tcBorders/>
            <w:shd w:fill="CCEEFF" w:val="clear"/>
            <w:vAlign w:val="center"/>
          </w:tcPr>
          <w:p>
            <w:pPr>
              <w:pStyle w:val="TableContents"/>
              <w:spacing w:before="0" w:after="1"/>
              <w:ind w:left="0" w:right="0" w:hanging="0"/>
              <w:rPr/>
            </w:pPr>
            <w:r>
              <w:rPr/>
              <w:t>​</w:t>
            </w:r>
          </w:p>
        </w:tc>
        <w:tc>
          <w:tcPr>
            <w:tcW w:w="42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2.08</w:t>
            </w:r>
          </w:p>
        </w:tc>
        <w:tc>
          <w:tcPr>
            <w:tcW w:w="326" w:type="dxa"/>
            <w:tcBorders/>
            <w:shd w:fill="CCEEFF" w:val="clear"/>
            <w:vAlign w:val="center"/>
          </w:tcPr>
          <w:p>
            <w:pPr>
              <w:pStyle w:val="TableContents"/>
              <w:spacing w:before="0" w:after="1"/>
              <w:ind w:left="0" w:right="0" w:hanging="0"/>
              <w:rPr/>
            </w:pPr>
            <w:r>
              <w:rPr/>
              <w:t> </w:t>
            </w:r>
          </w:p>
        </w:tc>
        <w:tc>
          <w:tcPr>
            <w:tcW w:w="117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301" w:type="dxa"/>
            <w:tcBorders/>
            <w:shd w:fill="CCEEFF" w:val="clear"/>
            <w:vAlign w:val="center"/>
          </w:tcPr>
          <w:p>
            <w:pPr>
              <w:pStyle w:val="TableContents"/>
              <w:spacing w:before="0" w:after="1"/>
              <w:ind w:left="0" w:right="0" w:hanging="0"/>
              <w:rPr/>
            </w:pPr>
            <w:r>
              <w:rPr/>
              <w:t>​</w:t>
            </w:r>
          </w:p>
        </w:tc>
        <w:tc>
          <w:tcPr>
            <w:tcW w:w="1012" w:type="dxa"/>
            <w:tcBorders/>
            <w:shd w:fill="CCEEFF" w:val="clear"/>
            <w:vAlign w:val="center"/>
          </w:tcPr>
          <w:p>
            <w:pPr>
              <w:pStyle w:val="TableContents"/>
              <w:spacing w:before="0" w:after="1"/>
              <w:ind w:left="0" w:right="0" w:hanging="0"/>
              <w:jc w:val="right"/>
              <w:rPr/>
            </w:pPr>
            <w:r>
              <w:rPr/>
              <w:t>  </w:t>
            </w:r>
          </w:p>
        </w:tc>
      </w:tr>
      <w:tr>
        <w:trPr/>
        <w:tc>
          <w:tcPr>
            <w:tcW w:w="3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Forfeited</w:t>
            </w:r>
          </w:p>
        </w:tc>
        <w:tc>
          <w:tcPr>
            <w:tcW w:w="326" w:type="dxa"/>
            <w:tcBorders/>
            <w:shd w:fill="auto" w:val="clear"/>
            <w:vAlign w:val="center"/>
          </w:tcPr>
          <w:p>
            <w:pPr>
              <w:pStyle w:val="TableContents"/>
              <w:spacing w:before="0" w:after="1"/>
              <w:ind w:left="0" w:right="0" w:hanging="0"/>
              <w:rPr/>
            </w:pPr>
            <w:r>
              <w:rPr/>
              <w:t> </w:t>
            </w:r>
          </w:p>
        </w:tc>
        <w:tc>
          <w:tcPr>
            <w:tcW w:w="126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326" w:type="dxa"/>
            <w:tcBorders/>
            <w:shd w:fill="auto" w:val="clear"/>
            <w:vAlign w:val="center"/>
          </w:tcPr>
          <w:p>
            <w:pPr>
              <w:pStyle w:val="TableContents"/>
              <w:spacing w:before="0" w:after="1"/>
              <w:ind w:left="0" w:right="0" w:hanging="0"/>
              <w:rPr/>
            </w:pPr>
            <w:r>
              <w:rPr/>
              <w:t>​</w:t>
            </w:r>
          </w:p>
        </w:tc>
        <w:tc>
          <w:tcPr>
            <w:tcW w:w="42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12.66</w:t>
            </w:r>
          </w:p>
        </w:tc>
        <w:tc>
          <w:tcPr>
            <w:tcW w:w="326" w:type="dxa"/>
            <w:tcBorders/>
            <w:shd w:fill="auto" w:val="clear"/>
            <w:vAlign w:val="center"/>
          </w:tcPr>
          <w:p>
            <w:pPr>
              <w:pStyle w:val="TableContents"/>
              <w:spacing w:before="0" w:after="1"/>
              <w:ind w:left="0" w:right="0" w:hanging="0"/>
              <w:rPr/>
            </w:pPr>
            <w:r>
              <w:rPr/>
              <w:t> </w:t>
            </w:r>
          </w:p>
        </w:tc>
        <w:tc>
          <w:tcPr>
            <w:tcW w:w="117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301" w:type="dxa"/>
            <w:tcBorders/>
            <w:shd w:fill="auto" w:val="clear"/>
            <w:vAlign w:val="center"/>
          </w:tcPr>
          <w:p>
            <w:pPr>
              <w:pStyle w:val="TableContents"/>
              <w:spacing w:before="0" w:after="1"/>
              <w:ind w:left="0" w:right="0" w:hanging="0"/>
              <w:rPr/>
            </w:pPr>
            <w:r>
              <w:rPr/>
              <w:t>​</w:t>
            </w:r>
          </w:p>
        </w:tc>
        <w:tc>
          <w:tcPr>
            <w:tcW w:w="1012" w:type="dxa"/>
            <w:tcBorders/>
            <w:shd w:fill="auto" w:val="clear"/>
            <w:vAlign w:val="center"/>
          </w:tcPr>
          <w:p>
            <w:pPr>
              <w:pStyle w:val="TableContents"/>
              <w:spacing w:before="0" w:after="1"/>
              <w:ind w:left="0" w:right="0" w:hanging="0"/>
              <w:jc w:val="right"/>
              <w:rPr/>
            </w:pPr>
            <w:r>
              <w:rPr/>
              <w:t>  </w:t>
            </w:r>
          </w:p>
        </w:tc>
      </w:tr>
      <w:tr>
        <w:trPr/>
        <w:tc>
          <w:tcPr>
            <w:tcW w:w="3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Outstanding at March 31, 2022</w:t>
            </w:r>
          </w:p>
        </w:tc>
        <w:tc>
          <w:tcPr>
            <w:tcW w:w="326" w:type="dxa"/>
            <w:tcBorders/>
            <w:shd w:fill="CCEEFF" w:val="clear"/>
            <w:vAlign w:val="center"/>
          </w:tcPr>
          <w:p>
            <w:pPr>
              <w:pStyle w:val="TableContents"/>
              <w:spacing w:before="0" w:after="1"/>
              <w:ind w:left="0" w:right="0" w:hanging="0"/>
              <w:rPr/>
            </w:pPr>
            <w:r>
              <w:rPr/>
              <w:t> </w:t>
            </w:r>
          </w:p>
        </w:tc>
        <w:tc>
          <w:tcPr>
            <w:tcW w:w="126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1,488</w:t>
            </w:r>
          </w:p>
        </w:tc>
        <w:tc>
          <w:tcPr>
            <w:tcW w:w="326" w:type="dxa"/>
            <w:tcBorders/>
            <w:shd w:fill="CCEEFF" w:val="clear"/>
            <w:vAlign w:val="center"/>
          </w:tcPr>
          <w:p>
            <w:pPr>
              <w:pStyle w:val="TableContents"/>
              <w:spacing w:before="0" w:after="1"/>
              <w:ind w:left="0" w:right="0" w:hanging="0"/>
              <w:rPr/>
            </w:pPr>
            <w:r>
              <w:rPr/>
              <w:t>​</w:t>
            </w:r>
          </w:p>
        </w:tc>
        <w:tc>
          <w:tcPr>
            <w:tcW w:w="42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3.98</w:t>
            </w:r>
          </w:p>
        </w:tc>
        <w:tc>
          <w:tcPr>
            <w:tcW w:w="326" w:type="dxa"/>
            <w:tcBorders/>
            <w:shd w:fill="CCEEFF" w:val="clear"/>
            <w:vAlign w:val="center"/>
          </w:tcPr>
          <w:p>
            <w:pPr>
              <w:pStyle w:val="TableContents"/>
              <w:spacing w:before="0" w:after="1"/>
              <w:ind w:left="0" w:right="0" w:hanging="0"/>
              <w:rPr/>
            </w:pPr>
            <w:r>
              <w:rPr/>
              <w:t> </w:t>
            </w:r>
          </w:p>
        </w:tc>
        <w:tc>
          <w:tcPr>
            <w:tcW w:w="117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w:t>
            </w:r>
          </w:p>
        </w:tc>
        <w:tc>
          <w:tcPr>
            <w:tcW w:w="326" w:type="dxa"/>
            <w:tcBorders/>
            <w:shd w:fill="CCEEFF" w:val="clear"/>
            <w:vAlign w:val="center"/>
          </w:tcPr>
          <w:p>
            <w:pPr>
              <w:pStyle w:val="TableContents"/>
              <w:spacing w:before="0" w:after="1"/>
              <w:ind w:left="0" w:right="0" w:hanging="0"/>
              <w:rPr/>
            </w:pPr>
            <w:r>
              <w:rPr/>
              <w:t> </w:t>
            </w:r>
          </w:p>
        </w:tc>
        <w:tc>
          <w:tcPr>
            <w:tcW w:w="3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12"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1,197</w:t>
            </w:r>
          </w:p>
        </w:tc>
      </w:tr>
      <w:tr>
        <w:trPr/>
        <w:tc>
          <w:tcPr>
            <w:tcW w:w="394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Exercisable at March 31, 2022</w:t>
            </w:r>
          </w:p>
        </w:tc>
        <w:tc>
          <w:tcPr>
            <w:tcW w:w="326" w:type="dxa"/>
            <w:tcBorders/>
            <w:shd w:fill="auto" w:val="clear"/>
            <w:vAlign w:val="center"/>
          </w:tcPr>
          <w:p>
            <w:pPr>
              <w:pStyle w:val="TableContents"/>
              <w:spacing w:before="0" w:after="1"/>
              <w:ind w:left="0" w:right="0" w:hanging="0"/>
              <w:rPr/>
            </w:pPr>
            <w:r>
              <w:rPr/>
              <w:t> </w:t>
            </w:r>
          </w:p>
        </w:tc>
        <w:tc>
          <w:tcPr>
            <w:tcW w:w="126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819</w:t>
            </w:r>
          </w:p>
        </w:tc>
        <w:tc>
          <w:tcPr>
            <w:tcW w:w="326" w:type="dxa"/>
            <w:tcBorders/>
            <w:shd w:fill="auto" w:val="clear"/>
            <w:vAlign w:val="center"/>
          </w:tcPr>
          <w:p>
            <w:pPr>
              <w:pStyle w:val="TableContents"/>
              <w:spacing w:before="0" w:after="1"/>
              <w:ind w:left="0" w:right="0" w:hanging="0"/>
              <w:rPr/>
            </w:pPr>
            <w:r>
              <w:rPr/>
              <w:t>​</w:t>
            </w:r>
          </w:p>
        </w:tc>
        <w:tc>
          <w:tcPr>
            <w:tcW w:w="42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4.70</w:t>
            </w:r>
          </w:p>
        </w:tc>
        <w:tc>
          <w:tcPr>
            <w:tcW w:w="326" w:type="dxa"/>
            <w:tcBorders/>
            <w:shd w:fill="auto" w:val="clear"/>
            <w:vAlign w:val="center"/>
          </w:tcPr>
          <w:p>
            <w:pPr>
              <w:pStyle w:val="TableContents"/>
              <w:spacing w:before="0" w:after="1"/>
              <w:ind w:left="0" w:right="0" w:hanging="0"/>
              <w:rPr/>
            </w:pPr>
            <w:r>
              <w:rPr/>
              <w:t> </w:t>
            </w:r>
          </w:p>
        </w:tc>
        <w:tc>
          <w:tcPr>
            <w:tcW w:w="1178"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6.8</w:t>
            </w:r>
          </w:p>
        </w:tc>
        <w:tc>
          <w:tcPr>
            <w:tcW w:w="326" w:type="dxa"/>
            <w:tcBorders/>
            <w:shd w:fill="auto" w:val="clear"/>
            <w:vAlign w:val="center"/>
          </w:tcPr>
          <w:p>
            <w:pPr>
              <w:pStyle w:val="TableContents"/>
              <w:spacing w:before="0" w:after="1"/>
              <w:ind w:left="0" w:right="0" w:hanging="0"/>
              <w:rPr/>
            </w:pPr>
            <w:r>
              <w:rPr/>
              <w:t> </w:t>
            </w:r>
          </w:p>
        </w:tc>
        <w:tc>
          <w:tcPr>
            <w:tcW w:w="30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12"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583</w:t>
            </w:r>
          </w:p>
        </w:tc>
      </w:tr>
      <w:tr>
        <w:trPr/>
        <w:tc>
          <w:tcPr>
            <w:tcW w:w="39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Vested and expected to vest at March 31, 2022</w:t>
            </w:r>
          </w:p>
        </w:tc>
        <w:tc>
          <w:tcPr>
            <w:tcW w:w="326" w:type="dxa"/>
            <w:tcBorders/>
            <w:shd w:fill="CCEEFF" w:val="clear"/>
            <w:vAlign w:val="center"/>
          </w:tcPr>
          <w:p>
            <w:pPr>
              <w:pStyle w:val="TableContents"/>
              <w:spacing w:before="0" w:after="1"/>
              <w:ind w:left="0" w:right="0" w:hanging="0"/>
              <w:rPr/>
            </w:pPr>
            <w:r>
              <w:rPr/>
              <w:t> </w:t>
            </w:r>
          </w:p>
        </w:tc>
        <w:tc>
          <w:tcPr>
            <w:tcW w:w="126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1,488</w:t>
            </w:r>
          </w:p>
        </w:tc>
        <w:tc>
          <w:tcPr>
            <w:tcW w:w="326" w:type="dxa"/>
            <w:tcBorders/>
            <w:shd w:fill="CCEEFF" w:val="clear"/>
            <w:vAlign w:val="center"/>
          </w:tcPr>
          <w:p>
            <w:pPr>
              <w:pStyle w:val="TableContents"/>
              <w:spacing w:before="0" w:after="1"/>
              <w:ind w:left="0" w:right="0" w:hanging="0"/>
              <w:rPr/>
            </w:pPr>
            <w:r>
              <w:rPr/>
              <w:t>​</w:t>
            </w:r>
          </w:p>
        </w:tc>
        <w:tc>
          <w:tcPr>
            <w:tcW w:w="42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3.98</w:t>
            </w:r>
          </w:p>
        </w:tc>
        <w:tc>
          <w:tcPr>
            <w:tcW w:w="326" w:type="dxa"/>
            <w:tcBorders/>
            <w:shd w:fill="CCEEFF" w:val="clear"/>
            <w:vAlign w:val="center"/>
          </w:tcPr>
          <w:p>
            <w:pPr>
              <w:pStyle w:val="TableContents"/>
              <w:spacing w:before="0" w:after="1"/>
              <w:ind w:left="0" w:right="0" w:hanging="0"/>
              <w:rPr/>
            </w:pPr>
            <w:r>
              <w:rPr/>
              <w:t> </w:t>
            </w:r>
          </w:p>
        </w:tc>
        <w:tc>
          <w:tcPr>
            <w:tcW w:w="1178"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w:t>
            </w:r>
          </w:p>
        </w:tc>
        <w:tc>
          <w:tcPr>
            <w:tcW w:w="326" w:type="dxa"/>
            <w:tcBorders/>
            <w:shd w:fill="CCEEFF" w:val="clear"/>
            <w:vAlign w:val="center"/>
          </w:tcPr>
          <w:p>
            <w:pPr>
              <w:pStyle w:val="TableContents"/>
              <w:spacing w:before="0" w:after="1"/>
              <w:ind w:left="0" w:right="0" w:hanging="0"/>
              <w:rPr/>
            </w:pPr>
            <w:r>
              <w:rPr/>
              <w:t> </w:t>
            </w:r>
          </w:p>
        </w:tc>
        <w:tc>
          <w:tcPr>
            <w:tcW w:w="30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12" w:type="dxa"/>
            <w:tcBorders/>
            <w:shd w:fill="CCEEFF" w:val="clear"/>
            <w:vAlign w:val="center"/>
          </w:tcPr>
          <w:p>
            <w:pPr>
              <w:pStyle w:val="TableContents"/>
              <w:spacing w:before="0" w:after="1"/>
              <w:ind w:left="0" w:right="70" w:hanging="0"/>
              <w:jc w:val="right"/>
              <w:rPr>
                <w:rFonts w:ascii="Arial;Helvetica;sans-serif" w:hAnsi="Arial;Helvetica;sans-serif"/>
                <w:sz w:val="20"/>
              </w:rPr>
            </w:pPr>
            <w:r>
              <w:rPr>
                <w:rFonts w:ascii="Arial;Helvetica;sans-serif" w:hAnsi="Arial;Helvetica;sans-serif"/>
                <w:sz w:val="20"/>
              </w:rPr>
              <w:t>1,197</w:t>
            </w:r>
          </w:p>
        </w:tc>
      </w:tr>
    </w:tbl>
    <w:p>
      <w:pPr>
        <w:pStyle w:val="TextBody"/>
        <w:spacing w:before="0" w:after="200"/>
        <w:ind w:left="0" w:right="0" w:hanging="0"/>
        <w:rPr/>
      </w:pPr>
      <w:r>
        <w:rPr/>
        <w: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The Company recognized share-based compensation expense related to stock options of $0.2 million for the three months ended March 31, 2022 and 2021, respectively. As of March 31, 2022, there was $1.1 million of total unrecognized compensation cost related to non-vested stock options which the Company expects to recognize over a weighted-average period of 1.8 years. The total intrinsic value of stock options exercised during the three months ended March 31, 2022 was $0.004 million. </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For the periods ended March 31, 2022 and December 31, 2021, the Company did not grant stock options. </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Restricted Stock Units and Performance Restricted Stock Units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summarizes the Company’s restricted stock unit and performance restricted stock unit activity for March 31, 2022:</w:t>
      </w:r>
    </w:p>
    <w:p>
      <w:pPr>
        <w:pStyle w:val="TextBody"/>
        <w:spacing w:before="0" w:after="200"/>
        <w:ind w:left="0" w:right="0" w:hanging="0"/>
        <w:rPr/>
      </w:pPr>
      <w:r>
        <w:rPr/>
        <w:t>​</w:t>
      </w:r>
    </w:p>
    <w:tbl>
      <w:tblPr>
        <w:tblW w:w="10026" w:type="dxa"/>
        <w:jc w:val="left"/>
        <w:tblInd w:w="0" w:type="dxa"/>
        <w:tblCellMar>
          <w:top w:w="0" w:type="dxa"/>
          <w:left w:w="0" w:type="dxa"/>
          <w:bottom w:w="0" w:type="dxa"/>
          <w:right w:w="0" w:type="dxa"/>
        </w:tblCellMar>
      </w:tblPr>
      <w:tblGrid>
        <w:gridCol w:w="3091"/>
        <w:gridCol w:w="326"/>
        <w:gridCol w:w="1276"/>
        <w:gridCol w:w="326"/>
        <w:gridCol w:w="211"/>
        <w:gridCol w:w="961"/>
        <w:gridCol w:w="326"/>
        <w:gridCol w:w="1966"/>
        <w:gridCol w:w="326"/>
        <w:gridCol w:w="211"/>
        <w:gridCol w:w="100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62785" cy="175260"/>
                      <wp:effectExtent l="0" t="0" r="0" b="0"/>
                      <wp:wrapNone/>
                      <wp:docPr id="162" name="Frame161"/>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10260" cy="175260"/>
                      <wp:effectExtent l="0" t="0" r="0" b="0"/>
                      <wp:wrapNone/>
                      <wp:docPr id="164" name="Frame163"/>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10235" cy="175260"/>
                      <wp:effectExtent l="0" t="0" r="0" b="0"/>
                      <wp:wrapNone/>
                      <wp:docPr id="167" name="Frame166"/>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48410" cy="175260"/>
                      <wp:effectExtent l="0" t="0" r="0" b="0"/>
                      <wp:wrapNone/>
                      <wp:docPr id="169" name="Frame168"/>
                      <a:graphic xmlns:a="http://schemas.openxmlformats.org/drawingml/2006/main">
                        <a:graphicData uri="http://schemas.microsoft.com/office/word/2010/wordprocessingShape">
                          <wps:wsp>
                            <wps:cNvSpPr txBox="1"/>
                            <wps:spPr>
                              <a:xfrm>
                                <a:off x="0" y="0"/>
                                <a:ext cx="1248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38810" cy="175260"/>
                      <wp:effectExtent l="0" t="0" r="0" b="0"/>
                      <wp:wrapNone/>
                      <wp:docPr id="172" name="Frame171"/>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Restricted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196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Performance Restricted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7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c>
          <w:tcPr>
            <w:tcW w:w="326" w:type="dxa"/>
            <w:tcBorders/>
            <w:shd w:fill="auto" w:val="clear"/>
            <w:vAlign w:val="center"/>
          </w:tcPr>
          <w:p>
            <w:pPr>
              <w:pStyle w:val="TableContents"/>
              <w:spacing w:before="0" w:after="0"/>
              <w:ind w:left="0" w:right="0" w:hanging="0"/>
              <w:jc w:val="center"/>
              <w:rPr/>
            </w:pPr>
            <w:r>
              <w:rPr/>
              <w:t>​</w:t>
            </w:r>
          </w:p>
        </w:tc>
        <w:tc>
          <w:tcPr>
            <w:tcW w:w="196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0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shd w:fill="auto" w:val="clear"/>
            <w:vAlign w:val="center"/>
          </w:tcPr>
          <w:p>
            <w:pPr>
              <w:pStyle w:val="TableContents"/>
              <w:spacing w:before="0" w:after="0"/>
              <w:ind w:left="0" w:right="0" w:hanging="0"/>
              <w:jc w:val="center"/>
              <w:rPr/>
            </w:pPr>
            <w:r>
              <w:rPr/>
              <w:t>​</w:t>
            </w:r>
          </w:p>
        </w:tc>
        <w:tc>
          <w:tcPr>
            <w:tcW w:w="19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30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Non-vested at December 31, 2021</w:t>
            </w:r>
          </w:p>
        </w:tc>
        <w:tc>
          <w:tcPr>
            <w:tcW w:w="326" w:type="dxa"/>
            <w:tcBorders/>
            <w:shd w:fill="CCEEFF" w:val="clear"/>
            <w:vAlign w:val="center"/>
          </w:tcPr>
          <w:p>
            <w:pPr>
              <w:pStyle w:val="TableContents"/>
              <w:spacing w:before="0" w:after="0"/>
              <w:ind w:left="0" w:right="0" w:hanging="0"/>
              <w:jc w:val="right"/>
              <w:rPr>
                <w:color w:val="FF0000"/>
              </w:rPr>
            </w:pPr>
            <w:r>
              <w:rPr>
                <w:color w:val="FF0000"/>
              </w:rPr>
              <w:t>​</w:t>
            </w:r>
          </w:p>
        </w:tc>
        <w:tc>
          <w:tcPr>
            <w:tcW w:w="127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1,729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7.29</w:t>
            </w:r>
          </w:p>
        </w:tc>
        <w:tc>
          <w:tcPr>
            <w:tcW w:w="326" w:type="dxa"/>
            <w:tcBorders/>
            <w:shd w:fill="CCEEFF" w:val="clear"/>
            <w:vAlign w:val="center"/>
          </w:tcPr>
          <w:p>
            <w:pPr>
              <w:pStyle w:val="TableContents"/>
              <w:spacing w:before="0" w:after="0"/>
              <w:ind w:left="0" w:right="0" w:hanging="0"/>
              <w:rPr/>
            </w:pPr>
            <w:r>
              <w:rPr/>
              <w:t> </w:t>
            </w:r>
          </w:p>
        </w:tc>
        <w:tc>
          <w:tcPr>
            <w:tcW w:w="19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6.77</w:t>
            </w:r>
          </w:p>
        </w:tc>
      </w:tr>
      <w:tr>
        <w:trPr/>
        <w:tc>
          <w:tcPr>
            <w:tcW w:w="30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Granted</w:t>
            </w:r>
          </w:p>
        </w:tc>
        <w:tc>
          <w:tcPr>
            <w:tcW w:w="326"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3.43</w:t>
            </w:r>
          </w:p>
        </w:tc>
        <w:tc>
          <w:tcPr>
            <w:tcW w:w="326" w:type="dxa"/>
            <w:tcBorders/>
            <w:shd w:fill="auto" w:val="clear"/>
            <w:vAlign w:val="center"/>
          </w:tcPr>
          <w:p>
            <w:pPr>
              <w:pStyle w:val="TableContents"/>
              <w:spacing w:before="0" w:after="0"/>
              <w:ind w:left="0" w:right="0" w:hanging="0"/>
              <w:rPr/>
            </w:pPr>
            <w:r>
              <w:rPr/>
              <w:t> </w:t>
            </w:r>
          </w:p>
        </w:tc>
        <w:tc>
          <w:tcPr>
            <w:tcW w:w="19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30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Vested</w:t>
            </w:r>
          </w:p>
        </w:tc>
        <w:tc>
          <w:tcPr>
            <w:tcW w:w="326"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8.08</w:t>
            </w:r>
          </w:p>
        </w:tc>
        <w:tc>
          <w:tcPr>
            <w:tcW w:w="326" w:type="dxa"/>
            <w:tcBorders/>
            <w:shd w:fill="CCEEFF" w:val="clear"/>
            <w:vAlign w:val="center"/>
          </w:tcPr>
          <w:p>
            <w:pPr>
              <w:pStyle w:val="TableContents"/>
              <w:spacing w:before="0" w:after="0"/>
              <w:ind w:left="0" w:right="0" w:hanging="0"/>
              <w:rPr/>
            </w:pPr>
            <w:r>
              <w:rPr/>
              <w:t> </w:t>
            </w:r>
          </w:p>
        </w:tc>
        <w:tc>
          <w:tcPr>
            <w:tcW w:w="19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30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Forfeited</w:t>
            </w:r>
          </w:p>
        </w:tc>
        <w:tc>
          <w:tcPr>
            <w:tcW w:w="326" w:type="dxa"/>
            <w:tcBorders/>
            <w:shd w:fill="auto" w:val="clear"/>
            <w:vAlign w:val="center"/>
          </w:tcPr>
          <w:p>
            <w:pPr>
              <w:pStyle w:val="TableContents"/>
              <w:spacing w:before="0" w:after="0"/>
              <w:ind w:left="0" w:right="0" w:hanging="0"/>
              <w:rPr/>
            </w:pPr>
            <w:r>
              <w:rPr/>
              <w:t> </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9.86</w:t>
            </w:r>
          </w:p>
        </w:tc>
        <w:tc>
          <w:tcPr>
            <w:tcW w:w="326" w:type="dxa"/>
            <w:tcBorders/>
            <w:shd w:fill="auto" w:val="clear"/>
            <w:vAlign w:val="center"/>
          </w:tcPr>
          <w:p>
            <w:pPr>
              <w:pStyle w:val="TableContents"/>
              <w:spacing w:before="0" w:after="0"/>
              <w:ind w:left="0" w:right="0" w:hanging="0"/>
              <w:rPr/>
            </w:pPr>
            <w:r>
              <w:rPr/>
              <w:t> </w:t>
            </w:r>
          </w:p>
        </w:tc>
        <w:tc>
          <w:tcPr>
            <w:tcW w:w="19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30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Non-vested at March 31, 2022</w:t>
            </w:r>
          </w:p>
        </w:tc>
        <w:tc>
          <w:tcPr>
            <w:tcW w:w="326" w:type="dxa"/>
            <w:tcBorders/>
            <w:shd w:fill="CCEEFF" w:val="clear"/>
            <w:vAlign w:val="center"/>
          </w:tcPr>
          <w:p>
            <w:pPr>
              <w:pStyle w:val="TableContents"/>
              <w:spacing w:before="0" w:after="0"/>
              <w:ind w:left="0" w:right="0" w:hanging="0"/>
              <w:rPr/>
            </w:pPr>
            <w:r>
              <w:rPr/>
              <w:t> </w:t>
            </w:r>
          </w:p>
        </w:tc>
        <w:tc>
          <w:tcPr>
            <w:tcW w:w="12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4.81</w:t>
            </w:r>
          </w:p>
        </w:tc>
        <w:tc>
          <w:tcPr>
            <w:tcW w:w="326" w:type="dxa"/>
            <w:tcBorders/>
            <w:shd w:fill="CCEEFF" w:val="clear"/>
            <w:vAlign w:val="center"/>
          </w:tcPr>
          <w:p>
            <w:pPr>
              <w:pStyle w:val="TableContents"/>
              <w:spacing w:before="0" w:after="0"/>
              <w:ind w:left="0" w:right="0" w:hanging="0"/>
              <w:rPr/>
            </w:pPr>
            <w:r>
              <w:rPr/>
              <w:t> </w:t>
            </w:r>
          </w:p>
        </w:tc>
        <w:tc>
          <w:tcPr>
            <w:tcW w:w="19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spacing w:before="0" w:after="0"/>
              <w:ind w:left="0" w:right="70" w:hanging="0"/>
              <w:jc w:val="right"/>
              <w:rPr>
                <w:rFonts w:ascii="Arial;Helvetica;sans-serif" w:hAnsi="Arial;Helvetica;sans-serif"/>
                <w:sz w:val="20"/>
              </w:rPr>
            </w:pPr>
            <w:r>
              <w:rPr>
                <w:rFonts w:ascii="Arial;Helvetica;sans-serif" w:hAnsi="Arial;Helvetica;sans-serif"/>
                <w:sz w:val="20"/>
              </w:rPr>
              <w:t>6.77</w:t>
            </w:r>
          </w:p>
        </w:tc>
      </w:tr>
    </w:tbl>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rFonts w:ascii="Arial;Helvetica;sans-serif" w:hAnsi="Arial;Helvetica;sans-serif"/>
          <w:sz w:val="20"/>
        </w:rPr>
      </w:pPr>
      <w:bookmarkStart w:id="741" w:name="Tc_BdLOeZhm70m5bPZKDzI82A_4_3"/>
      <w:bookmarkStart w:id="742" w:name="Tc_zFfik06k-k-Tn58U3n38Zw_4_0"/>
      <w:bookmarkStart w:id="743" w:name="Tc_pIL1f0Y4hUyrehiFsVaRKw_3_3"/>
      <w:bookmarkStart w:id="744" w:name="Tc_EPgTP7HH0Eya7x6Qp7LXvQ_3_0"/>
      <w:bookmarkStart w:id="745" w:name="Tc_VPHi2HRP4EyUOQk0Fblwvw_2_1"/>
      <w:bookmarkStart w:id="746" w:name="Tc_JQfLQHHMPkSMv1XFi5ompA_2_0"/>
      <w:bookmarkStart w:id="747" w:name="Tc_y0F1uuaiCEGScW9tYJBaxg_1_2"/>
      <w:bookmarkStart w:id="748" w:name="_71c2e8a1_cc41_4afc_8773_a43237555f38"/>
      <w:bookmarkEnd w:id="741"/>
      <w:bookmarkEnd w:id="742"/>
      <w:bookmarkEnd w:id="743"/>
      <w:bookmarkEnd w:id="744"/>
      <w:bookmarkEnd w:id="745"/>
      <w:bookmarkEnd w:id="746"/>
      <w:bookmarkEnd w:id="747"/>
      <w:bookmarkEnd w:id="748"/>
      <w:r>
        <w:rPr>
          <w:rFonts w:ascii="Arial;Helvetica;sans-serif" w:hAnsi="Arial;Helvetica;sans-serif"/>
          <w:sz w:val="20"/>
        </w:rPr>
        <w:t>The Company recognized $2.1 million and $1.9 million in share-based compensation expense related to the restricted stock units and performance restricted stock units for the three months ended March 31, 2022 and 2021, respectively. As of March 31, 2022, there was $14.8 million of unrecognized compensation cost related to non-vested restricted stock units and performance restricted stock units, which the Company expects to recognize over a weighted-average period of 2.2 years. The total fair value at the vesting date of restricted stock units and performance restricted stock units vested during the three months ended March 31, 2022, was $1.2 million.</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Company did not grant performance restricted stock units during the period ended March 31, 2022. For the period ended December 31, 2021, the grant-date fair value of the performance restricted stock units was estimated at the time of grant using the following inputs and assumptions in the Monte Carlo simulation valuation model:</w:t>
      </w:r>
    </w:p>
    <w:tbl>
      <w:tblPr>
        <w:tblW w:w="5059" w:type="dxa"/>
        <w:jc w:val="left"/>
        <w:tblInd w:w="0" w:type="dxa"/>
        <w:tblCellMar>
          <w:top w:w="0" w:type="dxa"/>
          <w:left w:w="0" w:type="dxa"/>
          <w:bottom w:w="0" w:type="dxa"/>
          <w:right w:w="0" w:type="dxa"/>
        </w:tblCellMar>
      </w:tblPr>
      <w:tblGrid>
        <w:gridCol w:w="2821"/>
        <w:gridCol w:w="211"/>
        <w:gridCol w:w="1576"/>
        <w:gridCol w:w="451"/>
      </w:tblGrid>
      <w:tr>
        <w:trPr/>
        <w:tc>
          <w:tcPr>
            <w:tcW w:w="2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791335" cy="175260"/>
                      <wp:effectExtent l="0" t="0" r="0" b="0"/>
                      <wp:wrapNone/>
                      <wp:docPr id="173" name="Frame172"/>
                      <a:graphic xmlns:a="http://schemas.openxmlformats.org/drawingml/2006/main">
                        <a:graphicData uri="http://schemas.microsoft.com/office/word/2010/wordprocessingShape">
                          <wps:wsp>
                            <wps:cNvSpPr txBox="1"/>
                            <wps:spPr>
                              <a:xfrm>
                                <a:off x="0" y="0"/>
                                <a:ext cx="1791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000760" cy="175260"/>
                      <wp:effectExtent l="0" t="0" r="0" b="0"/>
                      <wp:wrapNone/>
                      <wp:docPr id="175" name="Frame174"/>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86385" cy="175260"/>
                      <wp:effectExtent l="0" t="0" r="0" b="0"/>
                      <wp:wrapNone/>
                      <wp:docPr id="176" name="Frame175"/>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2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15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2021</w:t>
            </w:r>
          </w:p>
        </w:tc>
        <w:tc>
          <w:tcPr>
            <w:tcW w:w="451" w:type="dxa"/>
            <w:tcBorders/>
            <w:shd w:fill="auto" w:val="clear"/>
            <w:vAlign w:val="center"/>
          </w:tcPr>
          <w:p>
            <w:pPr>
              <w:pStyle w:val="TableContents"/>
              <w:spacing w:before="0" w:after="1"/>
              <w:ind w:left="0" w:right="0" w:hanging="0"/>
              <w:rPr/>
            </w:pPr>
            <w:r>
              <w:rPr/>
              <w:t>    </w:t>
            </w:r>
          </w:p>
        </w:tc>
      </w:tr>
      <w:tr>
        <w:trPr/>
        <w:tc>
          <w:tcPr>
            <w:tcW w:w="28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Closing price of common stock</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57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15.92</w:t>
            </w:r>
          </w:p>
        </w:tc>
        <w:tc>
          <w:tcPr>
            <w:tcW w:w="451" w:type="dxa"/>
            <w:tcBorders/>
            <w:shd w:fill="CCEEFF" w:val="clear"/>
            <w:vAlign w:val="center"/>
          </w:tcPr>
          <w:p>
            <w:pPr>
              <w:pStyle w:val="TableContents"/>
              <w:spacing w:before="0" w:after="1"/>
              <w:ind w:left="0" w:right="0" w:hanging="0"/>
              <w:rPr/>
            </w:pPr>
            <w:r>
              <w:rPr/>
              <w:t>​</w:t>
            </w:r>
          </w:p>
        </w:tc>
      </w:tr>
      <w:tr>
        <w:trPr/>
        <w:tc>
          <w:tcPr>
            <w:tcW w:w="282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Risk-free interest rate</w:t>
            </w:r>
          </w:p>
        </w:tc>
        <w:tc>
          <w:tcPr>
            <w:tcW w:w="211" w:type="dxa"/>
            <w:tcBorders/>
            <w:shd w:fill="auto" w:val="clear"/>
            <w:vAlign w:val="center"/>
          </w:tcPr>
          <w:p>
            <w:pPr>
              <w:pStyle w:val="TableContents"/>
              <w:spacing w:before="0" w:after="1"/>
              <w:ind w:left="0" w:right="0" w:hanging="0"/>
              <w:jc w:val="right"/>
              <w:rPr/>
            </w:pPr>
            <w:r>
              <w:rPr/>
              <w:t>​</w:t>
            </w:r>
          </w:p>
        </w:tc>
        <w:tc>
          <w:tcPr>
            <w:tcW w:w="157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1.15</w:t>
            </w:r>
          </w:p>
        </w:tc>
        <w:tc>
          <w:tcPr>
            <w:tcW w:w="45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w:t>
            </w:r>
          </w:p>
        </w:tc>
      </w:tr>
      <w:tr>
        <w:trPr/>
        <w:tc>
          <w:tcPr>
            <w:tcW w:w="28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Expected volatility</w:t>
            </w:r>
          </w:p>
        </w:tc>
        <w:tc>
          <w:tcPr>
            <w:tcW w:w="211" w:type="dxa"/>
            <w:tcBorders/>
            <w:shd w:fill="CCEEFF" w:val="clear"/>
            <w:vAlign w:val="center"/>
          </w:tcPr>
          <w:p>
            <w:pPr>
              <w:pStyle w:val="TableContents"/>
              <w:spacing w:before="0" w:after="1"/>
              <w:ind w:left="0" w:right="0" w:hanging="0"/>
              <w:jc w:val="right"/>
              <w:rPr/>
            </w:pPr>
            <w:r>
              <w:rPr/>
              <w:t>​</w:t>
            </w:r>
          </w:p>
        </w:tc>
        <w:tc>
          <w:tcPr>
            <w:tcW w:w="157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99.7</w:t>
            </w:r>
          </w:p>
        </w:tc>
        <w:tc>
          <w:tcPr>
            <w:tcW w:w="45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w:t>
            </w:r>
          </w:p>
        </w:tc>
      </w:tr>
    </w:tbl>
    <w:p>
      <w:pPr>
        <w:pStyle w:val="TextBody"/>
        <w:spacing w:before="0" w:after="200"/>
        <w:ind w:left="0" w:right="0" w:hanging="0"/>
        <w:rPr/>
      </w:pPr>
      <w:r>
        <w:rPr/>
        <w:t>​</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 xml:space="preserve">17.     COMMITMENTS AND CONTINGENCIES </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Legal Matters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749" w:name="Tc_BLtGfrlVQEyzsW10Hi9N_A_9_11"/>
      <w:bookmarkStart w:id="750" w:name="Tc_zgltLxkGDUuqL2mgBtrhRg_9_7"/>
      <w:bookmarkStart w:id="751" w:name="Tc_R4SkpsPqmEu_tRFj_BhZRg_9_6"/>
      <w:bookmarkStart w:id="752" w:name="Tc_nZd2nlhfR0qzP6zMA5tlDw_9_2"/>
      <w:bookmarkStart w:id="753" w:name="Tc_h4BkII6gd0queBMCkioLhQ_9_0"/>
      <w:bookmarkStart w:id="754" w:name="Tc_yngRfhWxW0i_UOKX_iyeig_8_11"/>
      <w:bookmarkStart w:id="755" w:name="Tc_RKzIZg0M0EWiWrwpUYIKmw_8_6"/>
      <w:bookmarkStart w:id="756" w:name="Tc_Qa2y0NWPtUK9VO360sdShQ_8_0"/>
      <w:bookmarkStart w:id="757" w:name="Tc_rKs37BFOAU2-XVqx-6lqTQ_7_11"/>
      <w:bookmarkStart w:id="758" w:name="Tc_fsh7nDLZYEKy7sq8NWfavQ_7_7"/>
      <w:bookmarkStart w:id="759" w:name="Tc_vAC_DfNRh0uXZSZPzp4S3w_7_6"/>
      <w:bookmarkStart w:id="760" w:name="Tc_ziAx7Rle2UuxrhRHUhW8yg_7_2"/>
      <w:bookmarkStart w:id="761" w:name="Tc_ZJ-19c_zREa7YRczT5M8pg_7_0"/>
      <w:bookmarkStart w:id="762" w:name="Tc_07djbr0tPEa6vUS2nKwLuw_6_2"/>
      <w:bookmarkStart w:id="763" w:name="Tc_kVHh8v6dskiwEQG0PBohog_5_10"/>
      <w:bookmarkStart w:id="764" w:name="Tc_b9xsEmfPlU2VlXt3uECLpw_5_7"/>
      <w:bookmarkStart w:id="765" w:name="Tc_PVuZSY1M8kKqaBwmekg5-w_5_5"/>
      <w:bookmarkStart w:id="766" w:name="Tc_tuZhzO0fgUCe7s9275QhUg_5_2"/>
      <w:bookmarkStart w:id="767" w:name="Tc_Xi6vwgyz-UqlkriICoxyhw_4_10"/>
      <w:bookmarkStart w:id="768" w:name="Tc_kv-KejjW7kuJnewMssRkDA_4_5"/>
      <w:bookmarkStart w:id="769" w:name="Tc_llh4CkRwGUul3ueMT42xGA_3_7"/>
      <w:bookmarkStart w:id="770" w:name="Tc_lJ0Wks8j2Uya5xBZzqajig_3_2"/>
      <w:bookmarkStart w:id="771" w:name="Tc_U86oCZixXkOXoQnYr01EUg_2_2"/>
      <w:bookmarkStart w:id="772" w:name="Tc_tr_dPepAJEGQ_5C8WdVWbQ_1_2"/>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Arial;Helvetica;sans-serif" w:hAnsi="Arial;Helvetica;sans-serif"/>
          <w:b/>
          <w:sz w:val="20"/>
        </w:rPr>
        <w:t>18.    GEOGRAPHICAL SEGMENT INFORMATION</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geographic data includes revenue generated from the Company’s third-party distributors. The Company’s revenue was generated in the following geographic regions and by product line for the periods indicated (in thousands):</w:t>
      </w:r>
    </w:p>
    <w:p>
      <w:pPr>
        <w:pStyle w:val="TextBody"/>
        <w:spacing w:before="0" w:after="200"/>
        <w:ind w:left="0" w:right="0" w:hanging="0"/>
        <w:rPr/>
      </w:pPr>
      <w:r>
        <w:rPr/>
        <w:t>​</w:t>
      </w:r>
    </w:p>
    <w:tbl>
      <w:tblPr>
        <w:tblW w:w="6702" w:type="dxa"/>
        <w:jc w:val="left"/>
        <w:tblInd w:w="0" w:type="dxa"/>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331"/>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95985" cy="175260"/>
                      <wp:effectExtent l="0" t="0" r="0" b="0"/>
                      <wp:wrapNone/>
                      <wp:docPr id="177" name="Frame176"/>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8785" cy="175260"/>
                      <wp:effectExtent l="0" t="0" r="0" b="0"/>
                      <wp:wrapNone/>
                      <wp:docPr id="180" name="Frame17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62610" cy="175260"/>
                      <wp:effectExtent l="0" t="0" r="0" b="0"/>
                      <wp:wrapNone/>
                      <wp:docPr id="182" name="Frame181"/>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57810" cy="175260"/>
                      <wp:effectExtent l="0" t="0" r="0" b="0"/>
                      <wp:wrapNone/>
                      <wp:docPr id="183" name="Frame182"/>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8785" cy="175260"/>
                      <wp:effectExtent l="0" t="0" r="0" b="0"/>
                      <wp:wrapNone/>
                      <wp:docPr id="185" name="Frame18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62610" cy="175260"/>
                      <wp:effectExtent l="0" t="0" r="0" b="0"/>
                      <wp:wrapNone/>
                      <wp:docPr id="187" name="Frame18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0185" cy="175260"/>
                      <wp:effectExtent l="0" t="0" r="0" b="0"/>
                      <wp:wrapNone/>
                      <wp:docPr id="188" name="Frame187"/>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634" w:type="dxa"/>
            <w:gridSpan w:val="9"/>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331" w:type="dxa"/>
            <w:tcBorders/>
            <w:shd w:fill="auto" w:val="clear"/>
            <w:vAlign w:val="center"/>
          </w:tcPr>
          <w:p>
            <w:pPr>
              <w:pStyle w:val="TableContents"/>
              <w:spacing w:before="0" w:after="1"/>
              <w:ind w:left="0" w:right="0" w:hanging="0"/>
              <w:jc w:val="center"/>
              <w:rPr/>
            </w:pPr>
            <w:r>
              <w:rPr/>
              <w:t> </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634"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shd w:fill="auto" w:val="clear"/>
            <w:vAlign w:val="center"/>
          </w:tcPr>
          <w:p>
            <w:pPr>
              <w:pStyle w:val="TableContents"/>
              <w:spacing w:before="0" w:after="1"/>
              <w:ind w:left="0" w:right="0" w:hanging="0"/>
              <w:jc w:val="center"/>
              <w:rPr/>
            </w:pPr>
            <w:r>
              <w:rPr/>
              <w:t> </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shd w:fill="auto" w:val="clear"/>
            <w:vAlign w:val="center"/>
          </w:tcPr>
          <w:p>
            <w:pPr>
              <w:pStyle w:val="TableContents"/>
              <w:spacing w:before="0" w:after="1"/>
              <w:ind w:left="0" w:right="0" w:hanging="0"/>
              <w:rPr/>
            </w:pPr>
            <w:r>
              <w:rPr/>
              <w:t>​</w:t>
            </w:r>
          </w:p>
        </w:tc>
        <w:tc>
          <w:tcPr>
            <w:tcW w:w="211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c>
          <w:tcPr>
            <w:tcW w:w="331" w:type="dxa"/>
            <w:tcBorders/>
            <w:shd w:fill="auto" w:val="clear"/>
            <w:vAlign w:val="center"/>
          </w:tcPr>
          <w:p>
            <w:pPr>
              <w:pStyle w:val="TableContents"/>
              <w:spacing w:before="0" w:after="1"/>
              <w:ind w:left="0" w:right="0" w:hanging="0"/>
              <w:jc w:val="center"/>
              <w:rPr/>
            </w:pPr>
            <w:r>
              <w:rPr/>
              <w:t> </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shd w:fill="auto" w:val="clear"/>
            <w:vAlign w:val="center"/>
          </w:tcPr>
          <w:p>
            <w:pPr>
              <w:pStyle w:val="TableContents"/>
              <w:spacing w:before="0" w:after="1"/>
              <w:ind w:left="0" w:right="0" w:hanging="0"/>
              <w:jc w:val="center"/>
              <w:rPr/>
            </w:pPr>
            <w:r>
              <w:rPr/>
              <w:t> </w:t>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shd w:fill="auto" w:val="clear"/>
            <w:vAlign w:val="center"/>
          </w:tcPr>
          <w:p>
            <w:pPr>
              <w:pStyle w:val="TableContents"/>
              <w:spacing w:before="0" w:after="1"/>
              <w:ind w:left="0" w:right="0" w:hanging="0"/>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shd w:fill="auto" w:val="clear"/>
            <w:vAlign w:val="center"/>
          </w:tcPr>
          <w:p>
            <w:pPr>
              <w:pStyle w:val="TableContents"/>
              <w:spacing w:before="0" w:after="1"/>
              <w:ind w:left="0" w:right="0" w:hanging="0"/>
              <w:jc w:val="center"/>
              <w:rPr/>
            </w:pPr>
            <w:r>
              <w:rPr/>
              <w:t> </w:t>
            </w:r>
          </w:p>
        </w:tc>
      </w:tr>
      <w:tr>
        <w:trPr/>
        <w:tc>
          <w:tcPr>
            <w:tcW w:w="6702"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1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634" w:type="dxa"/>
            <w:gridSpan w:val="9"/>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shd w:fill="auto" w:val="clear"/>
            <w:vAlign w:val="center"/>
          </w:tcPr>
          <w:p>
            <w:pPr>
              <w:pStyle w:val="TableContents"/>
              <w:spacing w:before="0" w:after="1"/>
              <w:ind w:left="0" w:right="0" w:hanging="0"/>
              <w:jc w:val="center"/>
              <w:rPr/>
            </w:pPr>
            <w:r>
              <w:rPr/>
              <w:t>​</w:t>
            </w:r>
          </w:p>
        </w:tc>
      </w:tr>
      <w:tr>
        <w:trPr/>
        <w:tc>
          <w:tcPr>
            <w:tcW w:w="14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United States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13,517</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95</w:t>
            </w:r>
          </w:p>
        </w:tc>
        <w:tc>
          <w:tcPr>
            <w:tcW w:w="40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11,802</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96</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14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International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664</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40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486</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14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14,181</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12,288</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spacing w:before="0" w:after="200"/>
        <w:ind w:left="0" w:right="0" w:hanging="0"/>
        <w:rPr/>
      </w:pPr>
      <w:bookmarkStart w:id="773" w:name="Tc_8duzT28jx0CJEIdSioYcPQ_10_11"/>
      <w:bookmarkStart w:id="774" w:name="Tc_dhXynQNxak2QmvNL7os6-w_10_7"/>
      <w:bookmarkStart w:id="775" w:name="Tc_QXAtYr7jZUSOXEqiEAxlog_10_6"/>
      <w:bookmarkStart w:id="776" w:name="Tc_0_Shojo0cUWr7EH3lQ7aOg_10_2"/>
      <w:bookmarkStart w:id="777" w:name="Tc_aXScVe9du0eDdKiFWgq6fg_10_0"/>
      <w:bookmarkStart w:id="778" w:name="Tc_dn2h1YVImEWGpoS9KOgqhQ_9_11"/>
      <w:bookmarkStart w:id="779" w:name="Tc_V1xg1vtjS0iWuBDI8lILgQ_9_6"/>
      <w:bookmarkStart w:id="780" w:name="Tc_b9g5SQDuPkqpBbeCiD2D7g_9_0"/>
      <w:bookmarkStart w:id="781" w:name="Tc_Wfc78rMFGkWfmnIIkMZQyg_8_11"/>
      <w:bookmarkStart w:id="782" w:name="Tc_ol7DOLMONESXwjehM2e88w_8_6"/>
      <w:bookmarkStart w:id="783" w:name="Tc_HEKytBNL20SnpVU2UMsxfg_8_0"/>
      <w:bookmarkStart w:id="784" w:name="Tc_s9GBn-qhTkCKrt_vecnohw_7_11"/>
      <w:bookmarkStart w:id="785" w:name="Tc_d3cnHcM0UkmKBqgsDe2Mfw_7_7"/>
      <w:bookmarkStart w:id="786" w:name="Tc_VWSK3NQVn0OHzWEtxGNfgg_7_6"/>
      <w:bookmarkStart w:id="787" w:name="Tc_2rwyhqkE80O0clKVQzAlew_7_2"/>
      <w:bookmarkStart w:id="788" w:name="Tc_ld2BzzxFeUmUzKc2J8GieQ_7_0"/>
      <w:bookmarkStart w:id="789" w:name="Tc_40ZNCCNAIUqvXBNjKT30Fg_6_2"/>
      <w:bookmarkStart w:id="790" w:name="Tc_XGO_1EB2wkm_-OyYuSBQyQ_5_10"/>
      <w:bookmarkStart w:id="791" w:name="Tc_1VzPe0B6IkGUE3s7CM9c4A_5_7"/>
      <w:bookmarkStart w:id="792" w:name="Tc_4tqBtDw13EijVK4PMEns2w_5_5"/>
      <w:bookmarkStart w:id="793" w:name="Tc_SAT_2y7mwUaLbOblow39iw_5_2"/>
      <w:bookmarkStart w:id="794" w:name="Tc_O5fPgLQ_xUeZsYaInHgmig_4_10"/>
      <w:bookmarkStart w:id="795" w:name="Tc_qiVjqV1dEUyFGIuBwO57xw_4_5"/>
      <w:bookmarkStart w:id="796" w:name="Tc_cW7wARQrn0GYWD7fgTKroQ_3_7"/>
      <w:bookmarkStart w:id="797" w:name="Tc_NSncdXxSlUuRFbSN6mpFjw_3_2"/>
      <w:bookmarkStart w:id="798" w:name="Tc_RlwfdY59tkm8_NaU8oEorg_2_2"/>
      <w:bookmarkStart w:id="799" w:name="Tc_qwjJUTdmS0CsbwS9mTcumA_1_2"/>
      <w:bookmarkStart w:id="800" w:name="Tc_lPrfy8dbuEG80JpzGqBbvg_10_11"/>
      <w:bookmarkStart w:id="801" w:name="Tc_iZQ_yf88B0mD5rzjKwetHQ_10_7"/>
      <w:bookmarkStart w:id="802" w:name="Tc_OW3UOrXK30iFFSvFIbjlWQ_10_6"/>
      <w:bookmarkStart w:id="803" w:name="Tc_yIEC3n4e40eD1mTbH2-Aqg_10_2"/>
      <w:bookmarkStart w:id="804" w:name="Tc_En2UG9RbF0KU-ehQPWF8qg_10_0"/>
      <w:bookmarkStart w:id="805" w:name="Tc_n7DhExPINU-ZUNNcxus65w_9_11"/>
      <w:bookmarkStart w:id="806" w:name="Tc_8WA1J2cZlEumRlPv8xOooA_9_6"/>
      <w:bookmarkStart w:id="807" w:name="Tc_s9dFXM4lZEWMB9hF97Tkwg_9_0"/>
      <w:bookmarkStart w:id="808" w:name="Tc_D5o17XFJCkSKsnt_5ZN9Ww_8_11"/>
      <w:bookmarkStart w:id="809" w:name="Tc_6uwAMZwIv0C-IwK-9kkt2g_8_6"/>
      <w:bookmarkStart w:id="810" w:name="Tc_s0mmzvaDQEua4l8-n6FthQ_8_0"/>
      <w:bookmarkStart w:id="811" w:name="Tc_-fmBb4m-80yPD3y9J7EG_g_7_11"/>
      <w:bookmarkStart w:id="812" w:name="Tc_9IzWOdoXT0mF25ZP8drFCQ_7_7"/>
      <w:bookmarkStart w:id="813" w:name="Tc_m_rI_-vgWEWLJcjEK6IdmA_7_6"/>
      <w:bookmarkStart w:id="814" w:name="Tc_JZJXXZX6m0SSJLNSGTNPKQ_7_2"/>
      <w:bookmarkStart w:id="815" w:name="Tc_Uyf-SYNfVkuD3Cx0g7sESg_7_0"/>
      <w:bookmarkStart w:id="816" w:name="Tc_2LyTvJxPpEGMKhWaJdA-5g_6_2"/>
      <w:bookmarkStart w:id="817" w:name="Tc_lzSAAwZsFE-BPYb-60zAwQ_5_10"/>
      <w:bookmarkStart w:id="818" w:name="Tc_e8kG1Fy_tESeJhk8rkNSLQ_5_7"/>
      <w:bookmarkStart w:id="819" w:name="Tc_RHvHiRmBgUuPhF76txDAKA_5_5"/>
      <w:bookmarkStart w:id="820" w:name="Tc_38ITfrMPIEmg1XaSW6CKow_5_2"/>
      <w:bookmarkStart w:id="821" w:name="Tc_Of8FP-g_dUKZnkv5G6fAXg_4_10"/>
      <w:bookmarkStart w:id="822" w:name="Tc_TWEPlNDcmUChtPkJnnKrGg_4_5"/>
      <w:bookmarkStart w:id="823" w:name="Tc_QELdoq6UFESVLQMA7rhSyw_3_7"/>
      <w:bookmarkStart w:id="824" w:name="Tc_eCYFZ3RRtEes0ACEyGUhSw_3_2"/>
      <w:bookmarkStart w:id="825" w:name="Tc_gLTjzByHLEyMzYHWh9ldLw_2_2"/>
      <w:bookmarkStart w:id="826" w:name="Tc_-VfseiN3dEum1VptLeFRvA_1_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t>​</w:t>
      </w:r>
    </w:p>
    <w:tbl>
      <w:tblPr>
        <w:tblW w:w="8632" w:type="dxa"/>
        <w:jc w:val="left"/>
        <w:tblInd w:w="0" w:type="dxa"/>
        <w:tblCellMar>
          <w:top w:w="0" w:type="dxa"/>
          <w:left w:w="0" w:type="dxa"/>
          <w:bottom w:w="0" w:type="dxa"/>
          <w:right w:w="0" w:type="dxa"/>
        </w:tblCellMar>
      </w:tblPr>
      <w:tblGrid>
        <w:gridCol w:w="3421"/>
        <w:gridCol w:w="326"/>
        <w:gridCol w:w="211"/>
        <w:gridCol w:w="691"/>
        <w:gridCol w:w="326"/>
        <w:gridCol w:w="886"/>
        <w:gridCol w:w="326"/>
        <w:gridCol w:w="211"/>
        <w:gridCol w:w="691"/>
        <w:gridCol w:w="326"/>
        <w:gridCol w:w="886"/>
        <w:gridCol w:w="331"/>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72335" cy="175260"/>
                      <wp:effectExtent l="0" t="0" r="0" b="0"/>
                      <wp:wrapNone/>
                      <wp:docPr id="189" name="Frame188"/>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8785" cy="175260"/>
                      <wp:effectExtent l="0" t="0" r="0" b="0"/>
                      <wp:wrapNone/>
                      <wp:docPr id="192" name="Frame19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62610" cy="175260"/>
                      <wp:effectExtent l="0" t="0" r="0" b="0"/>
                      <wp:wrapNone/>
                      <wp:docPr id="194" name="Frame193"/>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785" cy="175260"/>
                      <wp:effectExtent l="0" t="0" r="0" b="0"/>
                      <wp:wrapNone/>
                      <wp:docPr id="197" name="Frame19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62610" cy="175260"/>
                      <wp:effectExtent l="0" t="0" r="0" b="0"/>
                      <wp:wrapNone/>
                      <wp:docPr id="199" name="Frame19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0185" cy="175260"/>
                      <wp:effectExtent l="0" t="0" r="0" b="0"/>
                      <wp:wrapNone/>
                      <wp:docPr id="200" name="Frame199"/>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54" w:type="dxa"/>
            <w:gridSpan w:val="9"/>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331" w:type="dxa"/>
            <w:tcBorders/>
            <w:shd w:fill="auto" w:val="clear"/>
            <w:vAlign w:val="center"/>
          </w:tcPr>
          <w:p>
            <w:pPr>
              <w:pStyle w:val="TableContents"/>
              <w:spacing w:before="0" w:after="1"/>
              <w:ind w:left="0" w:right="0" w:hanging="0"/>
              <w:jc w:val="center"/>
              <w:rPr/>
            </w:pPr>
            <w:r>
              <w:rPr/>
              <w:t> </w: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54"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shd w:fill="auto" w:val="clear"/>
            <w:vAlign w:val="center"/>
          </w:tcPr>
          <w:p>
            <w:pPr>
              <w:pStyle w:val="TableContents"/>
              <w:spacing w:before="0" w:after="1"/>
              <w:ind w:left="0" w:right="0" w:hanging="0"/>
              <w:jc w:val="center"/>
              <w:rPr/>
            </w:pPr>
            <w:r>
              <w:rPr/>
              <w:t> </w: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w:t>
            </w:r>
          </w:p>
        </w:tc>
        <w:tc>
          <w:tcPr>
            <w:tcW w:w="211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c>
          <w:tcPr>
            <w:tcW w:w="331" w:type="dxa"/>
            <w:tcBorders/>
            <w:shd w:fill="auto" w:val="clear"/>
            <w:vAlign w:val="center"/>
          </w:tcPr>
          <w:p>
            <w:pPr>
              <w:pStyle w:val="TableContents"/>
              <w:spacing w:before="0" w:after="1"/>
              <w:ind w:left="0" w:right="0" w:hanging="0"/>
              <w:jc w:val="center"/>
              <w:rPr/>
            </w:pPr>
            <w:r>
              <w:rPr/>
              <w:t> </w: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326" w:type="dxa"/>
            <w:tcBorders/>
            <w:shd w:fill="auto" w:val="clear"/>
            <w:vAlign w:val="center"/>
          </w:tcPr>
          <w:p>
            <w:pPr>
              <w:pStyle w:val="TableContents"/>
              <w:spacing w:before="0" w:after="1"/>
              <w:ind w:left="0" w:right="0" w:hanging="0"/>
              <w:rPr/>
            </w:pPr>
            <w:r>
              <w:rPr/>
              <w:t>​</w:t>
            </w:r>
          </w:p>
        </w:tc>
        <w:tc>
          <w:tcPr>
            <w:tcW w:w="902"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shd w:fill="auto" w:val="clear"/>
            <w:vAlign w:val="center"/>
          </w:tcPr>
          <w:p>
            <w:pPr>
              <w:pStyle w:val="TableContents"/>
              <w:spacing w:before="0" w:after="1"/>
              <w:ind w:left="0" w:right="0" w:hanging="0"/>
              <w:jc w:val="center"/>
              <w:rPr/>
            </w:pPr>
            <w:r>
              <w:rPr/>
              <w:t> </w: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shd w:fill="auto" w:val="clear"/>
            <w:vAlign w:val="center"/>
          </w:tcPr>
          <w:p>
            <w:pPr>
              <w:pStyle w:val="TableContents"/>
              <w:spacing w:before="0" w:after="1"/>
              <w:ind w:left="0" w:right="0" w:hanging="0"/>
              <w:jc w:val="center"/>
              <w:rPr/>
            </w:pPr>
            <w:r>
              <w:rPr/>
              <w:t> </w:t>
            </w:r>
          </w:p>
        </w:tc>
      </w:tr>
      <w:tr>
        <w:trPr/>
        <w:tc>
          <w:tcPr>
            <w:tcW w:w="8632"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554" w:type="dxa"/>
            <w:gridSpan w:val="9"/>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shd w:fill="auto" w:val="clear"/>
            <w:vAlign w:val="center"/>
          </w:tcPr>
          <w:p>
            <w:pPr>
              <w:pStyle w:val="TableContents"/>
              <w:spacing w:before="0" w:after="1"/>
              <w:ind w:left="0" w:right="0" w:hanging="0"/>
              <w:rPr/>
            </w:pPr>
            <w:r>
              <w:rPr/>
              <w:t>​</w:t>
            </w:r>
          </w:p>
        </w:tc>
      </w:tr>
      <w:tr>
        <w:trPr/>
        <w:tc>
          <w:tcPr>
            <w:tcW w:w="34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3,642</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w:t>
            </w:r>
          </w:p>
        </w:tc>
        <w:tc>
          <w:tcPr>
            <w:tcW w:w="3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1,755</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342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Treatment sessions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9,469</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70</w:t>
            </w:r>
          </w:p>
        </w:tc>
        <w:tc>
          <w:tcPr>
            <w:tcW w:w="3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9,629</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82</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406</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418</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342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U.S. revenues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13,517</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11,802</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200"/>
        <w:ind w:left="0" w:right="0" w:hanging="0"/>
        <w:rPr/>
      </w:pPr>
      <w:r>
        <w:rPr/>
        <w:t>​</w:t>
      </w:r>
    </w:p>
    <w:tbl>
      <w:tblPr>
        <w:tblW w:w="8410" w:type="dxa"/>
        <w:jc w:val="left"/>
        <w:tblInd w:w="0" w:type="dxa"/>
        <w:tblCellMar>
          <w:top w:w="0" w:type="dxa"/>
          <w:left w:w="0" w:type="dxa"/>
          <w:bottom w:w="0" w:type="dxa"/>
          <w:right w:w="0" w:type="dxa"/>
        </w:tblCellMar>
      </w:tblPr>
      <w:tblGrid>
        <w:gridCol w:w="3421"/>
        <w:gridCol w:w="326"/>
        <w:gridCol w:w="250"/>
        <w:gridCol w:w="501"/>
        <w:gridCol w:w="326"/>
        <w:gridCol w:w="886"/>
        <w:gridCol w:w="406"/>
        <w:gridCol w:w="250"/>
        <w:gridCol w:w="501"/>
        <w:gridCol w:w="326"/>
        <w:gridCol w:w="886"/>
        <w:gridCol w:w="331"/>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72335" cy="175260"/>
                      <wp:effectExtent l="0" t="0" r="0" b="0"/>
                      <wp:wrapNone/>
                      <wp:docPr id="201" name="Frame200"/>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8750" cy="175260"/>
                      <wp:effectExtent l="0" t="0" r="0" b="0"/>
                      <wp:wrapNone/>
                      <wp:docPr id="203" name="Frame202"/>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18135" cy="175260"/>
                      <wp:effectExtent l="0" t="0" r="0" b="0"/>
                      <wp:wrapNone/>
                      <wp:docPr id="204" name="Frame203"/>
                      <a:graphic xmlns:a="http://schemas.openxmlformats.org/drawingml/2006/main">
                        <a:graphicData uri="http://schemas.microsoft.com/office/word/2010/wordprocessingShape">
                          <wps:wsp>
                            <wps:cNvSpPr txBox="1"/>
                            <wps:spPr>
                              <a:xfrm>
                                <a:off x="0" y="0"/>
                                <a:ext cx="318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62610" cy="175260"/>
                      <wp:effectExtent l="0" t="0" r="0" b="0"/>
                      <wp:wrapNone/>
                      <wp:docPr id="206" name="Frame20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57810" cy="175260"/>
                      <wp:effectExtent l="0" t="0" r="0" b="0"/>
                      <wp:wrapNone/>
                      <wp:docPr id="207" name="Frame206"/>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8750" cy="175260"/>
                      <wp:effectExtent l="0" t="0" r="0" b="0"/>
                      <wp:wrapNone/>
                      <wp:docPr id="208" name="Frame207"/>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18135" cy="175260"/>
                      <wp:effectExtent l="0" t="0" r="0" b="0"/>
                      <wp:wrapNone/>
                      <wp:docPr id="209" name="Frame208"/>
                      <a:graphic xmlns:a="http://schemas.openxmlformats.org/drawingml/2006/main">
                        <a:graphicData uri="http://schemas.microsoft.com/office/word/2010/wordprocessingShape">
                          <wps:wsp>
                            <wps:cNvSpPr txBox="1"/>
                            <wps:spPr>
                              <a:xfrm>
                                <a:off x="0" y="0"/>
                                <a:ext cx="318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62610" cy="175260"/>
                      <wp:effectExtent l="0" t="0" r="0" b="0"/>
                      <wp:wrapNone/>
                      <wp:docPr id="211" name="Frame21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0185" cy="175260"/>
                      <wp:effectExtent l="0" t="0" r="0" b="0"/>
                      <wp:wrapNone/>
                      <wp:docPr id="212" name="Frame211"/>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32" w:type="dxa"/>
            <w:gridSpan w:val="9"/>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International Revenues by Product Category</w:t>
            </w:r>
          </w:p>
        </w:tc>
        <w:tc>
          <w:tcPr>
            <w:tcW w:w="33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32"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shd w:fill="auto" w:val="clear"/>
            <w:vAlign w:val="center"/>
          </w:tcPr>
          <w:p>
            <w:pPr>
              <w:pStyle w:val="TableContents"/>
              <w:spacing w:before="0" w:after="0"/>
              <w:ind w:left="0" w:right="0" w:hanging="0"/>
              <w:rPr/>
            </w:pPr>
            <w:r>
              <w:rPr/>
              <w:t>​</w:t>
            </w:r>
          </w:p>
        </w:tc>
        <w:tc>
          <w:tcPr>
            <w:tcW w:w="196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3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w:t>
            </w:r>
          </w:p>
        </w:tc>
        <w:tc>
          <w:tcPr>
            <w:tcW w:w="5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w:t>
            </w:r>
          </w:p>
        </w:tc>
        <w:tc>
          <w:tcPr>
            <w:tcW w:w="5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shd w:fill="auto" w:val="clear"/>
            <w:vAlign w:val="center"/>
          </w:tcPr>
          <w:p>
            <w:pPr>
              <w:pStyle w:val="TableContents"/>
              <w:spacing w:before="0" w:after="0"/>
              <w:ind w:left="0" w:right="0" w:hanging="0"/>
              <w:rPr/>
            </w:pPr>
            <w:r>
              <w:rPr/>
              <w:t>    </w:t>
            </w:r>
          </w:p>
        </w:tc>
        <w:tc>
          <w:tcPr>
            <w:tcW w:w="7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shd w:fill="auto" w:val="clear"/>
            <w:vAlign w:val="center"/>
          </w:tcPr>
          <w:p>
            <w:pPr>
              <w:pStyle w:val="TableContents"/>
              <w:spacing w:before="0" w:after="0"/>
              <w:ind w:left="0" w:right="0" w:hanging="0"/>
              <w:jc w:val="center"/>
              <w:rPr/>
            </w:pPr>
            <w:r>
              <w:rPr/>
              <w:t> </w:t>
            </w:r>
          </w:p>
        </w:tc>
      </w:tr>
      <w:tr>
        <w:trPr/>
        <w:tc>
          <w:tcPr>
            <w:tcW w:w="8410"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332" w:type="dxa"/>
            <w:gridSpan w:val="9"/>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shd w:fill="auto" w:val="clear"/>
            <w:vAlign w:val="center"/>
          </w:tcPr>
          <w:p>
            <w:pPr>
              <w:pStyle w:val="TableContents"/>
              <w:spacing w:before="0" w:after="0"/>
              <w:ind w:left="0" w:right="0" w:hanging="0"/>
              <w:rPr/>
            </w:pPr>
            <w:r>
              <w:rPr/>
              <w:t>​</w:t>
            </w:r>
          </w:p>
        </w:tc>
      </w:tr>
      <w:tr>
        <w:trPr/>
        <w:tc>
          <w:tcPr>
            <w:tcW w:w="342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313</w:t>
            </w:r>
          </w:p>
        </w:tc>
        <w:tc>
          <w:tcPr>
            <w:tcW w:w="326" w:type="dxa"/>
            <w:tcBorders/>
            <w:shd w:fill="CCEEFF" w:val="clear"/>
            <w:vAlign w:val="center"/>
          </w:tcPr>
          <w:p>
            <w:pPr>
              <w:pStyle w:val="TableContents"/>
              <w:spacing w:before="0" w:after="0"/>
              <w:ind w:left="0" w:right="0" w:hanging="0"/>
              <w:jc w:val="right"/>
              <w:rPr/>
            </w:pPr>
            <w:r>
              <w:rPr/>
              <w:t> </w:t>
            </w:r>
          </w:p>
        </w:tc>
        <w:tc>
          <w:tcPr>
            <w:tcW w:w="8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47</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50"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207</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42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Treatment sessions</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 </w:t>
            </w:r>
          </w:p>
        </w:tc>
        <w:tc>
          <w:tcPr>
            <w:tcW w:w="50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170</w:t>
            </w:r>
          </w:p>
        </w:tc>
        <w:tc>
          <w:tcPr>
            <w:tcW w:w="326" w:type="dxa"/>
            <w:tcBorders/>
            <w:shd w:fill="auto" w:val="clear"/>
            <w:vAlign w:val="center"/>
          </w:tcPr>
          <w:p>
            <w:pPr>
              <w:pStyle w:val="TableContents"/>
              <w:spacing w:before="0" w:after="0"/>
              <w:ind w:left="0" w:right="0" w:hanging="0"/>
              <w:jc w:val="right"/>
              <w:rPr/>
            </w:pPr>
            <w:r>
              <w:rPr/>
              <w:t> </w:t>
            </w:r>
          </w:p>
        </w:tc>
        <w:tc>
          <w:tcPr>
            <w:tcW w:w="8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50" w:type="dxa"/>
            <w:tcBorders/>
            <w:shd w:fill="auto" w:val="clear"/>
            <w:vAlign w:val="center"/>
          </w:tcPr>
          <w:p>
            <w:pPr>
              <w:pStyle w:val="TableContents"/>
              <w:spacing w:before="0" w:after="0"/>
              <w:ind w:left="0" w:right="0" w:hanging="0"/>
              <w:rPr/>
            </w:pPr>
            <w:r>
              <w:rPr/>
              <w:t> </w:t>
            </w:r>
          </w:p>
        </w:tc>
        <w:tc>
          <w:tcPr>
            <w:tcW w:w="50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spacing w:before="0" w:after="0"/>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181</w:t>
            </w:r>
          </w:p>
        </w:tc>
        <w:tc>
          <w:tcPr>
            <w:tcW w:w="326" w:type="dxa"/>
            <w:tcBorders/>
            <w:shd w:fill="CCEEFF" w:val="clear"/>
            <w:vAlign w:val="center"/>
          </w:tcPr>
          <w:p>
            <w:pPr>
              <w:pStyle w:val="TableContents"/>
              <w:spacing w:before="0" w:after="0"/>
              <w:ind w:left="0" w:right="0" w:hanging="0"/>
              <w:jc w:val="right"/>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148</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42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International revenues</w:t>
            </w:r>
          </w:p>
        </w:tc>
        <w:tc>
          <w:tcPr>
            <w:tcW w:w="326" w:type="dxa"/>
            <w:tcBorders/>
            <w:shd w:fill="auto" w:val="clear"/>
            <w:vAlign w:val="center"/>
          </w:tcPr>
          <w:p>
            <w:pPr>
              <w:pStyle w:val="TableContents"/>
              <w:spacing w:before="0" w:after="0"/>
              <w:ind w:left="0" w:right="0" w:hanging="0"/>
              <w:rPr/>
            </w:pPr>
            <w:r>
              <w:rPr/>
              <w:t>​</w:t>
            </w:r>
          </w:p>
        </w:tc>
        <w:tc>
          <w:tcPr>
            <w:tcW w:w="250"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664</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50"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486</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19.     SEVERANCE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Company entered into transition agreements outlining the separation with certain former employees during the period ended March 31, 2022 and 2021, respectively. In connection with these agreements, the Company recorded $0.1 million and $0.2 million of charges in salary, payroll tax and bonus expenses for the three months ended March 31, 2022 and 2021, respectively. For the three months ended March 31, 2022 and 2021, $0.1 million and $0.5 million of termination benefits were paid associated with the termination of the employees and charged against this liability. As of March 31, 2022 and December 31, 2021, $0.1 million and $0.1 million, respectively, remain in accrued liabilities for the unpaid portion of the separation benefits.</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20. SUBSEQUENT EVENTS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On May 11, 2022, the Company initiated litigation in federal court in the District of Delaware against Brainsway Ltd. and Brainsway USA, Inc. (collectively, “Brainsway”), alleging unfair competition under the Lanham Act. Specifically, the Company alleges that Brainsway deliberately manipulated and mischaracterized its data as well as the Company’s data for commercial gain. The Company seeks unspecified monetary damages and injunctive relief.</w:t>
      </w:r>
    </w:p>
    <w:p>
      <w:pPr>
        <w:pStyle w:val="TextBody"/>
        <w:spacing w:before="0" w:after="200"/>
        <w:ind w:left="0" w:right="0" w:hanging="0"/>
        <w:rPr/>
      </w:pPr>
      <w:r>
        <w:rPr/>
        <w:t>​</w:t>
      </w:r>
    </w:p>
    <w:p>
      <w:pPr>
        <w:pStyle w:val="TextBody"/>
        <w:spacing w:before="0" w:after="200"/>
        <w:ind w:left="0" w:right="0" w:hanging="0"/>
        <w:rPr/>
      </w:pPr>
      <w:r>
        <w:rPr/>
        <w:t>​</w:t>
      </w:r>
    </w:p>
    <w:p>
      <w:pPr>
        <w:pStyle w:val="TextBody"/>
        <w:spacing w:before="0" w:after="200"/>
        <w:ind w:left="0" w:right="0" w:hanging="0"/>
        <w:rPr/>
      </w:pPr>
      <w:r>
        <w:rPr/>
        <w:t>​</w:t>
      </w:r>
    </w:p>
    <w:p>
      <w:pPr>
        <w:pStyle w:val="TextBody"/>
        <w:spacing w:before="0" w:after="200"/>
        <w:ind w:left="0" w:right="0" w:hanging="0"/>
        <w:rPr/>
      </w:pPr>
      <w:r>
        <w:rPr/>
        <w:t>​</w:t>
      </w:r>
    </w:p>
    <w:p>
      <w:pPr>
        <w:pStyle w:val="TextBody"/>
        <w:spacing w:before="0" w:after="20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rPr>
          <w:rFonts w:ascii="Arial;Helvetica;sans-serif" w:hAnsi="Arial;Helvetica;sans-serif"/>
          <w:b/>
          <w:sz w:val="20"/>
        </w:rPr>
      </w:pPr>
      <w:bookmarkStart w:id="827" w:name="Item2ManagementsDiscussionandAnalysisofF"/>
      <w:bookmarkStart w:id="828" w:name="_bb5dee80_91f8_48d9_8524_39eeec98983e"/>
      <w:bookmarkEnd w:id="827"/>
      <w:bookmarkEnd w:id="828"/>
      <w:r>
        <w:rPr>
          <w:rFonts w:ascii="Arial;Helvetica;sans-serif" w:hAnsi="Arial;Helvetica;sans-serif"/>
          <w:b/>
          <w:sz w:val="20"/>
        </w:rPr>
        <w:t>Item 2.     Management’s Discussion and Analysis of Financial Condition and Results of Operations.</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the ongoing impact of the novel coronavirus, or COVID-19, pandemic on general political and economic uncertainty, including as a result of efforts by governmental authorities to mitigate the COVID-19 pandemic and the related impact on resource allocations, manufacturing and supply chains and patient access to commercial products; our ability to execute our business continuity as well as our operational and budget plans in light of the COVID-19 pandemic;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developments in regulation in the United States and other applicable jurisdictions; and the impacts on our operational and budget plans due to inflation.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8, 2022.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Overview</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believe we are the market leader in TMS therapy based on over 127,500 global patients treated with over 4.5 million of our Treatment Sessions through such date. We generated revenues of $14.2 million and $12.3 million for the three months ended March 31, 2022 and 2021, respectively. </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March 31, 2022, revenues from sales of our Treatment Sessions and NeuroStar Advanced Therapy Systems represented 70% and 27% of our U.S. revenues, respectively. </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We currently sell our NeuroStar Advanced Therapy System and recurring Treatment Sessions in the United States with the collaborative support of our 187 employees as of March 31, 2022. Our sales force targets an estimated 50,000 psychiatrists across 26,000 psychiatric practices in the United States, based on data from Symphony Health and our own internal estimates that treat approximately 42% of the total MDD patients in the United States who meet our labeled indication and are insured. Some of our customers have and may purchase more than one NeuroStar Advanced Therapy System. Based on our commercial data, we believe our customers can recoup their initial capital investment in our system by providing a standard course of treatment to approximately 12 patients. We believe our customers can generate approximately $8,500 of average revenue per patient for a standard course of treatment, which may provide meaningful incremental income to their practices. We have a diverse customer base, including psychiatrists in group psychiatric practices, pain management physicians and other medical professionals in the United States. For the three months ended March 31, 2022, one customer accounted for more than 10% of our revenues.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We market our products in a few select markets outside the United States through independent distributors. International revenues represented 5% and 4% of our total revenues for the three months ended March 31, 2022 and 2021,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received the initial reimbursement of JPY 12,000 per Treatment Session, which went into effect on June 1, 2019. We expect our international revenues to increase over time as a percentage of our total revenues as we grow system placements and utilization in Japan.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Our research and development efforts are focused on the following: hardware and software product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developments and enhancements of our NeuroStar Advanced Therapy System and clinical developments relating to additional indications.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Our total revenues increased by $1.9 million, or 15%, from $12.3 million for the three months ended March 31, 2021 to $14.2 million for the three months ended March 31, 2022. For the three months ended March 31, 2022, our U.S. revenues were $13.5 million compared to $11.8 million for three months ended March 31, 2021, which represents an increase of 15% period over period. The increase was primarily attributable to an increase in U.S. NeuroStar Advanced Therapy System sales period over period. We incurred net losses of $10.8 million for the three months ended March 31, 2022 compared to net losses of $7.9 million for three months ended March 31, 2021. We expect to continue to incur losses for the next several years as we invest in our commercial organization to support our planned sales growth and while continuing to invest in our pipeline indications. As of March 31, 2022, we had an accumulated deficit of $319.6 million.</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COVID-19</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Throughout 2020, 2021 and the three months ended March 31, 2022, the Company experienced a material impact to revenue, particularly with regards to U.S. Treatment Session revenues as a result of the COVID-19 pandemic. The Company expects that capital equipment sales and Treatment Session revenues will continue to be impacted by the pandemic as customers defer capital purchase decisions and delay new patient treatment starts. System utilization has also declined compared to pre-COVID-19 projections.</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We have monitored the impact of the COVID-19 pandemic on all aspects of our business and geographies,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including how it has and will continue to impact the Company’s customers, supply chain, employees and other business partners. While we experienced significant disruptions in the current period and in the years ended 2021 and 2020 from the COVID-19 pandemic, we are unable to predict the ultimate impact that the COVID-19 pandemic may have on our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vaccination rates and containment measures, among others. The outbreak of COVID-19 in many countries, including the United States, has significantly adversely impacted global economic activity.</w:t>
      </w:r>
    </w:p>
    <w:p>
      <w:pPr>
        <w:pStyle w:val="TextBody"/>
        <w:spacing w:before="0" w:after="0"/>
        <w:ind w:left="0" w:right="0" w:hanging="0"/>
        <w:rPr/>
      </w:pPr>
      <w:r>
        <w:rPr/>
        <w: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regarding the impact of COVID-19 on the Company, see Item 1A titled “Risk Factors” of our Annual Report on Form 10-K for the year ended December 31, 2021.</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Components of Our Results of Operations</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Revenues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To date, we have generated revenues primarily from the capital portion of our business and related sales and rentals of the NeuroStar Advanced Therapy System and the recurring revenues from our sale of Treatment Sessions in the United States.</w:t>
      </w:r>
    </w:p>
    <w:p>
      <w:pPr>
        <w:pStyle w:val="TextBody"/>
        <w:spacing w:before="0" w:after="200"/>
        <w:ind w:left="0" w:right="0" w:hanging="0"/>
        <w:rPr>
          <w:rFonts w:ascii="Arial;Helvetica;sans-serif" w:hAnsi="Arial;Helvetica;sans-serif"/>
          <w:sz w:val="20"/>
        </w:rPr>
      </w:pPr>
      <w:r>
        <w:rPr>
          <w:rFonts w:ascii="Arial;Helvetica;sans-serif" w:hAnsi="Arial;Helvetica;sans-serif"/>
          <w:b/>
          <w:i/>
          <w:sz w:val="20"/>
        </w:rPr>
        <w:t>NeuroStar Advanced Therapy System Revenues</w:t>
      </w:r>
      <w:r>
        <w:rPr>
          <w:rFonts w:ascii="Arial;Helvetica;sans-serif" w:hAnsi="Arial;Helvetica;sans-serif"/>
          <w:sz w:val="20"/>
        </w:rPr>
        <w:t xml:space="preserve">. NeuroStar Advanced Therapy System revenues consist primarily of sales or rentals of a capital component, including upgrades to the equipment attributable to the initial sale of the system. NeuroStar Advanced Therapy Systems can be purchased outright or on a rent-to-own basis by certain customers. </w:t>
      </w:r>
    </w:p>
    <w:p>
      <w:pPr>
        <w:pStyle w:val="TextBody"/>
        <w:spacing w:before="0" w:after="200"/>
        <w:ind w:left="0" w:right="0" w:hanging="0"/>
        <w:rPr>
          <w:rFonts w:ascii="Arial;Helvetica;sans-serif" w:hAnsi="Arial;Helvetica;sans-serif"/>
          <w:sz w:val="20"/>
        </w:rPr>
      </w:pPr>
      <w:r>
        <w:rPr>
          <w:rFonts w:ascii="Arial;Helvetica;sans-serif" w:hAnsi="Arial;Helvetica;sans-serif"/>
          <w:b/>
          <w:i/>
          <w:sz w:val="20"/>
        </w:rPr>
        <w:t>Treatment Session Revenues</w:t>
      </w:r>
      <w:r>
        <w:rPr>
          <w:rFonts w:ascii="Arial;Helvetica;sans-serif" w:hAnsi="Arial;Helvetica;sans-serif"/>
          <w:sz w:val="20"/>
        </w:rPr>
        <w:t>. Treatment Session revenues primarily include sales of NeuroStar Treatment Sessions and SenStar treatment links. The 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rPr>
          <w:rFonts w:ascii="Arial;Helvetica;sans-serif" w:hAnsi="Arial;Helvetica;sans-serif"/>
          <w:sz w:val="20"/>
        </w:rPr>
      </w:pPr>
      <w:r>
        <w:rPr>
          <w:rFonts w:ascii="Arial;Helvetica;sans-serif" w:hAnsi="Arial;Helvetica;sans-serif"/>
          <w:b/>
          <w:i/>
          <w:sz w:val="20"/>
        </w:rPr>
        <w:t>Other Revenues</w:t>
      </w:r>
      <w:r>
        <w:rPr>
          <w:rFonts w:ascii="Arial;Helvetica;sans-serif" w:hAnsi="Arial;Helvetica;sans-serif"/>
          <w:sz w:val="20"/>
        </w:rPr>
        <w:t>. Other revenues are derived primarily from service and repair and extended warranty contracts with our existing customers.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We refer you to the section titled “Critical Accounting Policies and Use of Estimates—Revenue Recognition” appearing in our Form 10-K filed with the SEC on March 8, 2022. We also refer you to “Note 3. Summary of Significant Accounting Policies.”</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Cost of Revenues and Gross Margin</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warranty, shipping, and our operations and field service departments. We expect our cost of revenues to increase to the extent our revenues grow.</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Sales and Marketing Expenses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and radio media campaigns, travel and training expenses.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We anticipate that our sales and marketing expenses will increase in 2022 compared to 2021 expenses as we continue to execute on our growth initiatives and expand our business in the United States.</w:t>
      </w:r>
    </w:p>
    <w:p>
      <w:pPr>
        <w:pStyle w:val="TextBody"/>
        <w:spacing w:before="0" w:after="0"/>
        <w:ind w:left="0" w:right="0" w:hanging="0"/>
        <w:rPr/>
      </w:pPr>
      <w:r>
        <w:rPr/>
        <w:t>​</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General and Administrative Expenses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We anticipate that our general and administrative expenses will remain flat compared to our 2021 expenses.</w:t>
      </w:r>
    </w:p>
    <w:p>
      <w:pPr>
        <w:pStyle w:val="TextBody"/>
        <w:spacing w:before="0" w:after="0"/>
        <w:ind w:left="0" w:right="0" w:hanging="0"/>
        <w:rPr/>
      </w:pPr>
      <w:r>
        <w:rPr/>
        <w:t>​</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Research and Development Expenses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sz w:val="20"/>
        </w:rPr>
      </w:pPr>
      <w:r>
        <w:rPr>
          <w:rFonts w:ascii="Arial;Helvetica;sans-serif" w:hAnsi="Arial;Helvetica;sans-serif"/>
          <w:sz w:val="20"/>
        </w:rPr>
        <w:t>and clinical development programs. We typically use our employee, consultant and infrastructure resources across our research and development programs.</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We plan to incur additional research and development expenses for the near future as we expect to continue our development of TMS Therapy for the treatment of additional patient populations and new indications related to neurohealth disorders, as well as for various hardware and software development projects. As a result, we expect our research and development expenses to increase during 2022 compared to our 2021 expenses.</w:t>
      </w:r>
    </w:p>
    <w:p>
      <w:pPr>
        <w:pStyle w:val="TextBody"/>
        <w:spacing w:before="0" w:after="0"/>
        <w:ind w:left="0" w:right="0" w:hanging="0"/>
        <w:rPr/>
      </w:pPr>
      <w:r>
        <w:rPr/>
        <w:t>​</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Interest Expense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Interest expense consists of cash interest payable under our credit facility and non-cash interest attributable to the accrual of final payment fees and the amortization of deferred financing costs related to our indebtedness.</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Other Income, Net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Other income, net consists primarily of interest income earned on our money market account balances and note receivables.</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Results of Operations</w:t>
      </w:r>
    </w:p>
    <w:p>
      <w:pPr>
        <w:pStyle w:val="TextBody"/>
        <w:spacing w:before="0" w:after="0"/>
        <w:ind w:left="0" w:right="0" w:hanging="0"/>
        <w:rPr>
          <w:rFonts w:ascii="Arial;Helvetica;sans-serif" w:hAnsi="Arial;Helvetica;sans-serif"/>
          <w:b/>
          <w:i/>
          <w:sz w:val="20"/>
        </w:rPr>
      </w:pPr>
      <w:r>
        <w:rPr>
          <w:rFonts w:ascii="Arial;Helvetica;sans-serif" w:hAnsi="Arial;Helvetica;sans-serif"/>
          <w:b/>
          <w:i/>
          <w:sz w:val="20"/>
        </w:rPr>
        <w:t>Comparison of the three months ended March 31, 2022 and 2021</w:t>
      </w:r>
    </w:p>
    <w:p>
      <w:pPr>
        <w:pStyle w:val="TextBody"/>
        <w:spacing w:before="0" w:after="200"/>
        <w:ind w:left="0" w:right="0" w:hanging="0"/>
        <w:rPr/>
      </w:pPr>
      <w:r>
        <w:rPr/>
        <w:t>​</w:t>
      </w:r>
    </w:p>
    <w:tbl>
      <w:tblPr>
        <w:tblW w:w="8133" w:type="dxa"/>
        <w:jc w:val="left"/>
        <w:tblInd w:w="0" w:type="dxa"/>
        <w:tblCellMar>
          <w:top w:w="0" w:type="dxa"/>
          <w:left w:w="0" w:type="dxa"/>
          <w:bottom w:w="0" w:type="dxa"/>
          <w:right w:w="0" w:type="dxa"/>
        </w:tblCellMar>
      </w:tblPr>
      <w:tblGrid>
        <w:gridCol w:w="2491"/>
        <w:gridCol w:w="326"/>
        <w:gridCol w:w="211"/>
        <w:gridCol w:w="811"/>
        <w:gridCol w:w="406"/>
        <w:gridCol w:w="211"/>
        <w:gridCol w:w="706"/>
        <w:gridCol w:w="406"/>
        <w:gridCol w:w="211"/>
        <w:gridCol w:w="706"/>
        <w:gridCol w:w="326"/>
        <w:gridCol w:w="991"/>
        <w:gridCol w:w="331"/>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581785" cy="175260"/>
                      <wp:effectExtent l="0" t="0" r="0" b="0"/>
                      <wp:wrapNone/>
                      <wp:docPr id="213" name="Frame212"/>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14985" cy="175260"/>
                      <wp:effectExtent l="0" t="0" r="0" b="0"/>
                      <wp:wrapNone/>
                      <wp:docPr id="216" name="Frame215"/>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57810" cy="175260"/>
                      <wp:effectExtent l="0" t="0" r="0" b="0"/>
                      <wp:wrapNone/>
                      <wp:docPr id="217" name="Frame216"/>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48310" cy="175260"/>
                      <wp:effectExtent l="0" t="0" r="0" b="0"/>
                      <wp:wrapNone/>
                      <wp:docPr id="219" name="Frame218"/>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57810" cy="175260"/>
                      <wp:effectExtent l="0" t="0" r="0" b="0"/>
                      <wp:wrapNone/>
                      <wp:docPr id="220" name="Frame219"/>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48310" cy="175260"/>
                      <wp:effectExtent l="0" t="0" r="0" b="0"/>
                      <wp:wrapNone/>
                      <wp:docPr id="222" name="Frame221"/>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29285" cy="175260"/>
                      <wp:effectExtent l="0" t="0" r="0" b="0"/>
                      <wp:wrapNone/>
                      <wp:docPr id="224" name="Frame223"/>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0185" cy="175260"/>
                      <wp:effectExtent l="0" t="0" r="0" b="0"/>
                      <wp:wrapNone/>
                      <wp:docPr id="225" name="Frame224"/>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45" w:type="dxa"/>
            <w:gridSpan w:val="5"/>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pPr>
            <w:r>
              <w:rPr/>
              <w:t>​</w:t>
            </w:r>
          </w:p>
        </w:tc>
        <w:tc>
          <w:tcPr>
            <w:tcW w:w="331" w:type="dxa"/>
            <w:tcBorders/>
            <w:shd w:fill="auto" w:val="cle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406" w:type="dxa"/>
            <w:tcBorders/>
            <w:shd w:fill="auto" w:val="clear"/>
            <w:vAlign w:val="center"/>
          </w:tcPr>
          <w:p>
            <w:pPr>
              <w:pStyle w:val="TableContents"/>
              <w:spacing w:before="0" w:after="0"/>
              <w:ind w:left="0" w:right="0" w:hanging="0"/>
              <w:rPr/>
            </w:pPr>
            <w:r>
              <w:rPr/>
              <w:t>​</w:t>
            </w:r>
          </w:p>
        </w:tc>
        <w:tc>
          <w:tcPr>
            <w:tcW w:w="223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Increase / (Decrease)</w:t>
            </w:r>
          </w:p>
        </w:tc>
        <w:tc>
          <w:tcPr>
            <w:tcW w:w="331" w:type="dxa"/>
            <w:tcBorders/>
            <w:shd w:fill="auto" w:val="clear"/>
            <w:vAlign w:val="center"/>
          </w:tcPr>
          <w:p>
            <w:pPr>
              <w:pStyle w:val="TableContents"/>
              <w:spacing w:before="0" w:after="0"/>
              <w:ind w:left="0" w:right="0" w:hanging="0"/>
              <w:jc w:val="center"/>
              <w:rPr/>
            </w:pPr>
            <w:r>
              <w:rPr/>
              <w:t>​</w:t>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shd w:fill="auto" w:val="clear"/>
            <w:vAlign w:val="center"/>
          </w:tcPr>
          <w:p>
            <w:pPr>
              <w:pStyle w:val="TableContents"/>
              <w:spacing w:before="0" w:after="0"/>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406" w:type="dxa"/>
            <w:tcBorders/>
            <w:shd w:fill="auto" w:val="clear"/>
            <w:vAlign w:val="center"/>
          </w:tcPr>
          <w:p>
            <w:pPr>
              <w:pStyle w:val="TableContents"/>
              <w:spacing w:before="0" w:after="0"/>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Dollars</w:t>
            </w:r>
          </w:p>
        </w:tc>
        <w:tc>
          <w:tcPr>
            <w:tcW w:w="326" w:type="dxa"/>
            <w:tcBorders/>
            <w:shd w:fill="auto" w:val="clear"/>
            <w:vAlign w:val="center"/>
          </w:tcPr>
          <w:p>
            <w:pPr>
              <w:pStyle w:val="TableContents"/>
              <w:spacing w:before="0" w:after="0"/>
              <w:ind w:left="0" w:right="0" w:hanging="0"/>
              <w:jc w:val="center"/>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Percentage</w:t>
            </w:r>
          </w:p>
        </w:tc>
        <w:tc>
          <w:tcPr>
            <w:tcW w:w="331" w:type="dxa"/>
            <w:tcBorders/>
            <w:shd w:fill="auto" w:val="clear"/>
            <w:vAlign w:val="center"/>
          </w:tcPr>
          <w:p>
            <w:pPr>
              <w:pStyle w:val="TableContents"/>
              <w:spacing w:before="0" w:after="0"/>
              <w:ind w:left="0" w:right="0" w:hanging="0"/>
              <w:jc w:val="center"/>
              <w:rPr/>
            </w:pPr>
            <w:r>
              <w:rPr/>
              <w:t> </w:t>
            </w:r>
          </w:p>
        </w:tc>
      </w:tr>
      <w:tr>
        <w:trPr/>
        <w:tc>
          <w:tcPr>
            <w:tcW w:w="8133"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985" w:type="dxa"/>
            <w:gridSpan w:val="10"/>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shd w:fill="auto" w:val="clear"/>
            <w:vAlign w:val="center"/>
          </w:tcPr>
          <w:p>
            <w:pPr>
              <w:pStyle w:val="TableContents"/>
              <w:spacing w:before="0" w:after="0"/>
              <w:ind w:left="0" w:right="0" w:hanging="0"/>
              <w:jc w:val="center"/>
              <w:rPr/>
            </w:pPr>
            <w:r>
              <w:rPr/>
              <w:t> </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14,181</w:t>
            </w:r>
          </w:p>
        </w:tc>
        <w:tc>
          <w:tcPr>
            <w:tcW w:w="4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12,288</w:t>
            </w:r>
          </w:p>
        </w:tc>
        <w:tc>
          <w:tcPr>
            <w:tcW w:w="4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1,893</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Cost of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3,485</w:t>
            </w:r>
          </w:p>
        </w:tc>
        <w:tc>
          <w:tcPr>
            <w:tcW w:w="40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2,221</w:t>
            </w:r>
          </w:p>
        </w:tc>
        <w:tc>
          <w:tcPr>
            <w:tcW w:w="40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1,264</w:t>
            </w:r>
          </w:p>
        </w:tc>
        <w:tc>
          <w:tcPr>
            <w:tcW w:w="326" w:type="dxa"/>
            <w:tcBorders/>
            <w:shd w:fill="auto" w:val="cle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57</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10,696</w:t>
            </w:r>
          </w:p>
        </w:tc>
        <w:tc>
          <w:tcPr>
            <w:tcW w:w="4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10,067</w:t>
            </w:r>
          </w:p>
        </w:tc>
        <w:tc>
          <w:tcPr>
            <w:tcW w:w="4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629</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auto" w:val="clear"/>
            <w:vAlign w:val="center"/>
          </w:tcPr>
          <w:p>
            <w:pPr>
              <w:pStyle w:val="TableContents"/>
              <w:spacing w:before="0" w:after="0"/>
              <w:ind w:left="0" w:right="0" w:hanging="0"/>
              <w:rPr>
                <w:rFonts w:ascii="Arial;Helvetica;sans-serif" w:hAnsi="Arial;Helvetica;sans-serif"/>
                <w:i/>
                <w:sz w:val="20"/>
              </w:rPr>
            </w:pPr>
            <w:r>
              <w:rPr>
                <w:rFonts w:ascii="Arial;Helvetica;sans-serif" w:hAnsi="Arial;Helvetica;sans-serif"/>
                <w:i/>
                <w:sz w:val="20"/>
              </w:rPr>
              <w:t>Gross Margin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Arial;Helvetica;sans-serif" w:hAnsi="Arial;Helvetica;sans-serif"/>
                <w:i/>
                <w:sz w:val="20"/>
              </w:rPr>
            </w:pPr>
            <w:r>
              <w:rPr>
                <w:rFonts w:ascii="Arial;Helvetica;sans-serif" w:hAnsi="Arial;Helvetica;sans-serif"/>
                <w:i/>
                <w:sz w:val="20"/>
              </w:rPr>
              <w:t>75.4</w:t>
            </w:r>
          </w:p>
        </w:tc>
        <w:tc>
          <w:tcPr>
            <w:tcW w:w="406" w:type="dxa"/>
            <w:tcBorders/>
            <w:shd w:fill="auto" w:val="clear"/>
            <w:vAlign w:val="center"/>
          </w:tcPr>
          <w:p>
            <w:pPr>
              <w:pStyle w:val="TableContents"/>
              <w:spacing w:before="0" w:after="0"/>
              <w:ind w:left="0" w:right="0" w:hanging="0"/>
              <w:rPr>
                <w:rFonts w:ascii="Arial;Helvetica;sans-serif" w:hAnsi="Arial;Helvetica;sans-serif"/>
                <w:i/>
                <w:sz w:val="20"/>
              </w:rPr>
            </w:pPr>
            <w:r>
              <w:rPr>
                <w:rFonts w:ascii="Arial;Helvetica;sans-serif" w:hAnsi="Arial;Helvetica;sans-serif"/>
                <w:i/>
                <w:sz w:val="20"/>
              </w:rPr>
              <w:t>%  </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Arial;Helvetica;sans-serif" w:hAnsi="Arial;Helvetica;sans-serif"/>
                <w:i/>
                <w:sz w:val="20"/>
              </w:rPr>
            </w:pPr>
            <w:r>
              <w:rPr>
                <w:rFonts w:ascii="Arial;Helvetica;sans-serif" w:hAnsi="Arial;Helvetica;sans-serif"/>
                <w:i/>
                <w:sz w:val="20"/>
              </w:rPr>
              <w:t>81.9</w:t>
            </w:r>
          </w:p>
        </w:tc>
        <w:tc>
          <w:tcPr>
            <w:tcW w:w="406" w:type="dxa"/>
            <w:tcBorders/>
            <w:shd w:fill="auto" w:val="clear"/>
            <w:vAlign w:val="center"/>
          </w:tcPr>
          <w:p>
            <w:pPr>
              <w:pStyle w:val="TableContents"/>
              <w:spacing w:before="0" w:after="0"/>
              <w:ind w:left="0" w:right="0" w:hanging="0"/>
              <w:rPr>
                <w:rFonts w:ascii="Arial;Helvetica;sans-serif" w:hAnsi="Arial;Helvetica;sans-serif"/>
                <w:i/>
                <w:sz w:val="20"/>
              </w:rPr>
            </w:pPr>
            <w:r>
              <w:rPr>
                <w:rFonts w:ascii="Arial;Helvetica;sans-serif" w:hAnsi="Arial;Helvetica;sans-serif"/>
                <w:i/>
                <w:sz w:val="20"/>
              </w:rPr>
              <w:t>%  </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rPr/>
            </w:pPr>
            <w:r>
              <w:rPr/>
              <w:t>​</w:t>
            </w:r>
          </w:p>
        </w:tc>
      </w:tr>
      <w:tr>
        <w:trPr/>
        <w:tc>
          <w:tcPr>
            <w:tcW w:w="24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rPr/>
            </w:pPr>
            <w:r>
              <w:rPr/>
              <w:t>​</w:t>
            </w:r>
          </w:p>
        </w:tc>
        <w:tc>
          <w:tcPr>
            <w:tcW w:w="4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rPr/>
            </w:pPr>
            <w:r>
              <w:rPr/>
              <w:t>​</w:t>
            </w:r>
          </w:p>
        </w:tc>
        <w:tc>
          <w:tcPr>
            <w:tcW w:w="4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w:t>
            </w:r>
          </w:p>
        </w:tc>
      </w:tr>
      <w:tr>
        <w:trPr/>
        <w:tc>
          <w:tcPr>
            <w:tcW w:w="24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rPr/>
            </w:pPr>
            <w:r>
              <w:rPr/>
              <w:t>​</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12,649</w:t>
            </w:r>
          </w:p>
        </w:tc>
        <w:tc>
          <w:tcPr>
            <w:tcW w:w="4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8,561</w:t>
            </w:r>
          </w:p>
        </w:tc>
        <w:tc>
          <w:tcPr>
            <w:tcW w:w="4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4,088</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48</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6,379</w:t>
            </w:r>
          </w:p>
        </w:tc>
        <w:tc>
          <w:tcPr>
            <w:tcW w:w="4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6,104</w:t>
            </w:r>
          </w:p>
        </w:tc>
        <w:tc>
          <w:tcPr>
            <w:tcW w:w="4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275</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1,803</w:t>
            </w:r>
          </w:p>
        </w:tc>
        <w:tc>
          <w:tcPr>
            <w:tcW w:w="4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2,311</w:t>
            </w:r>
          </w:p>
        </w:tc>
        <w:tc>
          <w:tcPr>
            <w:tcW w:w="4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(508)</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20,831</w:t>
            </w:r>
          </w:p>
        </w:tc>
        <w:tc>
          <w:tcPr>
            <w:tcW w:w="40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16,976</w:t>
            </w:r>
          </w:p>
        </w:tc>
        <w:tc>
          <w:tcPr>
            <w:tcW w:w="40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3,855</w:t>
            </w:r>
          </w:p>
        </w:tc>
        <w:tc>
          <w:tcPr>
            <w:tcW w:w="326" w:type="dxa"/>
            <w:tcBorders/>
            <w:shd w:fill="auto" w:val="clear"/>
            <w:vAlign w:val="center"/>
          </w:tcPr>
          <w:p>
            <w:pPr>
              <w:pStyle w:val="TableContents"/>
              <w:spacing w:before="0" w:after="0"/>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(10,135)</w:t>
            </w:r>
          </w:p>
        </w:tc>
        <w:tc>
          <w:tcPr>
            <w:tcW w:w="4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(6,909)</w:t>
            </w:r>
          </w:p>
        </w:tc>
        <w:tc>
          <w:tcPr>
            <w:tcW w:w="4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(3,226)</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(47)</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 (income)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4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rPr/>
            </w:pPr>
            <w:r>
              <w:rPr/>
              <w:t>​</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978</w:t>
            </w:r>
          </w:p>
        </w:tc>
        <w:tc>
          <w:tcPr>
            <w:tcW w:w="4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985</w:t>
            </w:r>
          </w:p>
        </w:tc>
        <w:tc>
          <w:tcPr>
            <w:tcW w:w="4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 income,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(275)</w:t>
            </w:r>
          </w:p>
        </w:tc>
        <w:tc>
          <w:tcPr>
            <w:tcW w:w="40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40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(262)</w:t>
            </w:r>
          </w:p>
        </w:tc>
        <w:tc>
          <w:tcPr>
            <w:tcW w:w="326" w:type="dxa"/>
            <w:tcBorders/>
            <w:shd w:fill="auto" w:val="cle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2,015</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(10,838)</w:t>
            </w:r>
          </w:p>
        </w:tc>
        <w:tc>
          <w:tcPr>
            <w:tcW w:w="4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(7,881)</w:t>
            </w:r>
          </w:p>
        </w:tc>
        <w:tc>
          <w:tcPr>
            <w:tcW w:w="4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(2,957)</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0"/>
        <w:ind w:left="0" w:right="0" w:hanging="0"/>
        <w:rPr/>
      </w:pPr>
      <w:r>
        <w:rPr/>
        <w:t>​</w:t>
      </w:r>
    </w:p>
    <w:tbl>
      <w:tblPr>
        <w:tblW w:w="6702" w:type="dxa"/>
        <w:jc w:val="left"/>
        <w:tblInd w:w="0" w:type="dxa"/>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331"/>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895985" cy="175260"/>
                      <wp:effectExtent l="0" t="0" r="0" b="0"/>
                      <wp:wrapNone/>
                      <wp:docPr id="226" name="Frame225"/>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38785" cy="175260"/>
                      <wp:effectExtent l="0" t="0" r="0" b="0"/>
                      <wp:wrapNone/>
                      <wp:docPr id="229" name="Frame22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62610" cy="175260"/>
                      <wp:effectExtent l="0" t="0" r="0" b="0"/>
                      <wp:wrapNone/>
                      <wp:docPr id="231" name="Frame23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57810" cy="175260"/>
                      <wp:effectExtent l="0" t="0" r="0" b="0"/>
                      <wp:wrapNone/>
                      <wp:docPr id="232" name="Frame231"/>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38785" cy="175260"/>
                      <wp:effectExtent l="0" t="0" r="0" b="0"/>
                      <wp:wrapNone/>
                      <wp:docPr id="234" name="Frame23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62610" cy="175260"/>
                      <wp:effectExtent l="0" t="0" r="0" b="0"/>
                      <wp:wrapNone/>
                      <wp:docPr id="236" name="Frame23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0185" cy="175260"/>
                      <wp:effectExtent l="0" t="0" r="0" b="0"/>
                      <wp:wrapNone/>
                      <wp:docPr id="237" name="Frame236"/>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34" w:type="dxa"/>
            <w:gridSpan w:val="9"/>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331" w:type="dxa"/>
            <w:tcBorders/>
            <w:shd w:fill="auto" w:val="cle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34"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shd w:fill="auto" w:val="cle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shd w:fill="auto" w:val="clear"/>
            <w:vAlign w:val="center"/>
          </w:tcPr>
          <w:p>
            <w:pPr>
              <w:pStyle w:val="TableContents"/>
              <w:spacing w:before="0" w:after="0"/>
              <w:ind w:left="0" w:right="0" w:hanging="0"/>
              <w:rPr/>
            </w:pPr>
            <w:r>
              <w:rPr/>
              <w:t>​</w:t>
            </w:r>
          </w:p>
        </w:tc>
        <w:tc>
          <w:tcPr>
            <w:tcW w:w="211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31" w:type="dxa"/>
            <w:tcBorders/>
            <w:shd w:fill="auto" w:val="cle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shd w:fill="auto" w:val="cle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shd w:fill="auto" w:val="clear"/>
            <w:vAlign w:val="center"/>
          </w:tcPr>
          <w:p>
            <w:pPr>
              <w:pStyle w:val="TableContents"/>
              <w:spacing w:before="0" w:after="0"/>
              <w:ind w:left="0" w:right="0" w:hanging="0"/>
              <w:jc w:val="center"/>
              <w:rPr/>
            </w:pPr>
            <w:r>
              <w:rPr/>
              <w:t> </w:t>
            </w:r>
          </w:p>
        </w:tc>
      </w:tr>
      <w:tr>
        <w:trPr/>
        <w:tc>
          <w:tcPr>
            <w:tcW w:w="6702"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34" w:type="dxa"/>
            <w:gridSpan w:val="9"/>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shd w:fill="auto" w:val="clear"/>
            <w:vAlign w:val="center"/>
          </w:tcPr>
          <w:p>
            <w:pPr>
              <w:pStyle w:val="TableContents"/>
              <w:spacing w:before="0" w:after="0"/>
              <w:ind w:left="0" w:right="0" w:hanging="0"/>
              <w:jc w:val="center"/>
              <w:rPr/>
            </w:pPr>
            <w:r>
              <w:rPr/>
              <w:t> </w:t>
            </w:r>
          </w:p>
        </w:tc>
      </w:tr>
      <w:tr>
        <w:trPr/>
        <w:tc>
          <w:tcPr>
            <w:tcW w:w="14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United States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13,517</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95</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11,802</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96</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14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International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664</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486</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14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14,181</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12,288</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tbl>
      <w:tblPr>
        <w:tblW w:w="8712" w:type="dxa"/>
        <w:jc w:val="left"/>
        <w:tblInd w:w="0" w:type="dxa"/>
        <w:tblCellMar>
          <w:top w:w="0" w:type="dxa"/>
          <w:left w:w="0" w:type="dxa"/>
          <w:bottom w:w="0" w:type="dxa"/>
          <w:right w:w="0" w:type="dxa"/>
        </w:tblCellMar>
      </w:tblPr>
      <w:tblGrid>
        <w:gridCol w:w="3421"/>
        <w:gridCol w:w="326"/>
        <w:gridCol w:w="211"/>
        <w:gridCol w:w="691"/>
        <w:gridCol w:w="326"/>
        <w:gridCol w:w="886"/>
        <w:gridCol w:w="406"/>
        <w:gridCol w:w="211"/>
        <w:gridCol w:w="691"/>
        <w:gridCol w:w="326"/>
        <w:gridCol w:w="886"/>
        <w:gridCol w:w="331"/>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72335" cy="175260"/>
                      <wp:effectExtent l="0" t="0" r="0" b="0"/>
                      <wp:wrapNone/>
                      <wp:docPr id="238" name="Frame237"/>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8785" cy="175260"/>
                      <wp:effectExtent l="0" t="0" r="0" b="0"/>
                      <wp:wrapNone/>
                      <wp:docPr id="241" name="Frame24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62610" cy="175260"/>
                      <wp:effectExtent l="0" t="0" r="0" b="0"/>
                      <wp:wrapNone/>
                      <wp:docPr id="243" name="Frame24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57810" cy="175260"/>
                      <wp:effectExtent l="0" t="0" r="0" b="0"/>
                      <wp:wrapNone/>
                      <wp:docPr id="244" name="Frame243"/>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785" cy="175260"/>
                      <wp:effectExtent l="0" t="0" r="0" b="0"/>
                      <wp:wrapNone/>
                      <wp:docPr id="246" name="Frame24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62610" cy="175260"/>
                      <wp:effectExtent l="0" t="0" r="0" b="0"/>
                      <wp:wrapNone/>
                      <wp:docPr id="248" name="Frame24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0185" cy="175260"/>
                      <wp:effectExtent l="0" t="0" r="0" b="0"/>
                      <wp:wrapNone/>
                      <wp:docPr id="249" name="Frame248"/>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34" w:type="dxa"/>
            <w:gridSpan w:val="9"/>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33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34"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shd w:fill="auto" w:val="clear"/>
            <w:vAlign w:val="center"/>
          </w:tcPr>
          <w:p>
            <w:pPr>
              <w:pStyle w:val="TableContents"/>
              <w:spacing w:before="0" w:after="0"/>
              <w:ind w:left="0" w:right="0" w:hanging="0"/>
              <w:rPr/>
            </w:pPr>
            <w:r>
              <w:rPr/>
              <w:t>​</w:t>
            </w:r>
          </w:p>
        </w:tc>
        <w:tc>
          <w:tcPr>
            <w:tcW w:w="211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3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shd w:fill="auto" w:val="clear"/>
            <w:vAlign w:val="center"/>
          </w:tcPr>
          <w:p>
            <w:pPr>
              <w:pStyle w:val="TableContents"/>
              <w:spacing w:before="0" w:after="0"/>
              <w:ind w:left="0" w:right="0" w:hanging="0"/>
              <w:jc w:val="center"/>
              <w:rPr/>
            </w:pPr>
            <w:r>
              <w:rPr/>
              <w:t> </w:t>
            </w:r>
          </w:p>
        </w:tc>
      </w:tr>
      <w:tr>
        <w:trPr/>
        <w:tc>
          <w:tcPr>
            <w:tcW w:w="8712"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34" w:type="dxa"/>
            <w:gridSpan w:val="9"/>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shd w:fill="auto" w:val="clear"/>
            <w:vAlign w:val="center"/>
          </w:tcPr>
          <w:p>
            <w:pPr>
              <w:pStyle w:val="TableContents"/>
              <w:spacing w:before="0" w:after="0"/>
              <w:ind w:left="0" w:right="0" w:hanging="0"/>
              <w:jc w:val="center"/>
              <w:rPr/>
            </w:pPr>
            <w:r>
              <w:rPr/>
              <w:t> </w:t>
            </w:r>
          </w:p>
        </w:tc>
      </w:tr>
      <w:tr>
        <w:trPr/>
        <w:tc>
          <w:tcPr>
            <w:tcW w:w="342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3,642</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1,755</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42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Treatment sessions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9,469</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9,629</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406</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418</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42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U.S.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13,517</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11,802</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124"/>
        <w:gridCol w:w="326"/>
        <w:gridCol w:w="211"/>
        <w:gridCol w:w="586"/>
        <w:gridCol w:w="326"/>
        <w:gridCol w:w="886"/>
        <w:gridCol w:w="406"/>
        <w:gridCol w:w="211"/>
        <w:gridCol w:w="586"/>
        <w:gridCol w:w="326"/>
        <w:gridCol w:w="886"/>
        <w:gridCol w:w="331"/>
      </w:tblGrid>
      <w:tr>
        <w:trPr/>
        <w:tc>
          <w:tcPr>
            <w:tcW w:w="5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253740" cy="175260"/>
                      <wp:effectExtent l="0" t="0" r="0" b="0"/>
                      <wp:wrapNone/>
                      <wp:docPr id="250" name="Frame249"/>
                      <a:graphic xmlns:a="http://schemas.openxmlformats.org/drawingml/2006/main">
                        <a:graphicData uri="http://schemas.microsoft.com/office/word/2010/wordprocessingShape">
                          <wps:wsp>
                            <wps:cNvSpPr txBox="1"/>
                            <wps:spPr>
                              <a:xfrm>
                                <a:off x="0" y="0"/>
                                <a:ext cx="3253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72110" cy="175260"/>
                      <wp:effectExtent l="0" t="0" r="0" b="0"/>
                      <wp:wrapNone/>
                      <wp:docPr id="253" name="Frame252"/>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62610" cy="175260"/>
                      <wp:effectExtent l="0" t="0" r="0" b="0"/>
                      <wp:wrapNone/>
                      <wp:docPr id="255" name="Frame25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57810" cy="175260"/>
                      <wp:effectExtent l="0" t="0" r="0" b="0"/>
                      <wp:wrapNone/>
                      <wp:docPr id="256" name="Frame255"/>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72110" cy="175260"/>
                      <wp:effectExtent l="0" t="0" r="0" b="0"/>
                      <wp:wrapNone/>
                      <wp:docPr id="258" name="Frame257"/>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62610" cy="175260"/>
                      <wp:effectExtent l="0" t="0" r="0" b="0"/>
                      <wp:wrapNone/>
                      <wp:docPr id="260" name="Frame259"/>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0185" cy="175260"/>
                      <wp:effectExtent l="0" t="0" r="0" b="0"/>
                      <wp:wrapNone/>
                      <wp:docPr id="261" name="Frame260"/>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24" w:type="dxa"/>
            <w:gridSpan w:val="9"/>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U.S. NeuroStar Advanced Therapy System</w:t>
            </w:r>
          </w:p>
        </w:tc>
        <w:tc>
          <w:tcPr>
            <w:tcW w:w="331" w:type="dxa"/>
            <w:tcBorders/>
            <w:shd w:fill="auto" w:val="clear"/>
            <w:vAlign w:val="center"/>
          </w:tcPr>
          <w:p>
            <w:pPr>
              <w:pStyle w:val="TableContents"/>
              <w:spacing w:before="0" w:after="0"/>
              <w:ind w:left="0" w:right="0" w:hanging="0"/>
              <w:jc w:val="center"/>
              <w:rPr/>
            </w:pPr>
            <w:r>
              <w:rPr/>
              <w:t> </w:t>
            </w:r>
          </w:p>
        </w:tc>
      </w:tr>
      <w:tr>
        <w:trPr/>
        <w:tc>
          <w:tcPr>
            <w:tcW w:w="5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24" w:type="dxa"/>
            <w:gridSpan w:val="9"/>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 by Type</w:t>
            </w:r>
          </w:p>
        </w:tc>
        <w:tc>
          <w:tcPr>
            <w:tcW w:w="331" w:type="dxa"/>
            <w:tcBorders/>
            <w:shd w:fill="auto" w:val="clear"/>
            <w:vAlign w:val="center"/>
          </w:tcPr>
          <w:p>
            <w:pPr>
              <w:pStyle w:val="TableContents"/>
              <w:spacing w:before="0" w:after="0"/>
              <w:ind w:left="0" w:right="0" w:hanging="0"/>
              <w:jc w:val="center"/>
              <w:rPr/>
            </w:pPr>
            <w:r>
              <w:rPr/>
              <w:t> </w:t>
            </w:r>
          </w:p>
        </w:tc>
      </w:tr>
      <w:tr>
        <w:trPr/>
        <w:tc>
          <w:tcPr>
            <w:tcW w:w="5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24"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shd w:fill="auto" w:val="clear"/>
            <w:vAlign w:val="center"/>
          </w:tcPr>
          <w:p>
            <w:pPr>
              <w:pStyle w:val="TableContents"/>
              <w:spacing w:before="0" w:after="0"/>
              <w:ind w:left="0" w:right="0" w:hanging="0"/>
              <w:jc w:val="center"/>
              <w:rPr/>
            </w:pPr>
            <w:r>
              <w:rPr/>
              <w:t> </w:t>
            </w:r>
          </w:p>
        </w:tc>
      </w:tr>
      <w:tr>
        <w:trPr/>
        <w:tc>
          <w:tcPr>
            <w:tcW w:w="5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0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shd w:fill="auto" w:val="clear"/>
            <w:vAlign w:val="center"/>
          </w:tcPr>
          <w:p>
            <w:pPr>
              <w:pStyle w:val="TableContents"/>
              <w:spacing w:before="0" w:after="0"/>
              <w:ind w:left="0" w:right="0" w:hanging="0"/>
              <w:jc w:val="center"/>
              <w:rPr/>
            </w:pPr>
            <w:r>
              <w:rPr/>
              <w:t>​</w:t>
            </w:r>
          </w:p>
        </w:tc>
        <w:tc>
          <w:tcPr>
            <w:tcW w:w="200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31" w:type="dxa"/>
            <w:tcBorders/>
            <w:shd w:fill="auto" w:val="clear"/>
            <w:vAlign w:val="center"/>
          </w:tcPr>
          <w:p>
            <w:pPr>
              <w:pStyle w:val="TableContents"/>
              <w:spacing w:before="0" w:after="0"/>
              <w:ind w:left="0" w:right="0" w:hanging="0"/>
              <w:jc w:val="center"/>
              <w:rPr/>
            </w:pPr>
            <w:r>
              <w:rPr/>
              <w:t> </w:t>
            </w:r>
          </w:p>
        </w:tc>
      </w:tr>
      <w:tr>
        <w:trPr/>
        <w:tc>
          <w:tcPr>
            <w:tcW w:w="5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shd w:fill="auto" w:val="clear"/>
            <w:vAlign w:val="center"/>
          </w:tcPr>
          <w:p>
            <w:pPr>
              <w:pStyle w:val="TableContents"/>
              <w:spacing w:before="0" w:after="0"/>
              <w:ind w:left="0" w:right="0" w:hanging="0"/>
              <w:jc w:val="center"/>
              <w:rPr/>
            </w:pPr>
            <w:r>
              <w:rPr/>
              <w:t> </w:t>
            </w:r>
          </w:p>
        </w:tc>
      </w:tr>
      <w:tr>
        <w:trPr/>
        <w:tc>
          <w:tcPr>
            <w:tcW w:w="5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shd w:fill="auto" w:val="clear"/>
            <w:vAlign w:val="center"/>
          </w:tcPr>
          <w:p>
            <w:pPr>
              <w:pStyle w:val="TableContents"/>
              <w:spacing w:before="0" w:after="0"/>
              <w:ind w:left="0" w:right="0" w:hanging="0"/>
              <w:jc w:val="center"/>
              <w:rPr/>
            </w:pPr>
            <w:r>
              <w:rPr/>
              <w:t> </w:t>
            </w:r>
          </w:p>
        </w:tc>
      </w:tr>
      <w:tr>
        <w:trPr/>
        <w:tc>
          <w:tcPr>
            <w:tcW w:w="10205"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5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24" w:type="dxa"/>
            <w:gridSpan w:val="9"/>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shd w:fill="auto" w:val="clear"/>
            <w:vAlign w:val="center"/>
          </w:tcPr>
          <w:p>
            <w:pPr>
              <w:pStyle w:val="TableContents"/>
              <w:spacing w:before="0" w:after="0"/>
              <w:ind w:left="0" w:right="0" w:hanging="0"/>
              <w:jc w:val="center"/>
              <w:rPr/>
            </w:pPr>
            <w:r>
              <w:rPr/>
              <w:t> </w:t>
            </w:r>
          </w:p>
        </w:tc>
      </w:tr>
      <w:tr>
        <w:trPr/>
        <w:tc>
          <w:tcPr>
            <w:tcW w:w="5124"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NeuroStar Capital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3,485</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96</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1,589</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91</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51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lease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67</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108</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5124"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90</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51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United States NeuroStar Advanced Therapy System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3,642</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1,755</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0"/>
        <w:ind w:left="0" w:right="0" w:hanging="0"/>
        <w:rPr/>
      </w:pPr>
      <w:r>
        <w:rPr/>
        <w:t>​</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Revenues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Total revenue for the three months ended March 31, 2022 was $14.2 million, an increase of 15% compared to the three months ended March 31, 2021 revenue of $12.3 million. During the quarter, total U.S. revenue increased by 15% and international revenue increased by 37% over the prior year quarter. The U.S. and international revenue growth were each driven by an increase in NeuroStar Advanced Therapy System sales. </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U.S. NeuroStar Advanced Therapy System revenue for the three months ended March 31, 2022 was $3.6 million, an increase of 108% compared to the three months ended March 31, 2021 revenue of $1.8 million. For the three months ended March 31, 2022 and 2021, the Company shipped 48 and 23 systems, respectively. Of the 48 systems shipped in the first quarter of 2022, 45 units were recognized as NeuroStar capital revenue, 1 unit was recognized as an operating lease contributing to operating lease revenue and 2 units we expect to recognize as NeuroStar capital revenue in the second quarter of 2022. For the period ended March 31, 2021, the Company recognized the 23 units shipped as NeuroStar capital revenue. </w:t>
      </w:r>
    </w:p>
    <w:p>
      <w:pPr>
        <w:pStyle w:val="TextBody"/>
        <w:spacing w:before="0" w:after="0"/>
        <w:ind w:left="0" w:right="0" w:hanging="0"/>
        <w:rPr/>
      </w:pPr>
      <w:r>
        <w:rPr/>
        <w: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U.S. Treatment Session revenue for the three months ended March 31, 2022 was $9.5 million, a decrease of 2% compared to the three months ended March 31, 2021 revenue of $9.6 million. The revenue decline was primarily driven by a decrease in Treatment Session volume over the prior year quarter due to the impact of the spike in COVID-19 Omicron variant infections and related business and government responses in January and February 2022.</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Cost of Revenues and Gross Margin</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Cost of revenues increased by $1.3 million, or 57%, from $2.2 million for the three months ended March 31, 2021 to $3.5 million for the three months ended March 31, 2022. Gross margin decreased from 81.9% for the three months ended March 31, 2021 to 75.4% for the three months ended March 31, 2022. The decrease was primarily a result of the change in product mix and higher international capital sales in the current quarter compared to the prior year quarter.</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Sales and Marketing Expenses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Sales and marketing expenses increased by $4.0 million, or 48%, from $8.6 million for the three months ended March 31, 2021 to $12.6 million for the three months ended March 31, 2022. The increase was expected and primarily due to new marketing initiative related costs, including trade shows, digital paid media costs and market research, and sales personnel expenses related to salary, benefits, commissions and share-based compensation incurred in the current period versus the prior year quarter.</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General and Administrative Expenses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General and administrative expenses increased by $0.3 million, or 5%, from $6.1 million for the three months ended March 31, 2021 to $6.4 million for the three months ended March 31, 2022. The increase was primarily due to planned increases in IT personnel expenses and software license costs in the current period versus the prior year quarter.</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Research and Development Expenses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Research and development expenses decreased by $0.5 million, or 22%, from $2.3 million for the three months ended March 31, 2021 to $1.8 million for the three months ended March 31, 2022. The decrease was primarily due to a reduction in product development costs related to the capitalization of certain of the Company’s software project costs in addition to a decrease in quality assurance costs in the current period versus the prior year quarter. </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Interest Expense</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Interest expense remained constant from $1.0 million for the three months ended March 31, 2021 to $1.0 million for the three months ended March 31, 2022. </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Other Income, Net</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Other income, net increased by $0.3 million from $0.01 million for the three months ended March 31, 2021 to $0.3 million for the three months ended March 31, 2022, primarily as a result of increased interest income earned on the Company’s note receivables.</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Liquidity and Capital Resources</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Overview</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On February 2, 2021, we closed on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 Our common stock is listed on the Nasdaq Global Market under the trading symbol “STIM”.</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As of March 31, 2022, we had cash and cash equivalents of $80.8 million and an accumulated deficit of $319.6 million, compared to cash and cash equivalents of $94.1 million and an accumulated deficit of $308.7 million as of December 31, 2021. We incurred negative cash flows from operating activities of $12.2 million and $9.2 million for the three months ended March 31, 2022 and 2021,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The Company’s primary sources of capital to date have been proceeds from its IPO, private placements of its convertible preferred securities, borrowings under its credit facility, proceeds from its secondary public offering of common stock and revenues from sales of its products. As of March 31, 2022, the Company had $35.0 million of borrowings outstanding under its credit facility, which has a final maturity in February 2025. Management believes that the Company’s cash and cash equivalents as of March 31, 2022 and anticipated revenues from sales of its products are sufficient to fund the Company’s operations for at least 12 months from the issuance of these financial statements.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If our cash and cash equivalents and anticipated revenues from sales or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Our current and future funding requirements will depend on many factors, including:</w:t>
      </w:r>
    </w:p>
    <w:tbl>
      <w:tblPr>
        <w:tblW w:w="5886" w:type="dxa"/>
        <w:jc w:val="left"/>
        <w:tblInd w:w="0" w:type="dxa"/>
        <w:tblCellMar>
          <w:top w:w="28" w:type="dxa"/>
          <w:left w:w="28" w:type="dxa"/>
          <w:bottom w:w="28" w:type="dxa"/>
          <w:right w:w="28" w:type="dxa"/>
        </w:tblCellMar>
      </w:tblPr>
      <w:tblGrid>
        <w:gridCol w:w="124"/>
        <w:gridCol w:w="256"/>
        <w:gridCol w:w="5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COVID-19 and related governmental responses;</w:t>
            </w:r>
          </w:p>
        </w:tc>
      </w:tr>
    </w:tbl>
    <w:tbl>
      <w:tblPr>
        <w:tblW w:w="6501" w:type="dxa"/>
        <w:jc w:val="left"/>
        <w:tblInd w:w="0" w:type="dxa"/>
        <w:tblCellMar>
          <w:top w:w="28" w:type="dxa"/>
          <w:left w:w="28" w:type="dxa"/>
          <w:bottom w:w="28" w:type="dxa"/>
          <w:right w:w="28" w:type="dxa"/>
        </w:tblCellMar>
      </w:tblPr>
      <w:tblGrid>
        <w:gridCol w:w="124"/>
        <w:gridCol w:w="256"/>
        <w:gridCol w:w="6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achieve revenue growth and improve operating margins;</w:t>
            </w:r>
          </w:p>
        </w:tc>
      </w:tr>
    </w:tbl>
    <w:tbl>
      <w:tblPr>
        <w:tblW w:w="8586" w:type="dxa"/>
        <w:jc w:val="left"/>
        <w:tblInd w:w="0" w:type="dxa"/>
        <w:tblCellMar>
          <w:top w:w="28" w:type="dxa"/>
          <w:left w:w="28" w:type="dxa"/>
          <w:bottom w:w="28" w:type="dxa"/>
          <w:right w:w="28" w:type="dxa"/>
        </w:tblCellMar>
      </w:tblPr>
      <w:tblGrid>
        <w:gridCol w:w="124"/>
        <w:gridCol w:w="25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the terms and conditions, including covenants, set forth in our credit facility;</w:t>
            </w:r>
          </w:p>
        </w:tc>
      </w:tr>
    </w:tbl>
    <w:tbl>
      <w:tblPr>
        <w:tblW w:w="8586" w:type="dxa"/>
        <w:jc w:val="left"/>
        <w:tblInd w:w="0" w:type="dxa"/>
        <w:tblCellMar>
          <w:top w:w="28" w:type="dxa"/>
          <w:left w:w="28" w:type="dxa"/>
          <w:bottom w:w="28" w:type="dxa"/>
          <w:right w:w="28" w:type="dxa"/>
        </w:tblCellMar>
      </w:tblPr>
      <w:tblGrid>
        <w:gridCol w:w="124"/>
        <w:gridCol w:w="25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expanding our operations and offerings, including our sales and marketing efforts;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improve or maintain coverage and reimbursement arrangements with domestic third-party and government payors, particularly in Japan;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establishing coverage and reimbursement arrangements from international commercial third-party and government payors;</w:t>
            </w:r>
          </w:p>
        </w:tc>
      </w:tr>
    </w:tbl>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and cost of the sales and marketing activities associated with, establishing adoption of our products and maintaining or improving our sales to our current customers;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research and development activities, including research and development relating to additional indications of neurohealth disorders;</w:t>
            </w:r>
          </w:p>
        </w:tc>
      </w:tr>
    </w:tbl>
    <w:tbl>
      <w:tblPr>
        <w:tblW w:w="6111" w:type="dxa"/>
        <w:jc w:val="left"/>
        <w:tblInd w:w="0" w:type="dxa"/>
        <w:tblCellMar>
          <w:top w:w="28" w:type="dxa"/>
          <w:left w:w="28" w:type="dxa"/>
          <w:bottom w:w="28" w:type="dxa"/>
          <w:right w:w="28" w:type="dxa"/>
        </w:tblCellMar>
      </w:tblPr>
      <w:tblGrid>
        <w:gridCol w:w="124"/>
        <w:gridCol w:w="256"/>
        <w:gridCol w:w="57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competing technological and market developments;</w:t>
            </w:r>
          </w:p>
        </w:tc>
      </w:tr>
    </w:tbl>
    <w:tbl>
      <w:tblPr>
        <w:tblW w:w="4371" w:type="dxa"/>
        <w:jc w:val="left"/>
        <w:tblInd w:w="0" w:type="dxa"/>
        <w:tblCellMar>
          <w:top w:w="28" w:type="dxa"/>
          <w:left w:w="28" w:type="dxa"/>
          <w:bottom w:w="28" w:type="dxa"/>
          <w:right w:w="28" w:type="dxa"/>
        </w:tblCellMar>
      </w:tblPr>
      <w:tblGrid>
        <w:gridCol w:w="124"/>
        <w:gridCol w:w="256"/>
        <w:gridCol w:w="39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9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related to international expansion;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cost of and delays in product development as a result of any regulatory oversight applicable to our products.</w:t>
            </w:r>
          </w:p>
        </w:tc>
      </w:tr>
    </w:tbl>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As of March 31, 2022, there were no significant changes to our material cash requirements as set forth in our Form 10-K, filed with the SEC on March 8, 2022. </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Cash Flows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sets forth a summary of our cash flows for the three months ended March 31, 2022 and 2021:</w:t>
      </w:r>
    </w:p>
    <w:p>
      <w:pPr>
        <w:pStyle w:val="TextBody"/>
        <w:spacing w:before="0" w:after="200"/>
        <w:ind w:left="0" w:right="0" w:hanging="0"/>
        <w:rPr/>
      </w:pPr>
      <w:r>
        <w:rPr/>
        <w:t>​</w:t>
      </w:r>
    </w:p>
    <w:tbl>
      <w:tblPr>
        <w:tblW w:w="7994" w:type="dxa"/>
        <w:jc w:val="left"/>
        <w:tblInd w:w="0" w:type="dxa"/>
        <w:tblCellMar>
          <w:top w:w="0" w:type="dxa"/>
          <w:left w:w="0" w:type="dxa"/>
          <w:bottom w:w="0" w:type="dxa"/>
          <w:right w:w="0" w:type="dxa"/>
        </w:tblCellMar>
      </w:tblPr>
      <w:tblGrid>
        <w:gridCol w:w="4921"/>
        <w:gridCol w:w="326"/>
        <w:gridCol w:w="241"/>
        <w:gridCol w:w="929"/>
        <w:gridCol w:w="373"/>
        <w:gridCol w:w="241"/>
        <w:gridCol w:w="809"/>
        <w:gridCol w:w="154"/>
      </w:tblGrid>
      <w:tr>
        <w:trPr/>
        <w:tc>
          <w:tcPr>
            <w:tcW w:w="4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124835" cy="175260"/>
                      <wp:effectExtent l="0" t="0" r="0" b="0"/>
                      <wp:wrapNone/>
                      <wp:docPr id="262" name="Frame261"/>
                      <a:graphic xmlns:a="http://schemas.openxmlformats.org/drawingml/2006/main">
                        <a:graphicData uri="http://schemas.microsoft.com/office/word/2010/wordprocessingShape">
                          <wps:wsp>
                            <wps:cNvSpPr txBox="1"/>
                            <wps:spPr>
                              <a:xfrm>
                                <a:off x="0" y="0"/>
                                <a:ext cx="3124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53035" cy="175260"/>
                      <wp:effectExtent l="0" t="0" r="0" b="0"/>
                      <wp:wrapNone/>
                      <wp:docPr id="264" name="Frame263"/>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89915" cy="175260"/>
                      <wp:effectExtent l="0" t="0" r="0" b="0"/>
                      <wp:wrapNone/>
                      <wp:docPr id="265" name="Frame264"/>
                      <a:graphic xmlns:a="http://schemas.openxmlformats.org/drawingml/2006/main">
                        <a:graphicData uri="http://schemas.microsoft.com/office/word/2010/wordprocessingShape">
                          <wps:wsp>
                            <wps:cNvSpPr txBox="1"/>
                            <wps:spPr>
                              <a:xfrm>
                                <a:off x="0" y="0"/>
                                <a:ext cx="5899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36855" cy="175260"/>
                      <wp:effectExtent l="0" t="0" r="0" b="0"/>
                      <wp:wrapNone/>
                      <wp:docPr id="266" name="Frame265"/>
                      <a:graphic xmlns:a="http://schemas.openxmlformats.org/drawingml/2006/main">
                        <a:graphicData uri="http://schemas.microsoft.com/office/word/2010/wordprocessingShape">
                          <wps:wsp>
                            <wps:cNvSpPr txBox="1"/>
                            <wps:spPr>
                              <a:xfrm>
                                <a:off x="0" y="0"/>
                                <a:ext cx="2368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53035" cy="175260"/>
                      <wp:effectExtent l="0" t="0" r="0" b="0"/>
                      <wp:wrapNone/>
                      <wp:docPr id="267" name="Frame266"/>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13715" cy="175260"/>
                      <wp:effectExtent l="0" t="0" r="0" b="0"/>
                      <wp:wrapNone/>
                      <wp:docPr id="268" name="Frame267"/>
                      <a:graphic xmlns:a="http://schemas.openxmlformats.org/drawingml/2006/main">
                        <a:graphicData uri="http://schemas.microsoft.com/office/word/2010/wordprocessingShape">
                          <wps:wsp>
                            <wps:cNvSpPr txBox="1"/>
                            <wps:spPr>
                              <a:xfrm>
                                <a:off x="0" y="0"/>
                                <a:ext cx="5137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7790" cy="175260"/>
                      <wp:effectExtent l="0" t="0" r="0" b="0"/>
                      <wp:wrapNone/>
                      <wp:docPr id="269" name="Frame26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9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59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154" w:type="dxa"/>
            <w:tcBorders/>
            <w:shd w:fill="auto" w:val="clear"/>
            <w:vAlign w:val="center"/>
          </w:tcPr>
          <w:p>
            <w:pPr>
              <w:pStyle w:val="TableContents"/>
              <w:spacing w:before="0" w:after="1"/>
              <w:ind w:left="0" w:right="0" w:hanging="0"/>
              <w:jc w:val="center"/>
              <w:rPr/>
            </w:pPr>
            <w:r>
              <w:rPr/>
              <w:t>​</w:t>
            </w:r>
          </w:p>
        </w:tc>
      </w:tr>
      <w:tr>
        <w:trPr/>
        <w:tc>
          <w:tcPr>
            <w:tcW w:w="49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73" w:type="dxa"/>
            <w:tcBorders/>
            <w:shd w:fill="auto" w:val="clear"/>
            <w:vAlign w:val="center"/>
          </w:tcPr>
          <w:p>
            <w:pPr>
              <w:pStyle w:val="TableContents"/>
              <w:spacing w:before="0" w:after="1"/>
              <w:ind w:left="0" w:right="0" w:hanging="0"/>
              <w:jc w:val="center"/>
              <w:rPr/>
            </w:pPr>
            <w:r>
              <w:rPr/>
              <w:t>    </w:t>
            </w:r>
          </w:p>
        </w:tc>
        <w:tc>
          <w:tcPr>
            <w:tcW w:w="105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c>
          <w:tcPr>
            <w:tcW w:w="154" w:type="dxa"/>
            <w:tcBorders/>
            <w:shd w:fill="auto" w:val="clear"/>
            <w:vAlign w:val="center"/>
          </w:tcPr>
          <w:p>
            <w:pPr>
              <w:pStyle w:val="TableContents"/>
              <w:spacing w:before="0" w:after="1"/>
              <w:ind w:left="0" w:right="0" w:hanging="0"/>
              <w:jc w:val="center"/>
              <w:rPr/>
            </w:pPr>
            <w:r>
              <w:rPr/>
              <w:t>​</w:t>
            </w:r>
          </w:p>
        </w:tc>
      </w:tr>
      <w:tr>
        <w:trPr/>
        <w:tc>
          <w:tcPr>
            <w:tcW w:w="7994"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49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593" w:type="dxa"/>
            <w:gridSpan w:val="5"/>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154" w:type="dxa"/>
            <w:tcBorders/>
            <w:shd w:fill="auto" w:val="clear"/>
            <w:vAlign w:val="center"/>
          </w:tcPr>
          <w:p>
            <w:pPr>
              <w:pStyle w:val="TableContents"/>
              <w:spacing w:before="0" w:after="1"/>
              <w:ind w:left="0" w:right="0" w:hanging="0"/>
              <w:jc w:val="center"/>
              <w:rPr/>
            </w:pPr>
            <w:r>
              <w:rPr/>
              <w:t>​</w:t>
            </w:r>
          </w:p>
        </w:tc>
      </w:tr>
      <w:tr>
        <w:trPr/>
        <w:tc>
          <w:tcPr>
            <w:tcW w:w="49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29"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(12,182)</w:t>
            </w:r>
          </w:p>
        </w:tc>
        <w:tc>
          <w:tcPr>
            <w:tcW w:w="373" w:type="dxa"/>
            <w:tcBorders/>
            <w:shd w:fill="CCEEFF" w:val="clear"/>
            <w:vAlign w:val="center"/>
          </w:tcPr>
          <w:p>
            <w:pPr>
              <w:pStyle w:val="TableContents"/>
              <w:spacing w:before="0" w:after="1"/>
              <w:ind w:left="0" w:right="0" w:hanging="0"/>
              <w:rPr/>
            </w:pPr>
            <w:r>
              <w:rPr/>
              <w:t>​</w:t>
            </w:r>
          </w:p>
        </w:tc>
        <w:tc>
          <w:tcPr>
            <w:tcW w:w="24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9"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(9,168)</w:t>
            </w:r>
          </w:p>
        </w:tc>
        <w:tc>
          <w:tcPr>
            <w:tcW w:w="154" w:type="dxa"/>
            <w:tcBorders/>
            <w:shd w:fill="CCEEFF" w:val="clear"/>
            <w:vAlign w:val="center"/>
          </w:tcPr>
          <w:p>
            <w:pPr>
              <w:pStyle w:val="TableContents"/>
              <w:spacing w:before="0" w:after="1"/>
              <w:ind w:left="0" w:right="0" w:hanging="0"/>
              <w:rPr/>
            </w:pPr>
            <w:r>
              <w:rPr/>
              <w:t>​</w:t>
            </w:r>
          </w:p>
        </w:tc>
      </w:tr>
      <w:tr>
        <w:trPr/>
        <w:tc>
          <w:tcPr>
            <w:tcW w:w="492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 </w:t>
            </w:r>
          </w:p>
        </w:tc>
        <w:tc>
          <w:tcPr>
            <w:tcW w:w="929"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(1,074)</w:t>
            </w:r>
          </w:p>
        </w:tc>
        <w:tc>
          <w:tcPr>
            <w:tcW w:w="373"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 </w:t>
            </w:r>
          </w:p>
        </w:tc>
        <w:tc>
          <w:tcPr>
            <w:tcW w:w="809"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(675)</w:t>
            </w:r>
          </w:p>
        </w:tc>
        <w:tc>
          <w:tcPr>
            <w:tcW w:w="154" w:type="dxa"/>
            <w:tcBorders/>
            <w:shd w:fill="auto" w:val="clear"/>
            <w:vAlign w:val="center"/>
          </w:tcPr>
          <w:p>
            <w:pPr>
              <w:pStyle w:val="TableContents"/>
              <w:spacing w:before="0" w:after="1"/>
              <w:ind w:left="0" w:right="0" w:hanging="0"/>
              <w:rPr/>
            </w:pPr>
            <w:r>
              <w:rPr/>
              <w:t>​</w:t>
            </w:r>
          </w:p>
        </w:tc>
      </w:tr>
      <w:tr>
        <w:trPr/>
        <w:tc>
          <w:tcPr>
            <w:tcW w:w="49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Cash (Used) Provided by Financing Activities</w:t>
            </w:r>
          </w:p>
        </w:tc>
        <w:tc>
          <w:tcPr>
            <w:tcW w:w="326" w:type="dxa"/>
            <w:tcBorders/>
            <w:shd w:fill="CCEEFF" w:val="clear"/>
            <w:vAlign w:val="center"/>
          </w:tcPr>
          <w:p>
            <w:pPr>
              <w:pStyle w:val="TableContents"/>
              <w:spacing w:before="0" w:after="1"/>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2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w:t>
            </w:r>
          </w:p>
        </w:tc>
        <w:tc>
          <w:tcPr>
            <w:tcW w:w="373" w:type="dxa"/>
            <w:tcBorders/>
            <w:shd w:fill="CCEEFF" w:val="clear"/>
            <w:vAlign w:val="center"/>
          </w:tcPr>
          <w:p>
            <w:pPr>
              <w:pStyle w:val="TableContents"/>
              <w:spacing w:before="0" w:after="1"/>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82,163</w:t>
            </w:r>
          </w:p>
        </w:tc>
        <w:tc>
          <w:tcPr>
            <w:tcW w:w="154" w:type="dxa"/>
            <w:tcBorders/>
            <w:shd w:fill="CCEEFF" w:val="clear"/>
            <w:vAlign w:val="center"/>
          </w:tcPr>
          <w:p>
            <w:pPr>
              <w:pStyle w:val="TableContents"/>
              <w:spacing w:before="0" w:after="1"/>
              <w:ind w:left="0" w:right="0" w:hanging="0"/>
              <w:rPr/>
            </w:pPr>
            <w:r>
              <w:rPr/>
              <w:t>​</w:t>
            </w:r>
          </w:p>
        </w:tc>
      </w:tr>
      <w:tr>
        <w:trPr/>
        <w:tc>
          <w:tcPr>
            <w:tcW w:w="492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(Decrease) Increase in Cash and Cash Equivalents</w:t>
            </w:r>
          </w:p>
        </w:tc>
        <w:tc>
          <w:tcPr>
            <w:tcW w:w="326" w:type="dxa"/>
            <w:tcBorders/>
            <w:shd w:fill="auto" w:val="clear"/>
            <w:vAlign w:val="center"/>
          </w:tcPr>
          <w:p>
            <w:pPr>
              <w:pStyle w:val="TableContents"/>
              <w:spacing w:before="0" w:after="1"/>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2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(13,304)</w:t>
            </w:r>
          </w:p>
        </w:tc>
        <w:tc>
          <w:tcPr>
            <w:tcW w:w="373" w:type="dxa"/>
            <w:tcBorders/>
            <w:shd w:fill="auto" w:val="clear"/>
            <w:vAlign w:val="center"/>
          </w:tcPr>
          <w:p>
            <w:pPr>
              <w:pStyle w:val="TableContents"/>
              <w:spacing w:before="0" w:after="1"/>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72,320</w:t>
            </w:r>
          </w:p>
        </w:tc>
        <w:tc>
          <w:tcPr>
            <w:tcW w:w="154" w:type="dxa"/>
            <w:tcBorders/>
            <w:shd w:fill="auto" w:val="clear"/>
            <w:vAlign w:val="center"/>
          </w:tcPr>
          <w:p>
            <w:pPr>
              <w:pStyle w:val="TableContents"/>
              <w:spacing w:before="0" w:after="1"/>
              <w:ind w:left="0" w:right="0" w:hanging="0"/>
              <w:rPr/>
            </w:pPr>
            <w:r>
              <w:rPr/>
              <w:t>​</w:t>
            </w:r>
          </w:p>
        </w:tc>
      </w:tr>
    </w:tbl>
    <w:p>
      <w:pPr>
        <w:pStyle w:val="TextBody"/>
        <w:spacing w:before="0" w:after="200"/>
        <w:ind w:left="0" w:right="0" w:hanging="0"/>
        <w:rPr/>
      </w:pPr>
      <w:r>
        <w:rPr/>
        <w:t>​</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Net Cash Used in Operating Activities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Net cash used in operating activities for the three months ended March 31, 2022 was $12.2 million, consisting primarily of a net loss of $10.8 million and a decrease in net operating liabilities of $4.1 million, partially offset by non-cash charges of $2.7 million. The decrease in net operating liabilities was primarily due to increases in accounts receivable and inventory and decreases in accounts payable and accrued expenses as a result of timing and the 2022 payment of the 2021 bonus compensation accrued as of December 31, 2021. Non-cash charges consisted of depreciation and amortization, non-cash interest expense and share-based compensation.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Net cash used in operating activities for the three months ended March 31, 2021 was $9.2 million, consisting primarily of a net loss of $7.9 million and a decrease in net operating liabilities of $4.0 million, partially offset by non-cash charges of $2.7 million. The decrease in net operating liabilities was primarily due to an increase in inventory and decreases in accounts payable and accrued expenses as a result of timing and the 2021 payment of the 2020 bonus compensation accrued as of December 31, 2020. Non-cash charges consisted of depreciation and amortization, non-cash interest expense, share-based compensation, and the cost of rental units purchased by customers.</w:t>
      </w:r>
    </w:p>
    <w:p>
      <w:pPr>
        <w:pStyle w:val="TextBody"/>
        <w:spacing w:before="80" w:after="0"/>
        <w:ind w:left="0" w:right="0" w:hanging="0"/>
        <w:rPr/>
      </w:pPr>
      <w:r>
        <w:rPr/>
        <w:t>​</w:t>
      </w:r>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Net Cash Used in Investing Activities</w:t>
      </w:r>
    </w:p>
    <w:p>
      <w:pPr>
        <w:pStyle w:val="TextBody"/>
        <w:spacing w:before="80" w:after="0"/>
        <w:ind w:left="0" w:right="0" w:hanging="0"/>
        <w:rPr>
          <w:rFonts w:ascii="Arial;Helvetica;sans-serif" w:hAnsi="Arial;Helvetica;sans-serif"/>
          <w:sz w:val="20"/>
        </w:rPr>
      </w:pPr>
      <w:r>
        <w:rPr>
          <w:rFonts w:ascii="Arial;Helvetica;sans-serif" w:hAnsi="Arial;Helvetica;sans-serif"/>
          <w:sz w:val="20"/>
        </w:rPr>
        <w:t>Net cash used in investing activities for the three months ended March 31, 2022 and 2021 was $1.1 million and $0.7 million, respectively. Each was attributable to purchases of property and equipment and capitalized software costs.</w:t>
      </w:r>
    </w:p>
    <w:p>
      <w:pPr>
        <w:pStyle w:val="TextBody"/>
        <w:spacing w:before="8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rPr>
          <w:rFonts w:ascii="Arial;Helvetica;sans-serif" w:hAnsi="Arial;Helvetica;sans-serif"/>
          <w:i/>
          <w:sz w:val="20"/>
        </w:rPr>
      </w:pPr>
      <w:r>
        <w:rPr>
          <w:rFonts w:ascii="Arial;Helvetica;sans-serif" w:hAnsi="Arial;Helvetica;sans-serif"/>
          <w:i/>
          <w:sz w:val="20"/>
        </w:rPr>
        <w:t>Net Cash (Used) Provided by Financing Activities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Net cash used by financing activities for the three months ended March 31, 2022 was $0.05 million and primarily consisted of the amendment fee paid in relation to the 2022 Solar Amendment. Net cash provided by financing activities for the three months ended March 31, 2021 was $82.2 million and primarily consisted of additional proceeds from the Offering and cash proceeds related to stock option exercises. </w:t>
      </w:r>
    </w:p>
    <w:p>
      <w:pPr>
        <w:pStyle w:val="TextBody"/>
        <w:spacing w:before="0" w:after="200"/>
        <w:ind w:left="0" w:right="0" w:hanging="0"/>
        <w:rPr>
          <w:rFonts w:ascii="Arial;Helvetica;sans-serif" w:hAnsi="Arial;Helvetica;sans-serif"/>
          <w:b/>
          <w:i/>
          <w:sz w:val="20"/>
        </w:rPr>
      </w:pPr>
      <w:r>
        <w:rPr>
          <w:rFonts w:ascii="Arial;Helvetica;sans-serif" w:hAnsi="Arial;Helvetica;sans-serif"/>
          <w:b/>
          <w:i/>
          <w:sz w:val="20"/>
        </w:rPr>
        <w:t>Indebtedness</w:t>
      </w:r>
    </w:p>
    <w:p>
      <w:pPr>
        <w:pStyle w:val="TextBody"/>
        <w:spacing w:before="0" w:after="200"/>
        <w:ind w:left="0" w:right="0" w:hanging="0"/>
        <w:rPr>
          <w:rFonts w:ascii="Arial;Helvetica;sans-serif" w:hAnsi="Arial;Helvetica;sans-serif"/>
          <w:b w:val="false"/>
          <w:sz w:val="20"/>
        </w:rPr>
      </w:pPr>
      <w:r>
        <w:rPr>
          <w:rFonts w:ascii="Arial;Helvetica;sans-serif" w:hAnsi="Arial;Helvetica;sans-serif"/>
          <w:b w:val="false"/>
          <w:sz w:val="20"/>
        </w:rPr>
        <w:t xml:space="preserve">Refer to “Note 13. Debt” in our unaudited financial statements and related notes thereto appearing elsewhere in this Quarterly Report on Form 10-Q for information regarding our current Solar credit facility. </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Common Stock Offering</w:t>
      </w:r>
    </w:p>
    <w:p>
      <w:pPr>
        <w:pStyle w:val="TextBody"/>
        <w:spacing w:before="0" w:after="200"/>
        <w:ind w:left="0" w:right="0" w:hanging="0"/>
        <w:rPr>
          <w:rFonts w:ascii="Arial;Helvetica;sans-serif" w:hAnsi="Arial;Helvetica;sans-serif"/>
          <w:b w:val="false"/>
          <w:sz w:val="20"/>
        </w:rPr>
      </w:pPr>
      <w:r>
        <w:rPr>
          <w:rFonts w:ascii="Arial;Helvetica;sans-serif" w:hAnsi="Arial;Helvetica;sans-serif"/>
          <w:b w:val="false"/>
          <w:sz w:val="20"/>
        </w:rPr>
        <w:t xml:space="preserve">Refer to “Note 14. Common Stock” in our unaudited financial statements and related notes thereto appearing elsewhere in this Quarterly Report on Form 10-Q for information regarding our secondary public offering of our common stock. </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JOBS Act Accounting Election</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until the earlier of the date we (i) are no longer an emerging growth company or (ii) affirmatively and irrevocably opt out of the extended transition period provided in the JOBS Act. Section 107 of the JOBS Act provides that we can elect to opt out of the extended transition period at any time, which election is irrevocable.</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Recent Accounting Pronouncements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We refer you to “Note 3. Summary of Significant Accounting Policies” and “Note 4. Recent Accounting Pronouncements” in “Notes to Interim Financial Statements” located in “Part I – FINANCIAL INFORMATION, Item 1. Financial Statements”.</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829" w:name="Item3QuantitativeandQualitativeDisclosur"/>
      <w:bookmarkStart w:id="830" w:name="_da5026b3_931e_4c77_b6d3_b82bb3654df5"/>
      <w:bookmarkEnd w:id="829"/>
      <w:bookmarkEnd w:id="830"/>
      <w:r>
        <w:rPr>
          <w:rFonts w:ascii="Arial;Helvetica;sans-serif" w:hAnsi="Arial;Helvetica;sans-serif"/>
          <w:b/>
          <w:sz w:val="20"/>
        </w:rPr>
        <w:t>Item 3.     Quantitative and Qualitative Disclosures About Market Risk.</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 xml:space="preserve">We refer you to the information described in the “Item 7A. Quantitative and Qualitative Disclosures About Market Risk” section of the Company’s Annual Report on Form 10-K filed with the SEC on March 8, 2022. There have been no material changes to our market risk described therein. </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We continue to monitor inflationary factors, such as increases in our cost of revenues and operating expenses that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rPr>
          <w:rFonts w:ascii="Arial;Helvetica;sans-serif" w:hAnsi="Arial;Helvetica;sans-serif"/>
          <w:b/>
          <w:sz w:val="20"/>
        </w:rPr>
      </w:pPr>
      <w:bookmarkStart w:id="831" w:name="Item4ControlsandProcedures_938545"/>
      <w:bookmarkStart w:id="832" w:name="_a35102d3_c68f_46ba_9a5c_46801c886c7c"/>
      <w:bookmarkEnd w:id="831"/>
      <w:bookmarkEnd w:id="832"/>
      <w:r>
        <w:rPr>
          <w:rFonts w:ascii="Arial;Helvetica;sans-serif" w:hAnsi="Arial;Helvetica;sans-serif"/>
          <w:b/>
          <w:sz w:val="20"/>
        </w:rPr>
        <w:t>Item 4.     Controls and Procedures.</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Chief Financial Officer, evaluated the effectiveness of our disclosure controls and procedures as of the end of the period covered by this Quarterly Report on Form 10-Q. Based on that evaluation, our Principal Executive Officer and our Chief Financial Officer concluded that our disclosure controls and procedures were effective at the reasonable assurance level as of March 31, 2022.</w:t>
      </w:r>
    </w:p>
    <w:p>
      <w:pPr>
        <w:pStyle w:val="TextBody"/>
        <w:spacing w:before="0" w:after="200"/>
        <w:ind w:left="0" w:right="0" w:hanging="0"/>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During the quarter ended March 31, 2022, there were no changes in our internal control over financial reporting (as defined in Rule 13a-15(f) of the Exchange Act) which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jc w:val="center"/>
        <w:rPr>
          <w:rFonts w:ascii="Arial;Helvetica;sans-serif" w:hAnsi="Arial;Helvetica;sans-serif"/>
          <w:b/>
          <w:sz w:val="20"/>
        </w:rPr>
      </w:pPr>
      <w:bookmarkStart w:id="833" w:name="PARTIIOTHERINFORMATION_867954"/>
      <w:bookmarkStart w:id="834" w:name="_39a8b501_f5da_4d5e_bfc0_4ac0b0f31583"/>
      <w:bookmarkEnd w:id="833"/>
      <w:bookmarkEnd w:id="834"/>
      <w:r>
        <w:rPr>
          <w:rFonts w:ascii="Arial;Helvetica;sans-serif" w:hAnsi="Arial;Helvetica;sans-serif"/>
          <w:b/>
          <w:sz w:val="20"/>
        </w:rPr>
        <w:t>PART II—OTHER INFORMATION</w:t>
      </w:r>
    </w:p>
    <w:p>
      <w:pPr>
        <w:pStyle w:val="TextBody"/>
        <w:spacing w:before="0" w:after="200"/>
        <w:ind w:left="0" w:right="0" w:hanging="0"/>
        <w:rPr>
          <w:rFonts w:ascii="Arial;Helvetica;sans-serif" w:hAnsi="Arial;Helvetica;sans-serif"/>
          <w:b/>
          <w:sz w:val="20"/>
        </w:rPr>
      </w:pPr>
      <w:bookmarkStart w:id="835" w:name="Item1LegalProceedings_301773"/>
      <w:bookmarkEnd w:id="835"/>
      <w:r>
        <w:rPr>
          <w:rFonts w:ascii="Arial;Helvetica;sans-serif" w:hAnsi="Arial;Helvetica;sans-serif"/>
          <w:b/>
          <w:sz w:val="20"/>
        </w:rPr>
        <w:t>Item 1.     Legal Proceedings.</w:t>
      </w:r>
    </w:p>
    <w:p>
      <w:pPr>
        <w:pStyle w:val="TextBody"/>
        <w:spacing w:before="0" w:after="0"/>
        <w:ind w:left="0" w:right="0" w:hanging="0"/>
        <w:rPr>
          <w:rFonts w:ascii="Arial;Helvetica;sans-serif" w:hAnsi="Arial;Helvetica;sans-serif"/>
          <w:sz w:val="18"/>
        </w:rPr>
      </w:pPr>
      <w:r>
        <w:rPr>
          <w:rFonts w:ascii="Arial;Helvetica;sans-serif" w:hAnsi="Arial;Helvetica;sans-serif"/>
          <w:sz w:val="20"/>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Helvetica;sans-serif" w:hAnsi="Arial;Helvetica;sans-serif"/>
          <w:sz w:val="18"/>
        </w:rPr>
        <w:t>.</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836" w:name="Item1ARiskFactors_843057"/>
      <w:bookmarkStart w:id="837" w:name="_7071b851_afde_47fd_bda1_ce4312be36ad"/>
      <w:bookmarkEnd w:id="836"/>
      <w:bookmarkEnd w:id="837"/>
      <w:r>
        <w:rPr>
          <w:rFonts w:ascii="Arial;Helvetica;sans-serif" w:hAnsi="Arial;Helvetica;sans-serif"/>
          <w:b/>
          <w:sz w:val="20"/>
        </w:rPr>
        <w:t>Item 1A.     Risk Factors.</w:t>
      </w:r>
    </w:p>
    <w:p>
      <w:pPr>
        <w:pStyle w:val="TextBody"/>
        <w:spacing w:before="0" w:after="0"/>
        <w:ind w:left="0" w:right="0" w:hanging="0"/>
        <w:rPr>
          <w:rFonts w:ascii="Arial;Helvetica;sans-serif" w:hAnsi="Arial;Helvetica;sans-serif"/>
          <w:sz w:val="18"/>
        </w:rPr>
      </w:pPr>
      <w:r>
        <w:rPr>
          <w:rFonts w:ascii="Arial;Helvetica;sans-serif" w:hAnsi="Arial;Helvetica;sans-serif"/>
          <w:sz w:val="20"/>
        </w:rPr>
        <w:t>You should carefully consider the information described in the “Risk Factors” section of the Company’s Annual Report on Form 10-K filed with the SEC on March 8, 2022. There have been no material changes to the risk factors described therein</w:t>
      </w:r>
      <w:r>
        <w:rPr>
          <w:rFonts w:ascii="Arial;Helvetica;sans-serif" w:hAnsi="Arial;Helvetica;sans-serif"/>
          <w:sz w:val="18"/>
        </w:rPr>
        <w:t>.</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838" w:name="Item2UnregisteredSalesofEquitySecurities"/>
      <w:bookmarkStart w:id="839" w:name="_ca0abef8_b717_4ba8_8d1f_2241d0ba1c89"/>
      <w:bookmarkEnd w:id="838"/>
      <w:bookmarkEnd w:id="839"/>
      <w:r>
        <w:rPr>
          <w:rFonts w:ascii="Arial;Helvetica;sans-serif" w:hAnsi="Arial;Helvetica;sans-serif"/>
          <w:b/>
          <w:sz w:val="20"/>
        </w:rPr>
        <w:t>Item 2.     Unregistered Sales of Equity Securities and Use of Proceeds.</w:t>
      </w:r>
    </w:p>
    <w:p>
      <w:pPr>
        <w:pStyle w:val="TextBody"/>
        <w:spacing w:before="0" w:after="0"/>
        <w:ind w:left="0" w:right="0" w:hanging="0"/>
        <w:rPr>
          <w:rFonts w:ascii="Arial;Helvetica;sans-serif" w:hAnsi="Arial;Helvetica;sans-serif"/>
          <w:sz w:val="18"/>
        </w:rPr>
      </w:pPr>
      <w:r>
        <w:rPr>
          <w:rFonts w:ascii="Arial;Helvetica;sans-serif" w:hAnsi="Arial;Helvetica;sans-serif"/>
          <w:sz w:val="20"/>
        </w:rPr>
        <w:t>Not applicable</w:t>
      </w:r>
      <w:r>
        <w:rPr>
          <w:rFonts w:ascii="Arial;Helvetica;sans-serif" w:hAnsi="Arial;Helvetica;sans-serif"/>
          <w:sz w:val="18"/>
        </w:rPr>
        <w:t>.</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840" w:name="Item3DefaultsUponSeniorSecurities_544144"/>
      <w:bookmarkStart w:id="841" w:name="_2a7b1a1f_0b79_43bf_afe2_b65099b228ac"/>
      <w:bookmarkEnd w:id="840"/>
      <w:bookmarkEnd w:id="841"/>
      <w:r>
        <w:rPr>
          <w:rFonts w:ascii="Arial;Helvetica;sans-serif" w:hAnsi="Arial;Helvetica;sans-serif"/>
          <w:b/>
          <w:sz w:val="20"/>
        </w:rPr>
        <w:t>Item 3.     Defaults Upon Senior Securities.</w:t>
      </w:r>
    </w:p>
    <w:p>
      <w:pPr>
        <w:pStyle w:val="TextBody"/>
        <w:spacing w:before="0" w:after="0"/>
        <w:ind w:left="0" w:right="0" w:hanging="0"/>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842" w:name="Item4MineSafetyDisclosures_535317"/>
      <w:bookmarkStart w:id="843" w:name="_a23108c5_2323_4bdb_83f9_741ef0288d62"/>
      <w:bookmarkEnd w:id="842"/>
      <w:bookmarkEnd w:id="843"/>
      <w:r>
        <w:rPr>
          <w:rFonts w:ascii="Arial;Helvetica;sans-serif" w:hAnsi="Arial;Helvetica;sans-serif"/>
          <w:b/>
          <w:sz w:val="20"/>
        </w:rPr>
        <w:t>Item 4.     Mine Safety Disclosures.</w:t>
      </w:r>
    </w:p>
    <w:p>
      <w:pPr>
        <w:pStyle w:val="TextBody"/>
        <w:spacing w:before="0" w:after="0"/>
        <w:ind w:left="0" w:right="0" w:hanging="0"/>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spacing w:before="0" w:after="200"/>
        <w:ind w:left="0" w:right="0" w:hanging="0"/>
        <w:rPr/>
      </w:pPr>
      <w:r>
        <w:rPr/>
        <w:t>​</w:t>
      </w:r>
    </w:p>
    <w:p>
      <w:pPr>
        <w:pStyle w:val="TextBody"/>
        <w:spacing w:before="0" w:after="200"/>
        <w:ind w:left="0" w:right="0" w:hanging="0"/>
        <w:rPr>
          <w:rFonts w:ascii="Arial;Helvetica;sans-serif" w:hAnsi="Arial;Helvetica;sans-serif"/>
          <w:b/>
          <w:sz w:val="20"/>
        </w:rPr>
      </w:pPr>
      <w:bookmarkStart w:id="844" w:name="Item5OtherInformation_821519"/>
      <w:bookmarkStart w:id="845" w:name="_38984211_85d9_4e88_af5b_d45d49b3ac5c"/>
      <w:bookmarkEnd w:id="844"/>
      <w:bookmarkEnd w:id="845"/>
      <w:r>
        <w:rPr>
          <w:rFonts w:ascii="Arial;Helvetica;sans-serif" w:hAnsi="Arial;Helvetica;sans-serif"/>
          <w:b/>
          <w:sz w:val="20"/>
        </w:rPr>
        <w:t>Item 5.     Other Information.</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Not applicable.</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jc w:val="both"/>
        <w:rPr>
          <w:rFonts w:ascii="Arial;Helvetica;sans-serif" w:hAnsi="Arial;Helvetica;sans-serif"/>
          <w:b/>
          <w:sz w:val="20"/>
        </w:rPr>
      </w:pPr>
      <w:bookmarkStart w:id="846" w:name="Exhibits"/>
      <w:bookmarkStart w:id="847" w:name="_d6b0c217_58c3_478f_82d1_68ea9f8fbffb"/>
      <w:bookmarkEnd w:id="846"/>
      <w:bookmarkEnd w:id="847"/>
      <w:r>
        <w:rPr>
          <w:rFonts w:ascii="Arial;Helvetica;sans-serif" w:hAnsi="Arial;Helvetica;sans-serif"/>
          <w:b/>
          <w:sz w:val="20"/>
        </w:rPr>
        <w:t>Item 6.     Exhibits.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tbl>
      <w:tblPr>
        <w:tblW w:w="10205" w:type="dxa"/>
        <w:jc w:val="left"/>
        <w:tblInd w:w="0" w:type="dxa"/>
        <w:tblCellMar>
          <w:top w:w="0" w:type="dxa"/>
          <w:left w:w="0" w:type="dxa"/>
          <w:bottom w:w="0" w:type="dxa"/>
          <w:right w:w="0" w:type="dxa"/>
        </w:tblCellMar>
      </w:tblPr>
      <w:tblGrid>
        <w:gridCol w:w="867"/>
        <w:gridCol w:w="326"/>
        <w:gridCol w:w="9012"/>
      </w:tblGrid>
      <w:tr>
        <w:trPr/>
        <w:tc>
          <w:tcPr>
            <w:tcW w:w="8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50545" cy="175260"/>
                      <wp:effectExtent l="0" t="0" r="0" b="0"/>
                      <wp:wrapNone/>
                      <wp:docPr id="270" name="Frame269"/>
                      <a:graphic xmlns:a="http://schemas.openxmlformats.org/drawingml/2006/main">
                        <a:graphicData uri="http://schemas.microsoft.com/office/word/2010/wordprocessingShape">
                          <wps:wsp>
                            <wps:cNvSpPr txBox="1"/>
                            <wps:spPr>
                              <a:xfrm>
                                <a:off x="0" y="0"/>
                                <a:ext cx="550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722620" cy="175260"/>
                      <wp:effectExtent l="0" t="0" r="0" b="0"/>
                      <wp:wrapNone/>
                      <wp:docPr id="272" name="Frame271"/>
                      <a:graphic xmlns:a="http://schemas.openxmlformats.org/drawingml/2006/main">
                        <a:graphicData uri="http://schemas.microsoft.com/office/word/2010/wordprocessingShape">
                          <wps:wsp>
                            <wps:cNvSpPr txBox="1"/>
                            <wps:spPr>
                              <a:xfrm>
                                <a:off x="0" y="0"/>
                                <a:ext cx="5722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67"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Exhibit</w:t>
              <w:br/>
              <w:t>Number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12"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Description</w:t>
            </w:r>
          </w:p>
        </w:tc>
      </w:tr>
      <w:tr>
        <w:trPr/>
        <w:tc>
          <w:tcPr>
            <w:tcW w:w="867"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pPr>
            <w:r>
              <w:rPr/>
              <w:t>​</w:t>
            </w:r>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10.1◊</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Third Amendment to Loan and Security Agreement, dated February 15, 2022, by and among SLR Investment Corp. (formerly known as Solar Capital Ltd.), as collateral agent, the lenders listed on the signature pages thereto, and Neuronetics, Inc. (incorporated by reference to Exhibit 10.1 to the Registrant’s Current Report on Form 8-K filed on February 22, 2022).</w:t>
              </w:r>
            </w:hyperlink>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10.2</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Subordination Agreement, dated April 29, 2022, by and among ZW Partners, LLC and Neuronetics, Inc. (incorporated by reference to Exhibit 10.1 to the Registrant’s Current Report on Form 8-K filed on May 5, 2022).</w:t>
              </w:r>
            </w:hyperlink>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31.1*</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pPr>
            <w:hyperlink w:anchor="stim-20220331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31.2*</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pPr>
            <w:hyperlink w:anchor="stim-20220331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32.1**</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pPr>
            <w:hyperlink w:anchor="stim-2022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32.2**</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pPr>
            <w:hyperlink w:anchor="stim-2022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101.INS</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iXBRL tags are embedded within the Inline XBRL document.</w:t>
            </w:r>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101.SCH</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Inline XBRL Taxonomy Extension Schema Document</w:t>
            </w:r>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101.CAL</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Inline XBRL Taxonomy Extension Calculation Linkbase Document</w:t>
            </w:r>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101.DEF</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Inline XBRL Taxonomy Extension Definition Linkbase Document</w:t>
            </w:r>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101.LAB</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Inline XBRL Taxonomy Extension Label Linkbase Document</w:t>
            </w:r>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101.PRE</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Inline XBRL Taxonomy Extension Presentation Linkbase Document</w:t>
            </w:r>
          </w:p>
        </w:tc>
      </w:tr>
      <w:tr>
        <w:trPr/>
        <w:tc>
          <w:tcPr>
            <w:tcW w:w="867"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104</w:t>
            </w:r>
          </w:p>
        </w:tc>
        <w:tc>
          <w:tcPr>
            <w:tcW w:w="326" w:type="dxa"/>
            <w:tcBorders/>
            <w:shd w:fill="auto" w:val="clear"/>
            <w:vAlign w:val="center"/>
          </w:tcPr>
          <w:p>
            <w:pPr>
              <w:pStyle w:val="TableContents"/>
              <w:spacing w:before="0" w:after="0"/>
              <w:ind w:left="0" w:right="0" w:hanging="0"/>
              <w:rPr/>
            </w:pPr>
            <w:r>
              <w:rPr/>
              <w:t>​</w:t>
            </w:r>
          </w:p>
        </w:tc>
        <w:tc>
          <w:tcPr>
            <w:tcW w:w="901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Cover Page Interactive Data File (Formatted as Inline XBRL and contained Exhibit 101).</w:t>
            </w:r>
          </w:p>
        </w:tc>
      </w:tr>
    </w:tbl>
    <w:tbl>
      <w:tblPr>
        <w:tblW w:w="1607" w:type="dxa"/>
        <w:jc w:val="left"/>
        <w:tblInd w:w="0" w:type="dxa"/>
        <w:tblCellMar>
          <w:top w:w="0" w:type="dxa"/>
          <w:left w:w="0" w:type="dxa"/>
          <w:bottom w:w="0" w:type="dxa"/>
          <w:right w:w="0" w:type="dxa"/>
        </w:tblCellMar>
      </w:tblPr>
      <w:tblGrid>
        <w:gridCol w:w="196"/>
        <w:gridCol w:w="1411"/>
      </w:tblGrid>
      <w:tr>
        <w:trPr/>
        <w:tc>
          <w:tcPr>
            <w:tcW w:w="196" w:type="dxa"/>
            <w:tcBorders/>
            <w:shd w:fill="auto" w:val="clear"/>
            <w:vAlign w:val="center"/>
          </w:tcPr>
          <w:p>
            <w:pPr>
              <w:pStyle w:val="TableContents"/>
              <w:spacing w:before="0" w:after="200"/>
              <w:rPr>
                <w:rFonts w:ascii="Arial;Helvetica;sans-serif" w:hAnsi="Arial;Helvetica;sans-serif"/>
                <w:sz w:val="18"/>
              </w:rPr>
            </w:pPr>
            <w:r>
              <w:rPr>
                <w:rFonts w:ascii="Arial;Helvetica;sans-serif" w:hAnsi="Arial;Helvetica;sans-serif"/>
                <w:sz w:val="18"/>
              </w:rPr>
              <w:t>*</w:t>
            </w:r>
          </w:p>
        </w:tc>
        <w:tc>
          <w:tcPr>
            <w:tcW w:w="1411" w:type="dxa"/>
            <w:tcBorders/>
            <w:shd w:fill="auto" w:val="clear"/>
            <w:vAlign w:val="center"/>
          </w:tcPr>
          <w:p>
            <w:pPr>
              <w:pStyle w:val="TableContents"/>
              <w:spacing w:before="0" w:after="200"/>
              <w:rPr>
                <w:rFonts w:ascii="Arial;Helvetica;sans-serif" w:hAnsi="Arial;Helvetica;sans-serif"/>
                <w:sz w:val="20"/>
              </w:rPr>
            </w:pPr>
            <w:r>
              <w:rPr>
                <w:rFonts w:ascii="Arial;Helvetica;sans-serif" w:hAnsi="Arial;Helvetica;sans-serif"/>
                <w:sz w:val="20"/>
              </w:rPr>
              <w:t>Filed herewith.</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00"/>
              <w:rPr/>
            </w:pPr>
            <w:r>
              <w:rPr/>
              <w:t>◊</w:t>
            </w:r>
          </w:p>
        </w:tc>
        <w:tc>
          <w:tcPr>
            <w:tcW w:w="9964" w:type="dxa"/>
            <w:tcBorders/>
            <w:shd w:fill="auto" w:val="clear"/>
            <w:vAlign w:val="center"/>
          </w:tcPr>
          <w:p>
            <w:pPr>
              <w:pStyle w:val="TableContents"/>
              <w:spacing w:before="0" w:after="200"/>
              <w:rPr>
                <w:rFonts w:ascii="Arial;Helvetica;sans-serif" w:hAnsi="Arial;Helvetica;sans-serif"/>
                <w:sz w:val="20"/>
              </w:rPr>
            </w:pPr>
            <w:r>
              <w:rPr>
                <w:rFonts w:ascii="Arial;Helvetica;sans-serif" w:hAnsi="Arial;Helvetica;sans-serif"/>
                <w:sz w:val="20"/>
              </w:rPr>
              <w:t>Certain portions of this exhibit have been omitted to preserve the confidentiality of such information. The Company will furnish copies of any such information to the SEC or its staff upon request.</w:t>
            </w:r>
          </w:p>
        </w:tc>
      </w:tr>
    </w:tbl>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200"/>
              <w:jc w:val="both"/>
              <w:rPr>
                <w:rFonts w:ascii="Arial;Helvetica;sans-serif" w:hAnsi="Arial;Helvetica;sans-serif"/>
                <w:sz w:val="18"/>
              </w:rPr>
            </w:pPr>
            <w:r>
              <w:rPr>
                <w:rFonts w:ascii="Arial;Helvetica;sans-serif" w:hAnsi="Arial;Helvetica;sans-serif"/>
                <w:sz w:val="18"/>
              </w:rPr>
              <w:t>**</w:t>
            </w:r>
          </w:p>
        </w:tc>
        <w:tc>
          <w:tcPr>
            <w:tcW w:w="9996" w:type="dxa"/>
            <w:tcBorders/>
            <w:shd w:fill="auto" w:val="clear"/>
            <w:vAlign w:val="center"/>
          </w:tcPr>
          <w:p>
            <w:pPr>
              <w:pStyle w:val="TableContents"/>
              <w:spacing w:before="0" w:after="200"/>
              <w:jc w:val="both"/>
              <w:rPr>
                <w:rFonts w:ascii="Arial;Helvetica;sans-serif" w:hAnsi="Arial;Helvetica;sans-serif"/>
                <w:sz w:val="20"/>
              </w:rPr>
            </w:pPr>
            <w:r>
              <w:rPr>
                <w:rFonts w:ascii="Arial;Helvetica;sans-serif" w:hAnsi="Arial;Helvetica;sans-serif"/>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tc>
      </w:tr>
    </w:tbl>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spacing w:before="0" w:after="2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00"/>
        <w:ind w:left="0" w:right="0" w:hanging="0"/>
        <w:jc w:val="center"/>
        <w:rPr>
          <w:rFonts w:ascii="Arial;Helvetica;sans-serif" w:hAnsi="Arial;Helvetica;sans-serif"/>
          <w:b/>
          <w:sz w:val="20"/>
        </w:rPr>
      </w:pPr>
      <w:bookmarkStart w:id="848" w:name="_8b4e95a4_587e_491a_aa54_218fd6a54eeb"/>
      <w:bookmarkEnd w:id="848"/>
      <w:r>
        <w:rPr>
          <w:rFonts w:ascii="Arial;Helvetica;sans-serif" w:hAnsi="Arial;Helvetica;sans-serif"/>
          <w:b/>
          <w:sz w:val="20"/>
        </w:rPr>
        <w:t>SIGNATURES</w:t>
      </w:r>
    </w:p>
    <w:p>
      <w:pPr>
        <w:pStyle w:val="TextBody"/>
        <w:spacing w:before="0" w:after="0"/>
        <w:ind w:left="0" w:right="0" w:hanging="0"/>
        <w:rPr>
          <w:rFonts w:ascii="Arial;Helvetica;sans-serif" w:hAnsi="Arial;Helvetica;sans-serif"/>
          <w:sz w:val="20"/>
        </w:rPr>
      </w:pPr>
      <w:bookmarkStart w:id="849" w:name="SIGNATURES_811098"/>
      <w:bookmarkEnd w:id="849"/>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spacing w:before="0" w:after="200"/>
        <w:ind w:left="0" w:right="0" w:hanging="0"/>
        <w:rPr/>
      </w:pPr>
      <w:r>
        <w:rPr/>
        <w:t>​</w:t>
      </w:r>
    </w:p>
    <w:tbl>
      <w:tblPr>
        <w:tblW w:w="6749" w:type="dxa"/>
        <w:jc w:val="left"/>
        <w:tblInd w:w="0" w:type="dxa"/>
        <w:tblCellMar>
          <w:top w:w="0" w:type="dxa"/>
          <w:left w:w="0" w:type="dxa"/>
          <w:bottom w:w="0" w:type="dxa"/>
          <w:right w:w="0" w:type="dxa"/>
        </w:tblCellMar>
      </w:tblPr>
      <w:tblGrid>
        <w:gridCol w:w="1831"/>
        <w:gridCol w:w="326"/>
        <w:gridCol w:w="676"/>
        <w:gridCol w:w="3916"/>
      </w:tblGrid>
      <w:tr>
        <w:trPr/>
        <w:tc>
          <w:tcPr>
            <w:tcW w:w="1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162685" cy="175260"/>
                      <wp:effectExtent l="0" t="0" r="0" b="0"/>
                      <wp:wrapNone/>
                      <wp:docPr id="273" name="Frame272"/>
                      <a:graphic xmlns:a="http://schemas.openxmlformats.org/drawingml/2006/main">
                        <a:graphicData uri="http://schemas.microsoft.com/office/word/2010/wordprocessingShape">
                          <wps:wsp>
                            <wps:cNvSpPr txBox="1"/>
                            <wps:spPr>
                              <a:xfrm>
                                <a:off x="0" y="0"/>
                                <a:ext cx="1162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29260" cy="175260"/>
                      <wp:effectExtent l="0" t="0" r="0" b="0"/>
                      <wp:wrapNone/>
                      <wp:docPr id="274" name="Frame27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486660" cy="175260"/>
                      <wp:effectExtent l="0" t="0" r="0" b="0"/>
                      <wp:wrapNone/>
                      <wp:docPr id="275" name="Frame274"/>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592" w:type="dxa"/>
            <w:gridSpan w:val="2"/>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NEURONETICS, INC.</w: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92" w:type="dxa"/>
            <w:gridSpan w:val="2"/>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(Registrant)</w:t>
            </w:r>
          </w:p>
        </w:tc>
      </w:tr>
      <w:tr>
        <w:trPr/>
        <w:tc>
          <w:tcPr>
            <w:tcW w:w="18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Date: May 12, 2022</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By:</w:t>
            </w:r>
          </w:p>
        </w:tc>
        <w:tc>
          <w:tcPr>
            <w:tcW w:w="3916" w:type="dxa"/>
            <w:tcBorders>
              <w:bottom w:val="single" w:sz="8"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 Keith J. Sullivan</w: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Name:</w:t>
            </w:r>
          </w:p>
        </w:tc>
        <w:tc>
          <w:tcPr>
            <w:tcW w:w="39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Keith J. Sullivan</w: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Title:</w:t>
            </w:r>
          </w:p>
        </w:tc>
        <w:tc>
          <w:tcPr>
            <w:tcW w:w="39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President and Chief Executive Officer</w: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9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(Principal Executive Officer)</w:t>
            </w:r>
          </w:p>
        </w:tc>
      </w:tr>
      <w:tr>
        <w:trPr/>
        <w:tc>
          <w:tcPr>
            <w:tcW w:w="18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Date: May 12, 2022</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By:</w:t>
            </w:r>
          </w:p>
        </w:tc>
        <w:tc>
          <w:tcPr>
            <w:tcW w:w="3916" w:type="dxa"/>
            <w:tcBorders>
              <w:bottom w:val="single" w:sz="8"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 Stephen Furlong</w: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Name:</w:t>
            </w:r>
          </w:p>
        </w:tc>
        <w:tc>
          <w:tcPr>
            <w:tcW w:w="39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Stephen Furlong</w: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Title:</w:t>
            </w:r>
          </w:p>
        </w:tc>
        <w:tc>
          <w:tcPr>
            <w:tcW w:w="39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SVP, Chief Financial Officer and Treasurer</w: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9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(Principal Financial and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600" w:after="0"/>
        <w:ind w:left="0" w:right="0" w:hanging="0"/>
        <w:jc w:val="center"/>
        <w:rPr>
          <w:rFonts w:ascii="Arial;Helvetica;sans-serif" w:hAnsi="Arial;Helvetica;sans-serif"/>
          <w:sz w:val="20"/>
        </w:rPr>
      </w:pPr>
      <w:r>
        <w:rPr>
          <w:rFonts w:ascii="Arial;Helvetica;sans-serif" w:hAnsi="Arial;Helvetica;sans-serif"/>
          <w:sz w:val="20"/>
        </w:rPr>
        <w:t>35</w:t>
      </w:r>
      <w:r>
        <w:br w:type="page"/>
      </w:r>
    </w:p>
    <w:p>
      <w:pPr>
        <w:pStyle w:val="TextBody"/>
        <w:spacing w:before="0" w:after="240"/>
        <w:ind w:left="0" w:right="0" w:hanging="0"/>
        <w:jc w:val="right"/>
        <w:rPr>
          <w:rFonts w:ascii="Times New Roman;Times;serif" w:hAnsi="Times New Roman;Times;serif"/>
          <w:b/>
          <w:sz w:val="18"/>
        </w:rPr>
      </w:pPr>
      <w:bookmarkStart w:id="850" w:name="stim-20220331xex31d1.htm"/>
      <w:bookmarkStart w:id="851" w:name="ksstim20220331xex31d1"/>
      <w:bookmarkEnd w:id="850"/>
      <w:bookmarkEnd w:id="851"/>
      <w:r>
        <w:rPr>
          <w:rFonts w:ascii="Times New Roman;Times;serif" w:hAnsi="Times New Roman;Times;serif"/>
          <w:b/>
          <w:sz w:val="18"/>
        </w:rPr>
        <w:t>Exhibit 31.1</w:t>
      </w:r>
    </w:p>
    <w:p>
      <w:pPr>
        <w:pStyle w:val="TextBody"/>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w:t>
      </w:r>
    </w:p>
    <w:p>
      <w:pPr>
        <w:pStyle w:val="TextBody"/>
        <w:spacing w:before="0" w:after="240"/>
        <w:ind w:left="0" w:right="0" w:hanging="0"/>
        <w:rPr>
          <w:rFonts w:ascii="Times New Roman;Times;serif" w:hAnsi="Times New Roman;Times;serif"/>
          <w:sz w:val="18"/>
        </w:rPr>
      </w:pPr>
      <w:r>
        <w:rPr>
          <w:rFonts w:ascii="Times New Roman;Times;serif" w:hAnsi="Times New Roman;Times;serif"/>
          <w:sz w:val="18"/>
        </w:rPr>
        <w:t>I, Keith J. Sullivan, certify that:</w:t>
      </w:r>
    </w:p>
    <w:tbl>
      <w:tblPr>
        <w:tblW w:w="5320" w:type="dxa"/>
        <w:jc w:val="left"/>
        <w:tblInd w:w="0" w:type="dxa"/>
        <w:tblCellMar>
          <w:top w:w="0" w:type="dxa"/>
          <w:left w:w="0" w:type="dxa"/>
          <w:bottom w:w="0" w:type="dxa"/>
          <w:right w:w="0" w:type="dxa"/>
        </w:tblCellMar>
      </w:tblPr>
      <w:tblGrid>
        <w:gridCol w:w="155"/>
        <w:gridCol w:w="5165"/>
      </w:tblGrid>
      <w:tr>
        <w:trPr/>
        <w:tc>
          <w:tcPr>
            <w:tcW w:w="155"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1.</w:t>
            </w:r>
          </w:p>
        </w:tc>
        <w:tc>
          <w:tcPr>
            <w:tcW w:w="51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CellMar>
          <w:top w:w="0" w:type="dxa"/>
          <w:left w:w="0" w:type="dxa"/>
          <w:bottom w:w="0" w:type="dxa"/>
          <w:right w:w="0" w:type="dxa"/>
        </w:tblCellMar>
      </w:tblPr>
      <w:tblGrid>
        <w:gridCol w:w="130"/>
        <w:gridCol w:w="10075"/>
      </w:tblGrid>
      <w:tr>
        <w:trPr/>
        <w:tc>
          <w:tcPr>
            <w:tcW w:w="13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2.</w:t>
            </w:r>
          </w:p>
        </w:tc>
        <w:tc>
          <w:tcPr>
            <w:tcW w:w="100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3.</w:t>
            </w:r>
          </w:p>
        </w:tc>
        <w:tc>
          <w:tcPr>
            <w:tcW w:w="100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27"/>
        <w:gridCol w:w="10078"/>
      </w:tblGrid>
      <w:tr>
        <w:trPr/>
        <w:tc>
          <w:tcPr>
            <w:tcW w:w="127"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4.</w:t>
            </w:r>
          </w:p>
        </w:tc>
        <w:tc>
          <w:tcPr>
            <w:tcW w:w="100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77"/>
        <w:gridCol w:w="10005"/>
      </w:tblGrid>
      <w:tr>
        <w:trPr/>
        <w:tc>
          <w:tcPr>
            <w:tcW w:w="2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100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192"/>
        <w:gridCol w:w="9990"/>
      </w:tblGrid>
      <w:tr>
        <w:trPr/>
        <w:tc>
          <w:tcPr>
            <w:tcW w:w="2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9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84"/>
        <w:gridCol w:w="9998"/>
      </w:tblGrid>
      <w:tr>
        <w:trPr/>
        <w:tc>
          <w:tcPr>
            <w:tcW w:w="2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999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192"/>
        <w:gridCol w:w="9990"/>
      </w:tblGrid>
      <w:tr>
        <w:trPr/>
        <w:tc>
          <w:tcPr>
            <w:tcW w:w="2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99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5.</w:t>
            </w:r>
          </w:p>
        </w:tc>
        <w:tc>
          <w:tcPr>
            <w:tcW w:w="100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86"/>
        <w:gridCol w:w="9996"/>
      </w:tblGrid>
      <w:tr>
        <w:trPr/>
        <w:tc>
          <w:tcPr>
            <w:tcW w:w="2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19"/>
        <w:gridCol w:w="9963"/>
      </w:tblGrid>
      <w:tr>
        <w:trPr/>
        <w:tc>
          <w:tcPr>
            <w:tcW w:w="2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9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4953" w:type="dxa"/>
        <w:jc w:val="center"/>
        <w:tblInd w:w="0" w:type="dxa"/>
        <w:tblCellMar>
          <w:top w:w="0" w:type="dxa"/>
          <w:left w:w="0" w:type="dxa"/>
          <w:bottom w:w="0" w:type="dxa"/>
          <w:right w:w="0" w:type="dxa"/>
        </w:tblCellMar>
      </w:tblPr>
      <w:tblGrid>
        <w:gridCol w:w="1546"/>
        <w:gridCol w:w="571"/>
        <w:gridCol w:w="2836"/>
      </w:tblGrid>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2836" w:type="dxa"/>
            <w:tcBorders/>
            <w:shd w:fill="auto" w:val="clear"/>
            <w:vAlign w:val="center"/>
          </w:tcPr>
          <w:p>
            <w:pPr>
              <w:pStyle w:val="TableContents"/>
              <w:spacing w:before="0" w:after="0"/>
              <w:ind w:left="0" w:right="0" w:hanging="0"/>
              <w:rPr/>
            </w:pPr>
            <w:r>
              <w:rPr/>
              <w:t>​</w:t>
            </w:r>
          </w:p>
        </w:tc>
      </w:tr>
      <w:tr>
        <w:trPr/>
        <w:tc>
          <w:tcPr>
            <w:tcW w:w="15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Date: May 12, 2022</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Keith J. Sullivan</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Keith J. Sullivan</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Title:</w:t>
            </w:r>
          </w:p>
        </w:tc>
        <w:tc>
          <w:tcPr>
            <w:tcW w:w="283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President and Chief Executive Officer</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283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18"/>
        </w:rPr>
      </w:pPr>
      <w:bookmarkStart w:id="852" w:name="stim-20220331xex31d2.htm"/>
      <w:bookmarkStart w:id="853" w:name="ksstim20220331xex31d2"/>
      <w:bookmarkEnd w:id="852"/>
      <w:bookmarkEnd w:id="853"/>
      <w:r>
        <w:rPr>
          <w:rFonts w:ascii="Times New Roman;Times;serif" w:hAnsi="Times New Roman;Times;serif"/>
          <w:b/>
          <w:sz w:val="18"/>
        </w:rPr>
        <w:t>Exhibit 31.2</w:t>
      </w:r>
    </w:p>
    <w:p>
      <w:pPr>
        <w:pStyle w:val="TextBody"/>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w:t>
      </w:r>
    </w:p>
    <w:p>
      <w:pPr>
        <w:pStyle w:val="TextBody"/>
        <w:spacing w:before="0" w:after="240"/>
        <w:ind w:left="0" w:right="0" w:hanging="0"/>
        <w:jc w:val="both"/>
        <w:rPr>
          <w:rFonts w:ascii="Times New Roman;Times;serif" w:hAnsi="Times New Roman;Times;serif"/>
          <w:sz w:val="18"/>
        </w:rPr>
      </w:pPr>
      <w:r>
        <w:rPr>
          <w:rFonts w:ascii="Times New Roman;Times;serif" w:hAnsi="Times New Roman;Times;serif"/>
          <w:sz w:val="18"/>
        </w:rPr>
        <w:t>I, Stephen Furlong, certify that:</w:t>
      </w:r>
    </w:p>
    <w:tbl>
      <w:tblPr>
        <w:tblW w:w="5320" w:type="dxa"/>
        <w:jc w:val="left"/>
        <w:tblInd w:w="0" w:type="dxa"/>
        <w:tblCellMar>
          <w:top w:w="0" w:type="dxa"/>
          <w:left w:w="0" w:type="dxa"/>
          <w:bottom w:w="0" w:type="dxa"/>
          <w:right w:w="0" w:type="dxa"/>
        </w:tblCellMar>
      </w:tblPr>
      <w:tblGrid>
        <w:gridCol w:w="155"/>
        <w:gridCol w:w="5165"/>
      </w:tblGrid>
      <w:tr>
        <w:trPr/>
        <w:tc>
          <w:tcPr>
            <w:tcW w:w="155"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1.</w:t>
            </w:r>
          </w:p>
        </w:tc>
        <w:tc>
          <w:tcPr>
            <w:tcW w:w="51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CellMar>
          <w:top w:w="0" w:type="dxa"/>
          <w:left w:w="0" w:type="dxa"/>
          <w:bottom w:w="0" w:type="dxa"/>
          <w:right w:w="0" w:type="dxa"/>
        </w:tblCellMar>
      </w:tblPr>
      <w:tblGrid>
        <w:gridCol w:w="130"/>
        <w:gridCol w:w="10075"/>
      </w:tblGrid>
      <w:tr>
        <w:trPr/>
        <w:tc>
          <w:tcPr>
            <w:tcW w:w="13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2.</w:t>
            </w:r>
          </w:p>
        </w:tc>
        <w:tc>
          <w:tcPr>
            <w:tcW w:w="100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3.</w:t>
            </w:r>
          </w:p>
        </w:tc>
        <w:tc>
          <w:tcPr>
            <w:tcW w:w="100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28"/>
        <w:gridCol w:w="10077"/>
      </w:tblGrid>
      <w:tr>
        <w:trPr/>
        <w:tc>
          <w:tcPr>
            <w:tcW w:w="128"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4.</w:t>
            </w:r>
          </w:p>
        </w:tc>
        <w:tc>
          <w:tcPr>
            <w:tcW w:w="1007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77"/>
        <w:gridCol w:w="10005"/>
      </w:tblGrid>
      <w:tr>
        <w:trPr/>
        <w:tc>
          <w:tcPr>
            <w:tcW w:w="2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100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192"/>
        <w:gridCol w:w="9990"/>
      </w:tblGrid>
      <w:tr>
        <w:trPr/>
        <w:tc>
          <w:tcPr>
            <w:tcW w:w="2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9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84"/>
        <w:gridCol w:w="9998"/>
      </w:tblGrid>
      <w:tr>
        <w:trPr/>
        <w:tc>
          <w:tcPr>
            <w:tcW w:w="2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999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192"/>
        <w:gridCol w:w="9990"/>
      </w:tblGrid>
      <w:tr>
        <w:trPr/>
        <w:tc>
          <w:tcPr>
            <w:tcW w:w="2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99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5.</w:t>
            </w:r>
          </w:p>
        </w:tc>
        <w:tc>
          <w:tcPr>
            <w:tcW w:w="100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86"/>
        <w:gridCol w:w="9996"/>
      </w:tblGrid>
      <w:tr>
        <w:trPr/>
        <w:tc>
          <w:tcPr>
            <w:tcW w:w="2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19"/>
        <w:gridCol w:w="9963"/>
      </w:tblGrid>
      <w:tr>
        <w:trPr/>
        <w:tc>
          <w:tcPr>
            <w:tcW w:w="2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9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5433" w:type="dxa"/>
        <w:jc w:val="center"/>
        <w:tblInd w:w="0" w:type="dxa"/>
        <w:tblCellMar>
          <w:top w:w="0" w:type="dxa"/>
          <w:left w:w="0" w:type="dxa"/>
          <w:bottom w:w="0" w:type="dxa"/>
          <w:right w:w="0" w:type="dxa"/>
        </w:tblCellMar>
      </w:tblPr>
      <w:tblGrid>
        <w:gridCol w:w="1546"/>
        <w:gridCol w:w="571"/>
        <w:gridCol w:w="3316"/>
      </w:tblGrid>
      <w:tr>
        <w:trPr/>
        <w:tc>
          <w:tcPr>
            <w:tcW w:w="154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w: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62585" cy="175260"/>
                      <wp:effectExtent l="0" t="0" r="0" b="0"/>
                      <wp:wrapNone/>
                      <wp:docPr id="276" name="Frame27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6" w:type="dxa"/>
            <w:tcBorders/>
            <w:shd w:fill="auto" w:val="clear"/>
            <w:vAlign w:val="center"/>
          </w:tcPr>
          <w:p>
            <w:pPr>
              <w:pStyle w:val="TableContents"/>
              <w:spacing w:before="0" w:after="0"/>
              <w:ind w:left="0" w:right="0" w:hanging="0"/>
              <w:rPr/>
            </w:pPr>
            <w:r>
              <w:rPr/>
              <w:t>​</w:t>
            </w:r>
          </w:p>
        </w:tc>
      </w:tr>
      <w:tr>
        <w:trPr/>
        <w:tc>
          <w:tcPr>
            <w:tcW w:w="15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Date: May 12, 2022</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By:</w:t>
            </w:r>
          </w:p>
        </w:tc>
        <w:tc>
          <w:tcPr>
            <w:tcW w:w="33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Stephen Furlong</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Name:</w:t>
            </w:r>
          </w:p>
        </w:tc>
        <w:tc>
          <w:tcPr>
            <w:tcW w:w="33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Stephen Furlong</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Title:</w:t>
            </w:r>
          </w:p>
        </w:tc>
        <w:tc>
          <w:tcPr>
            <w:tcW w:w="33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SVP, Chief Financial Officer and Treasurer</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18"/>
        </w:rPr>
      </w:pPr>
      <w:bookmarkStart w:id="854" w:name="stim-20220331xex32d1.htm"/>
      <w:bookmarkStart w:id="855" w:name="ksstim20220331xex32d1"/>
      <w:bookmarkEnd w:id="854"/>
      <w:bookmarkEnd w:id="855"/>
      <w:r>
        <w:rPr>
          <w:rFonts w:ascii="Times New Roman;Times;serif" w:hAnsi="Times New Roman;Times;serif"/>
          <w:b/>
          <w:sz w:val="18"/>
        </w:rPr>
        <w:t>Exhibit 32.1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March 31, 2022 as filed with the Securities and Exchange Commission on the date hereof (the “Report”), I certify, pursuant to 18 U.S.C. Section 1350, as adopted pursuant to Section 906 of the Sarbanes-Oxley Act of 2002, that:</w:t>
      </w:r>
    </w:p>
    <w:tbl>
      <w:tblPr>
        <w:tblW w:w="8583" w:type="dxa"/>
        <w:jc w:val="left"/>
        <w:tblInd w:w="0" w:type="dxa"/>
        <w:tblCellMar>
          <w:top w:w="0" w:type="dxa"/>
          <w:left w:w="0" w:type="dxa"/>
          <w:bottom w:w="0" w:type="dxa"/>
          <w:right w:w="0" w:type="dxa"/>
        </w:tblCellMar>
      </w:tblPr>
      <w:tblGrid>
        <w:gridCol w:w="23"/>
        <w:gridCol w:w="230"/>
        <w:gridCol w:w="8330"/>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(1)</w:t>
            </w:r>
          </w:p>
        </w:tc>
        <w:tc>
          <w:tcPr>
            <w:tcW w:w="83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29"/>
        <w:gridCol w:w="9953"/>
      </w:tblGrid>
      <w:tr>
        <w:trPr/>
        <w:tc>
          <w:tcPr>
            <w:tcW w:w="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(2)</w:t>
            </w:r>
          </w:p>
        </w:tc>
        <w:tc>
          <w:tcPr>
            <w:tcW w:w="995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tbl>
      <w:tblPr>
        <w:tblW w:w="4953" w:type="dxa"/>
        <w:jc w:val="center"/>
        <w:tblInd w:w="0" w:type="dxa"/>
        <w:tblCellMar>
          <w:top w:w="0" w:type="dxa"/>
          <w:left w:w="0" w:type="dxa"/>
          <w:bottom w:w="0" w:type="dxa"/>
          <w:right w:w="0" w:type="dxa"/>
        </w:tblCellMar>
      </w:tblPr>
      <w:tblGrid>
        <w:gridCol w:w="1546"/>
        <w:gridCol w:w="571"/>
        <w:gridCol w:w="2836"/>
      </w:tblGrid>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2836" w:type="dxa"/>
            <w:tcBorders/>
            <w:shd w:fill="auto" w:val="clear"/>
            <w:vAlign w:val="center"/>
          </w:tcPr>
          <w:p>
            <w:pPr>
              <w:pStyle w:val="TableContents"/>
              <w:spacing w:before="0" w:after="0"/>
              <w:ind w:left="0" w:right="0" w:hanging="0"/>
              <w:rPr/>
            </w:pPr>
            <w:r>
              <w:rPr/>
              <w:t>​</w:t>
            </w:r>
          </w:p>
        </w:tc>
      </w:tr>
      <w:tr>
        <w:trPr/>
        <w:tc>
          <w:tcPr>
            <w:tcW w:w="15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Date: May 12, 2022</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Keith J. Sullivan</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Keith J. Sullivan</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Title:</w:t>
            </w:r>
          </w:p>
        </w:tc>
        <w:tc>
          <w:tcPr>
            <w:tcW w:w="283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President and Chief Executive Officer</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283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18"/>
        </w:rPr>
      </w:pPr>
      <w:bookmarkStart w:id="856" w:name="stim-20220331xex32d2.htm"/>
      <w:bookmarkStart w:id="857" w:name="ksstim20220331xex32d2"/>
      <w:bookmarkEnd w:id="856"/>
      <w:bookmarkEnd w:id="857"/>
      <w:r>
        <w:rPr>
          <w:rFonts w:ascii="Times New Roman;Times;serif" w:hAnsi="Times New Roman;Times;serif"/>
          <w:b/>
          <w:sz w:val="18"/>
        </w:rPr>
        <w:t>Exhibit 32.2</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spacing w:before="0" w:after="240"/>
        <w:ind w:left="0" w:right="0" w:firstLine="720"/>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March 31, 2022 as filed with the Securities and Exchange Commission on the date hereof (the “Report”), I certify, pursuant to 18 U.S.C. Section 1350, as adopted pursuant to Section 906 of the Sarbanes-Oxley Act of 2002, that:</w:t>
      </w:r>
    </w:p>
    <w:tbl>
      <w:tblPr>
        <w:tblW w:w="8583" w:type="dxa"/>
        <w:jc w:val="left"/>
        <w:tblInd w:w="0" w:type="dxa"/>
        <w:tblCellMar>
          <w:top w:w="0" w:type="dxa"/>
          <w:left w:w="0" w:type="dxa"/>
          <w:bottom w:w="0" w:type="dxa"/>
          <w:right w:w="0" w:type="dxa"/>
        </w:tblCellMar>
      </w:tblPr>
      <w:tblGrid>
        <w:gridCol w:w="23"/>
        <w:gridCol w:w="230"/>
        <w:gridCol w:w="8330"/>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(1)</w:t>
            </w:r>
          </w:p>
        </w:tc>
        <w:tc>
          <w:tcPr>
            <w:tcW w:w="83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29"/>
        <w:gridCol w:w="9953"/>
      </w:tblGrid>
      <w:tr>
        <w:trPr/>
        <w:tc>
          <w:tcPr>
            <w:tcW w:w="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(2)</w:t>
            </w:r>
          </w:p>
        </w:tc>
        <w:tc>
          <w:tcPr>
            <w:tcW w:w="995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p>
      <w:pPr>
        <w:pStyle w:val="TextBody"/>
        <w:spacing w:before="0" w:after="0"/>
        <w:ind w:left="0" w:right="0" w:hanging="0"/>
        <w:rPr/>
      </w:pPr>
      <w:r>
        <w:rPr/>
        <w:t>​</w:t>
      </w:r>
    </w:p>
    <w:tbl>
      <w:tblPr>
        <w:tblW w:w="5433" w:type="dxa"/>
        <w:jc w:val="center"/>
        <w:tblInd w:w="0" w:type="dxa"/>
        <w:tblCellMar>
          <w:top w:w="0" w:type="dxa"/>
          <w:left w:w="0" w:type="dxa"/>
          <w:bottom w:w="0" w:type="dxa"/>
          <w:right w:w="0" w:type="dxa"/>
        </w:tblCellMar>
      </w:tblPr>
      <w:tblGrid>
        <w:gridCol w:w="1546"/>
        <w:gridCol w:w="571"/>
        <w:gridCol w:w="3316"/>
      </w:tblGrid>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0"/>
              <w:ind w:left="0" w:right="0" w:hanging="0"/>
              <w:rPr/>
            </w:pPr>
            <w:r>
              <w:rPr/>
              <w:t>​</w:t>
            </w:r>
          </w:p>
        </w:tc>
      </w:tr>
      <w:tr>
        <w:trPr/>
        <w:tc>
          <w:tcPr>
            <w:tcW w:w="15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Date: May 12, 2022</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By:</w:t>
            </w:r>
          </w:p>
        </w:tc>
        <w:tc>
          <w:tcPr>
            <w:tcW w:w="33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Stephen Furlong</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Name:</w:t>
            </w:r>
          </w:p>
        </w:tc>
        <w:tc>
          <w:tcPr>
            <w:tcW w:w="33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Stephen Furlong</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Title:</w:t>
            </w:r>
          </w:p>
        </w:tc>
        <w:tc>
          <w:tcPr>
            <w:tcW w:w="33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SVP, Chief Financial Officer and Treasurer</w:t>
            </w:r>
          </w:p>
        </w:tc>
      </w:tr>
      <w:tr>
        <w:trPr/>
        <w:tc>
          <w:tcPr>
            <w:tcW w:w="15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27636/000155837022001502/stim-20220215xex10d1.htm" TargetMode="External"/><Relationship Id="rId4" Type="http://schemas.openxmlformats.org/officeDocument/2006/relationships/hyperlink" Target="https://www.sec.gov/Archives/edgar/data/0001227636/000155837022007408/stim-20220429xex10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16052</Words>
  <CharactersWithSpaces>104542</CharactersWithSpaces>
  <Paragraphs>3954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