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 w:lineRule="exact"/>
        <w:rPr>
          <w:sz w:val="24"/>
          <w:szCs w:val="24"/>
          <w:color w:val="auto"/>
        </w:rPr>
      </w:pPr>
    </w:p>
    <w:p>
      <w:pPr>
        <w:ind w:left="3780" w:right="2000" w:hanging="3772"/>
        <w:spacing w:after="0" w:line="266"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September 30, 2020</w:t>
      </w:r>
    </w:p>
    <w:p>
      <w:pPr>
        <w:spacing w:after="0" w:line="6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3780" w:right="1980" w:hanging="3772"/>
        <w:spacing w:after="0" w:line="282"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 to _______</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NEURONETICS, INC.</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56515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1420" w:type="dxa"/>
        <w:tblCellMar>
          <w:top w:w="0" w:type="dxa"/>
          <w:left w:w="0" w:type="dxa"/>
          <w:bottom w:w="0" w:type="dxa"/>
          <w:right w:w="0" w:type="dxa"/>
        </w:tblCellMar>
      </w:tblPr>
      <w:tr>
        <w:trPr>
          <w:trHeight w:val="216"/>
        </w:trPr>
        <w:tc>
          <w:tcPr>
            <w:tcW w:w="5840" w:type="dxa"/>
            <w:vAlign w:val="bottom"/>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33-1051425</w:t>
            </w:r>
          </w:p>
        </w:tc>
      </w:tr>
      <w:tr>
        <w:trPr>
          <w:trHeight w:val="148"/>
        </w:trPr>
        <w:tc>
          <w:tcPr>
            <w:tcW w:w="5840" w:type="dxa"/>
            <w:vAlign w:val="bottom"/>
          </w:tcPr>
          <w:p>
            <w:pPr>
              <w:jc w:val="center"/>
              <w:ind w:right="296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220" w:type="dxa"/>
            <w:vAlign w:val="bottom"/>
          </w:tcPr>
          <w:p>
            <w:pPr>
              <w:jc w:val="center"/>
              <w:ind w:left="3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5840" w:type="dxa"/>
            <w:vAlign w:val="bottom"/>
          </w:tcPr>
          <w:p>
            <w:pPr>
              <w:jc w:val="center"/>
              <w:ind w:right="29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220" w:type="dxa"/>
            <w:vAlign w:val="bottom"/>
          </w:tcPr>
          <w:p>
            <w:pPr>
              <w:spacing w:after="0"/>
              <w:rPr>
                <w:sz w:val="16"/>
                <w:szCs w:val="16"/>
                <w:color w:val="auto"/>
              </w:rPr>
            </w:pPr>
          </w:p>
        </w:tc>
      </w:tr>
      <w:tr>
        <w:trPr>
          <w:trHeight w:val="392"/>
        </w:trPr>
        <w:tc>
          <w:tcPr>
            <w:tcW w:w="5840" w:type="dxa"/>
            <w:vAlign w:val="bottom"/>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3222 Phoenixville Pike, Malvern, PA</w:t>
            </w:r>
          </w:p>
        </w:tc>
        <w:tc>
          <w:tcPr>
            <w:tcW w:w="22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19355</w:t>
            </w:r>
          </w:p>
        </w:tc>
      </w:tr>
      <w:tr>
        <w:trPr>
          <w:trHeight w:val="188"/>
        </w:trPr>
        <w:tc>
          <w:tcPr>
            <w:tcW w:w="5840" w:type="dxa"/>
            <w:vAlign w:val="bottom"/>
          </w:tcPr>
          <w:p>
            <w:pPr>
              <w:jc w:val="center"/>
              <w:ind w:right="296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color w:val="auto"/>
              </w:rPr>
              <w:t>(Zip Code)</w:t>
            </w:r>
          </w:p>
        </w:tc>
      </w:tr>
      <w:tr>
        <w:trPr>
          <w:trHeight w:val="284"/>
        </w:trPr>
        <w:tc>
          <w:tcPr>
            <w:tcW w:w="5840" w:type="dxa"/>
            <w:vAlign w:val="bottom"/>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(610) 640-4202</w:t>
            </w:r>
          </w:p>
        </w:tc>
        <w:tc>
          <w:tcPr>
            <w:tcW w:w="2220" w:type="dxa"/>
            <w:vAlign w:val="bottom"/>
          </w:tcPr>
          <w:p>
            <w:pPr>
              <w:spacing w:after="0"/>
              <w:rPr>
                <w:sz w:val="24"/>
                <w:szCs w:val="24"/>
                <w:color w:val="auto"/>
              </w:rPr>
            </w:pPr>
          </w:p>
        </w:tc>
      </w:tr>
      <w:tr>
        <w:trPr>
          <w:trHeight w:val="188"/>
        </w:trPr>
        <w:tc>
          <w:tcPr>
            <w:tcW w:w="5840" w:type="dxa"/>
            <w:vAlign w:val="bottom"/>
          </w:tcPr>
          <w:p>
            <w:pPr>
              <w:jc w:val="center"/>
              <w:ind w:left="24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20" w:type="dxa"/>
            <w:vAlign w:val="bottom"/>
          </w:tcPr>
          <w:p>
            <w:pPr>
              <w:spacing w:after="0"/>
              <w:rPr>
                <w:sz w:val="16"/>
                <w:szCs w:val="16"/>
                <w:color w:val="auto"/>
              </w:rPr>
            </w:pPr>
          </w:p>
        </w:tc>
      </w:tr>
    </w:tbl>
    <w:p>
      <w:pPr>
        <w:spacing w:after="0" w:line="6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315"/>
        </w:trPr>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58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Symbol (s)</w:t>
            </w:r>
          </w:p>
        </w:tc>
        <w:tc>
          <w:tcPr>
            <w:tcW w:w="240" w:type="dxa"/>
            <w:vAlign w:val="bottom"/>
          </w:tcPr>
          <w:p>
            <w:pPr>
              <w:spacing w:after="0"/>
              <w:rPr>
                <w:sz w:val="20"/>
                <w:szCs w:val="20"/>
                <w:color w:val="auto"/>
              </w:rPr>
            </w:pPr>
          </w:p>
        </w:tc>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Name on each exchange on which registered</w:t>
            </w:r>
          </w:p>
        </w:tc>
      </w:tr>
      <w:tr>
        <w:trPr>
          <w:trHeight w:val="228"/>
        </w:trPr>
        <w:tc>
          <w:tcPr>
            <w:tcW w:w="6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STIM</w:t>
            </w:r>
          </w:p>
        </w:tc>
        <w:tc>
          <w:tcPr>
            <w:tcW w:w="240" w:type="dxa"/>
            <w:vAlign w:val="bottom"/>
          </w:tcPr>
          <w:p>
            <w:pPr>
              <w:spacing w:after="0"/>
              <w:rPr>
                <w:sz w:val="19"/>
                <w:szCs w:val="19"/>
                <w:color w:val="auto"/>
              </w:rPr>
            </w:pPr>
          </w:p>
        </w:tc>
        <w:tc>
          <w:tcPr>
            <w:tcW w:w="4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48260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9"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jc w:val="both"/>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88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18,975,322 shares of the registrant’s common stock outstanding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94" w:right="3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quarterly period ended September 30, 2020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9040" w:type="dxa"/>
            <w:vAlign w:val="bottom"/>
            <w:vMerge w:val="restart"/>
          </w:tcPr>
          <w:p>
            <w:pPr>
              <w:ind w:left="228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1320" w:type="dxa"/>
            <w:vAlign w:val="bottom"/>
          </w:tcPr>
          <w:p>
            <w:pPr>
              <w:spacing w:after="0"/>
              <w:rPr>
                <w:sz w:val="16"/>
                <w:szCs w:val="16"/>
                <w:color w:val="auto"/>
              </w:rPr>
            </w:pPr>
          </w:p>
        </w:tc>
        <w:tc>
          <w:tcPr>
            <w:tcW w:w="90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Financial Statements.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4"/>
                <w:szCs w:val="24"/>
                <w:color w:val="auto"/>
              </w:rPr>
            </w:pPr>
          </w:p>
        </w:tc>
        <w:tc>
          <w:tcPr>
            <w:tcW w:w="9040" w:type="dxa"/>
            <w:vAlign w:val="bottom"/>
          </w:tcPr>
          <w:p>
            <w:pPr>
              <w:ind w:left="4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Balance Sheets as of September 30, 2020 and December 31, 2019</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4"/>
                <w:szCs w:val="24"/>
                <w:color w:val="auto"/>
              </w:rPr>
            </w:pPr>
          </w:p>
        </w:tc>
        <w:tc>
          <w:tcPr>
            <w:tcW w:w="9040" w:type="dxa"/>
            <w:vAlign w:val="bottom"/>
          </w:tcPr>
          <w:p>
            <w:pPr>
              <w:ind w:left="4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Statements of Operations for the Three and Nine Months ended September 30, 2020 and 2019</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4"/>
                <w:szCs w:val="24"/>
                <w:color w:val="auto"/>
              </w:rPr>
            </w:pPr>
          </w:p>
        </w:tc>
        <w:tc>
          <w:tcPr>
            <w:tcW w:w="9040" w:type="dxa"/>
            <w:vAlign w:val="bottom"/>
          </w:tcPr>
          <w:p>
            <w:pPr>
              <w:ind w:left="4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Statement of Changes in Stockholders’ Equity for the Three and Nine Months ended September 30, 2020 and 2019</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37"/>
        </w:trPr>
        <w:tc>
          <w:tcPr>
            <w:tcW w:w="1320" w:type="dxa"/>
            <w:vAlign w:val="bottom"/>
          </w:tcPr>
          <w:p>
            <w:pPr>
              <w:spacing w:after="0"/>
              <w:rPr>
                <w:sz w:val="24"/>
                <w:szCs w:val="24"/>
                <w:color w:val="auto"/>
              </w:rPr>
            </w:pPr>
          </w:p>
        </w:tc>
        <w:tc>
          <w:tcPr>
            <w:tcW w:w="9040" w:type="dxa"/>
            <w:vAlign w:val="bottom"/>
          </w:tcPr>
          <w:p>
            <w:pPr>
              <w:ind w:left="4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Statements of Cash Flows for the Nine Months ended September 30, 2020 and 2019</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4"/>
                <w:szCs w:val="24"/>
                <w:color w:val="auto"/>
              </w:rPr>
            </w:pPr>
          </w:p>
        </w:tc>
        <w:tc>
          <w:tcPr>
            <w:tcW w:w="9040" w:type="dxa"/>
            <w:vAlign w:val="bottom"/>
          </w:tcPr>
          <w:p>
            <w:pPr>
              <w:ind w:left="42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Notes to Interim Financial Statements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20">
              <w:r>
                <w:rPr>
                  <w:rFonts w:ascii="Times New Roman" w:cs="Times New Roman" w:eastAsia="Times New Roman" w:hAnsi="Times New Roman"/>
                  <w:sz w:val="18"/>
                  <w:szCs w:val="18"/>
                  <w:b w:val="1"/>
                  <w:bCs w:val="1"/>
                  <w:u w:val="single" w:color="auto"/>
                  <w:color w:val="0000EE"/>
                </w:rPr>
                <w:t>Management’s Discussion and Analysis of Financial Condition and Results of Operations.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32">
              <w:r>
                <w:rPr>
                  <w:rFonts w:ascii="Times New Roman" w:cs="Times New Roman" w:eastAsia="Times New Roman" w:hAnsi="Times New Roman"/>
                  <w:sz w:val="18"/>
                  <w:szCs w:val="18"/>
                  <w:b w:val="1"/>
                  <w:bCs w:val="1"/>
                  <w:u w:val="single" w:color="auto"/>
                  <w:color w:val="0000EE"/>
                </w:rPr>
                <w:t>Quantitative and Qualitative Disclosures About Market Risk.</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040" w:type="dxa"/>
            <w:vAlign w:val="bottom"/>
          </w:tcPr>
          <w:p>
            <w:pPr>
              <w:ind w:left="220"/>
              <w:spacing w:after="0"/>
              <w:rPr>
                <w:rFonts w:ascii="Times New Roman" w:cs="Times New Roman" w:eastAsia="Times New Roman" w:hAnsi="Times New Roman"/>
                <w:sz w:val="18"/>
                <w:szCs w:val="18"/>
                <w:b w:val="1"/>
                <w:bCs w:val="1"/>
                <w:color w:val="0000EE"/>
              </w:rPr>
            </w:pPr>
            <w:hyperlink w:anchor="page32">
              <w:r>
                <w:rPr>
                  <w:rFonts w:ascii="Times New Roman" w:cs="Times New Roman" w:eastAsia="Times New Roman" w:hAnsi="Times New Roman"/>
                  <w:sz w:val="18"/>
                  <w:szCs w:val="18"/>
                  <w:b w:val="1"/>
                  <w:bCs w:val="1"/>
                  <w:u w:val="single" w:color="auto"/>
                  <w:color w:val="0000EE"/>
                </w:rPr>
                <w:t>Controls and Procedures</w:t>
              </w:r>
              <w:r>
                <w:rPr>
                  <w:rFonts w:ascii="Times New Roman" w:cs="Times New Roman" w:eastAsia="Times New Roman" w:hAnsi="Times New Roman"/>
                  <w:sz w:val="18"/>
                  <w:szCs w:val="18"/>
                  <w:b w:val="1"/>
                  <w:bCs w:val="1"/>
                  <w:color w:val="0000EE"/>
                </w:rPr>
                <w:t>.</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38"/>
        </w:trPr>
        <w:tc>
          <w:tcPr>
            <w:tcW w:w="1320" w:type="dxa"/>
            <w:vAlign w:val="bottom"/>
          </w:tcPr>
          <w:p>
            <w:pPr>
              <w:spacing w:after="0"/>
              <w:rPr>
                <w:sz w:val="24"/>
                <w:szCs w:val="24"/>
                <w:color w:val="auto"/>
              </w:rPr>
            </w:pPr>
          </w:p>
        </w:tc>
        <w:tc>
          <w:tcPr>
            <w:tcW w:w="904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Legal Proceedings.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Risk Factors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040" w:type="dxa"/>
            <w:vAlign w:val="bottom"/>
          </w:tcPr>
          <w:p>
            <w:pPr>
              <w:ind w:left="220"/>
              <w:spacing w:after="0"/>
              <w:rPr>
                <w:rFonts w:ascii="Times New Roman" w:cs="Times New Roman" w:eastAsia="Times New Roman" w:hAnsi="Times New Roman"/>
                <w:sz w:val="18"/>
                <w:szCs w:val="18"/>
                <w:b w:val="1"/>
                <w:bCs w:val="1"/>
                <w:color w:val="0000EE"/>
              </w:rPr>
            </w:pPr>
            <w:hyperlink w:anchor="page34">
              <w:r>
                <w:rPr>
                  <w:rFonts w:ascii="Times New Roman" w:cs="Times New Roman" w:eastAsia="Times New Roman" w:hAnsi="Times New Roman"/>
                  <w:sz w:val="18"/>
                  <w:szCs w:val="18"/>
                  <w:b w:val="1"/>
                  <w:bCs w:val="1"/>
                  <w:u w:val="single" w:color="auto"/>
                  <w:color w:val="0000EE"/>
                </w:rPr>
                <w:t>Unregistered Sales of Equity Securities and Use of Proceeds</w:t>
              </w:r>
              <w:r>
                <w:rPr>
                  <w:rFonts w:ascii="Times New Roman" w:cs="Times New Roman" w:eastAsia="Times New Roman" w:hAnsi="Times New Roman"/>
                  <w:sz w:val="18"/>
                  <w:szCs w:val="18"/>
                  <w:b w:val="1"/>
                  <w:bCs w:val="1"/>
                  <w:color w:val="0000EE"/>
                </w:rPr>
                <w:t>.</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Defaults Upon Senior Securities.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Mine Safety Disclosures.</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040" w:type="dxa"/>
            <w:vAlign w:val="bottom"/>
          </w:tcPr>
          <w:p>
            <w:pPr>
              <w:ind w:left="220"/>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Other Information.</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38"/>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040" w:type="dxa"/>
            <w:vAlign w:val="bottom"/>
          </w:tcPr>
          <w:p>
            <w:pPr>
              <w:ind w:left="220"/>
              <w:spacing w:after="0"/>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u w:val="single" w:color="auto"/>
                  <w:color w:val="0000EE"/>
                </w:rPr>
                <w:t>Exhibits</w:t>
              </w:r>
              <w:r>
                <w:rPr>
                  <w:rFonts w:ascii="Times New Roman" w:cs="Times New Roman" w:eastAsia="Times New Roman" w:hAnsi="Times New Roman"/>
                  <w:sz w:val="18"/>
                  <w:szCs w:val="18"/>
                  <w:b w:val="1"/>
                  <w:bCs w:val="1"/>
                  <w:color w:val="0000EE"/>
                </w:rPr>
                <w:t>.</w:t>
              </w:r>
            </w:hyperlink>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38"/>
        </w:trPr>
        <w:tc>
          <w:tcPr>
            <w:tcW w:w="1320" w:type="dxa"/>
            <w:vAlign w:val="bottom"/>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SIGNATURES</w:t>
              </w:r>
            </w:hyperlink>
          </w:p>
        </w:tc>
        <w:tc>
          <w:tcPr>
            <w:tcW w:w="90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864"/>
        </w:trPr>
        <w:tc>
          <w:tcPr>
            <w:tcW w:w="1320" w:type="dxa"/>
            <w:vAlign w:val="bottom"/>
          </w:tcPr>
          <w:p>
            <w:pPr>
              <w:spacing w:after="0"/>
              <w:rPr>
                <w:sz w:val="24"/>
                <w:szCs w:val="24"/>
                <w:color w:val="auto"/>
              </w:rPr>
            </w:pPr>
          </w:p>
        </w:tc>
        <w:tc>
          <w:tcPr>
            <w:tcW w:w="9040" w:type="dxa"/>
            <w:vAlign w:val="bottom"/>
          </w:tcPr>
          <w:p>
            <w:pPr>
              <w:ind w:left="426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90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NEURONETICS, INC.</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84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data)</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80" w:type="dxa"/>
            <w:vAlign w:val="bottom"/>
            <w:tcBorders>
              <w:bottom w:val="single" w:sz="8" w:color="CFF0FC"/>
            </w:tcBorders>
          </w:tcPr>
          <w:p>
            <w:pPr>
              <w:spacing w:after="0"/>
              <w:rPr>
                <w:sz w:val="15"/>
                <w:szCs w:val="15"/>
                <w:color w:val="auto"/>
              </w:rPr>
            </w:pPr>
          </w:p>
        </w:tc>
        <w:tc>
          <w:tcPr>
            <w:tcW w:w="420" w:type="dxa"/>
            <w:vAlign w:val="bottom"/>
            <w:tcBorders>
              <w:bottom w:val="single" w:sz="8" w:color="CFF0FC"/>
            </w:tcBorders>
          </w:tcPr>
          <w:p>
            <w:pPr>
              <w:spacing w:after="0"/>
              <w:rPr>
                <w:sz w:val="15"/>
                <w:szCs w:val="15"/>
                <w:color w:val="auto"/>
              </w:rPr>
            </w:pPr>
          </w:p>
        </w:tc>
        <w:tc>
          <w:tcPr>
            <w:tcW w:w="1880" w:type="dxa"/>
            <w:vAlign w:val="bottom"/>
            <w:tcBorders>
              <w:bottom w:val="single" w:sz="8" w:color="CFF0FC"/>
            </w:tcBorders>
          </w:tcPr>
          <w:p>
            <w:pPr>
              <w:spacing w:after="0"/>
              <w:rPr>
                <w:sz w:val="15"/>
                <w:szCs w:val="15"/>
                <w:color w:val="auto"/>
              </w:rPr>
            </w:pPr>
          </w:p>
        </w:tc>
        <w:tc>
          <w:tcPr>
            <w:tcW w:w="48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0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FF0FC"/>
          </w:tcPr>
          <w:p>
            <w:pPr>
              <w:spacing w:after="0"/>
              <w:rPr>
                <w:sz w:val="15"/>
                <w:szCs w:val="15"/>
                <w:color w:val="auto"/>
              </w:rPr>
            </w:pPr>
          </w:p>
        </w:tc>
        <w:tc>
          <w:tcPr>
            <w:tcW w:w="4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4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50,719</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Current portion of net investments in sales-type leases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prepaid commission expense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gridSpan w:val="4"/>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investments in sales-type leases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commission expense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80" w:type="dxa"/>
            <w:vAlign w:val="bottom"/>
            <w:tcBorders>
              <w:bottom w:val="single" w:sz="8" w:color="CFF0FC"/>
            </w:tcBorders>
          </w:tcPr>
          <w:p>
            <w:pPr>
              <w:spacing w:after="0"/>
              <w:rPr>
                <w:sz w:val="19"/>
                <w:szCs w:val="19"/>
                <w:color w:val="auto"/>
              </w:rPr>
            </w:pPr>
          </w:p>
        </w:tc>
        <w:tc>
          <w:tcPr>
            <w:tcW w:w="48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71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80" w:type="dxa"/>
            <w:vAlign w:val="bottom"/>
          </w:tcPr>
          <w:p>
            <w:pPr>
              <w:spacing w:after="0"/>
              <w:rPr>
                <w:sz w:val="19"/>
                <w:szCs w:val="19"/>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4"/>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10,000 shares authorized; no shares issued 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outstanding at September 30, 2020 and December 31, 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$0.01 par value: 200,000 shares authorized; 18,959 and 18,645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September 30, 2020 and December 31, 2019,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gridSpan w:val="4"/>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4"/>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(273,883)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(250,087)</w:t>
            </w: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tcPr>
          <w:p>
            <w:pPr>
              <w:spacing w:after="0"/>
              <w:rPr>
                <w:sz w:val="19"/>
                <w:szCs w:val="19"/>
                <w:color w:val="auto"/>
              </w:rPr>
            </w:pPr>
          </w:p>
        </w:tc>
        <w:tc>
          <w:tcPr>
            <w:tcW w:w="7140" w:type="dxa"/>
            <w:vAlign w:val="bottom"/>
            <w:tcBorders>
              <w:bottom w:val="single" w:sz="8" w:color="CFF0FC"/>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714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78,339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474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10,362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24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(23,796)</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outstanding, basic and diluted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18,508</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4740"/>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Statement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242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vMerge w:val="continue"/>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1200" w:type="dxa"/>
            <w:vAlign w:val="bottom"/>
            <w:tcBorders>
              <w:top w:val="single" w:sz="8" w:color="auto"/>
            </w:tcBorders>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3"/>
                <w:szCs w:val="13"/>
                <w:color w:val="auto"/>
              </w:rPr>
            </w:pPr>
          </w:p>
        </w:tc>
        <w:tc>
          <w:tcPr>
            <w:tcW w:w="1020" w:type="dxa"/>
            <w:vAlign w:val="bottom"/>
            <w:gridSpan w:val="2"/>
          </w:tcPr>
          <w:p>
            <w:pPr>
              <w:jc w:val="right"/>
              <w:ind w:right="43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291,908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(221,043)</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awards and options 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(7,529)</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(228,572</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Share-based awards and options exercises</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(7,094)</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(7,094)</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(235,666</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Share-based awards and options exercises</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(6,867)</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(6,867)</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(242,533</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54,330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297,753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(250,087)</w:t>
            </w:r>
          </w:p>
        </w:tc>
        <w:tc>
          <w:tcPr>
            <w:tcW w:w="2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awards and options 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(12,613)</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(12,613)</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(262,700</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Share-based awards and options exercises</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(7,765)</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(7,765)</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299,717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(270,465</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Share-based awards and options exercises</w:t>
            </w: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(3,418)</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(273,883</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8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40" w:type="dxa"/>
            <w:vAlign w:val="bottom"/>
          </w:tcPr>
          <w:p>
            <w:pPr>
              <w:ind w:left="6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060" w:type="dxa"/>
            <w:vAlign w:val="bottom"/>
            <w:gridSpan w:val="2"/>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(23,796)</w:t>
            </w:r>
          </w:p>
        </w:tc>
        <w:tc>
          <w:tcPr>
            <w:tcW w:w="10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(21,490)</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Cost of rental units purchased by customers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certain assets and liabilities: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investments in sales-type leases</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Leasehold reimbursement</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commission expense</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(1,263)</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(26,687)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(24,079)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 and capitalized software</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(38,860)</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(24,989)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(22,213)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75,708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104,583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82,370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2060" w:type="dxa"/>
            <w:vAlign w:val="bottom"/>
            <w:gridSpan w:val="2"/>
            <w:shd w:val="clear" w:color="auto" w:fill="CFF0FC"/>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 of inventory to property and equipment</w:t>
            </w:r>
          </w:p>
        </w:tc>
        <w:tc>
          <w:tcPr>
            <w:tcW w:w="2060" w:type="dxa"/>
            <w:vAlign w:val="bottom"/>
            <w:gridSpan w:val="2"/>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 and capitalized</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software in accounts payable and accrued expenses</w:t>
            </w:r>
          </w:p>
        </w:tc>
        <w:tc>
          <w:tcPr>
            <w:tcW w:w="2060" w:type="dxa"/>
            <w:vAlign w:val="bottom"/>
            <w:gridSpan w:val="2"/>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20"/>
                <w:szCs w:val="20"/>
                <w:color w:val="auto"/>
              </w:rPr>
            </w:pPr>
          </w:p>
        </w:tc>
        <w:tc>
          <w:tcPr>
            <w:tcW w:w="10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Neuronetics, Inc., or the Company, is a commercial stage medical technology company focused on designing, developing and marketing products that improve the quality of life for patients who suffer from psychiatric disorders. The Company’s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was cleared in 2008 by the United States Food and Drug Administration, or the FDA, to treat adult patients with major depressive disorder, or MDD, who have failed to achieve satisfactory improvement from prior antidepressant medication in the current episode. NeuroStar Advanced Therapy is also available in other parts of the world, including Japan, where it is listed under Japan’s national health insurance. The Company intends to continue to pursue development of its NeuroStar Advanced Therapy System for additional indications.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is monitoring the impact of the COVID-19 pandemic on all aspects of its business and geographies, including how it will impact the Company’s customers, supply chain, employees and other business partners. While the Company began to experience significant disruptions in March 2020 through the end of September 2020, from the COVID-19 pandemic, it is unable to predict the full impact that the COVID-19 pandemic may have on its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w:t>
      </w:r>
    </w:p>
    <w:p>
      <w:pPr>
        <w:spacing w:after="0" w:line="13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applied for and received a $6.4 million loan in April 2020 under the Paycheck Protection Program (the “PPP”) established by the Coronavirus Aid, Relief, and Economic Security Act (“CARES Act”) on March 27, 2020. Due to questions concerning the eligibility of public companies similarly situated to the Company, on May 7, 2020, the Company repaid the loan in full, including interest accrued to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9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September 30, 2020, the Company had cash and cash equivalents of $50.7 million and an accumulated deficit of $273.9 million. The Company incurred negative cash flows from operating activities of $30.5 million for the year ended December 31, 2019 and $26.7 million for the nine months ended September 30, 2020. The Company has incurred operating losses since its inception, and management anticipates that its operating losses will continue in the near term as the Company continues to invest in sales, marketing and product development activities. The Company’s primary sources of capital to date have been proceeds from its IPO, private placements of its convertible preferred securities, borrowings under its credit facilities and revenues from sales of its products. As of September 30, 2020, the Company had $35.0 million of borrowings outstanding under its credit facility, which has a final maturity in February 2025. As discussed in Note 12, the outstanding balance under the credit facility is classified as a current liability as of September 30, 2020. Management believes that the Company’s cash and cash equivalents and anticipated revenues from sales of its products are sufficient to fund the Company’s operations (including the potential repayment of the credit facility if a waiver or amendment is not obtained) for at least 12 months from the issuance of these financial statements.</w:t>
      </w:r>
    </w:p>
    <w:p>
      <w:pPr>
        <w:spacing w:after="0" w:line="136"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8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United States generally accepted accounting principles, or GAAP. Any reference in these notes to applicable guidance is meant to refer to GAAP as found in the Accounting Standards Codification, or ASC, and Accounting Standards Updates, or ASUs, promulgated by the Financial Accounting Standards Board, or FASB.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Financial Statements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from the books and records of the Company in accordance with GAAP for interim financial information and Rule 10-01 of Regulation S-X promulgated by the United States Securities and Exchange Commission, or SEC, which permit reduced disclosures for interim periods. All adjustments, consisting only of normal recurring adjustments, necessary for a fair presentation of the accompanying balance sheets and statements of operations and stockholders’ deficit and cash flows have been made. Although these interim financial statements do not include all of the information and footnotes required for complete annual financial statements, management believes the disclosures are adequate to make the information presented not misleading. Unaudited interim results of operations and cash flows for the three and nine months ended September 30, 2020 are not necessarily indicative of the results that may be expected for the full year. Unaudited interim financial statements and footnotes should be read in conjunction with the audited financial statements and footnotes included in the Company’s Form 10-K filed with the SEC on March 3, 2020, wherein a more complete discussion of significant accounting policies and certain other information can be found.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and the rules and regulations of the SEC requires the use of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The Company bases its estimates and assumptions on historical experience, known trends and events and various other factors that management believes to be reasonable under the circumstances, the results of which form the basis for making judgments about the carrying value of assets and liabilities that are not readily apparent from other sources. Although management believes its estimates and assumptions are reasonable when made, they are based upon information available at the time they are made. Management evaluates the estimates and assumptions on an ongoing basis and, if necessary, makes adjustments. Due to the risks and uncertainties involved in the Company’s business and evolving market conditions and given the subjective element of the estimates and assumptions made, actual results may differ from estimated results.</w:t>
      </w:r>
    </w:p>
    <w:p>
      <w:pPr>
        <w:spacing w:after="0" w:line="130"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complete summary of significant accounting policies can be found in “Note 3. Summary of Significant Accounting Policies” in the audited financial statements included in the Company’s Form 10-K filed with the SEC on March 3, 2020.</w:t>
      </w:r>
    </w:p>
    <w:p>
      <w:pPr>
        <w:spacing w:after="0" w:line="104" w:lineRule="exact"/>
        <w:rPr>
          <w:sz w:val="20"/>
          <w:szCs w:val="20"/>
          <w:color w:val="auto"/>
        </w:rPr>
      </w:pPr>
    </w:p>
    <w:p>
      <w:pPr>
        <w:jc w:val="center"/>
        <w:ind w:right="6580" w:firstLine="8"/>
        <w:spacing w:after="0" w:line="345" w:lineRule="auto"/>
        <w:tabs>
          <w:tab w:leader="none" w:pos="378"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b w:val="1"/>
          <w:bCs w:val="1"/>
          <w:i w:val="1"/>
          <w:iCs w:val="1"/>
          <w:color w:val="auto"/>
        </w:rPr>
        <w:t>New Accounting Standards Recently Adopted by the Company</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w:t>
      </w:r>
      <w:r>
        <w:rPr>
          <w:rFonts w:ascii="Times New Roman" w:cs="Times New Roman" w:eastAsia="Times New Roman" w:hAnsi="Times New Roman"/>
          <w:sz w:val="18"/>
          <w:szCs w:val="18"/>
          <w:i w:val="1"/>
          <w:iCs w:val="1"/>
          <w:color w:val="auto"/>
        </w:rPr>
        <w:t>ASU 2018-15, Intangibles - Goodwill and Other - Internal-Use Software (Subtopic 350-40):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(“ASU 2018-15”), which aligns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capitalizing implementation costs incurred in a hosting arrangement that is a service contract with the requirements for capitalizing implementation costs incurred to develop or obtain internal-use software (and hosting arrangements that include an internal use software license).</w:t>
      </w:r>
    </w:p>
    <w:p>
      <w:pPr>
        <w:spacing w:after="0" w:line="12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ASU 2018-15 is effective for fiscal years beginning after December 15, 2019 and interim periods within those fiscal years. The amendments in ASU 2018-15 should be applied either retrospectively or prospectively to all implementation costs incurred after the date of adoption. The Company adopted this standard on a prospective basis, effective January 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Not Yet Adopted by the Company</w:t>
      </w:r>
    </w:p>
    <w:p>
      <w:pPr>
        <w:spacing w:after="0" w:line="79"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 Financial Instruments - Credit Losses (Topic 326): Measurement of Credit Losses on Financial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326”</w:t>
      </w:r>
      <w:r>
        <w:rPr>
          <w:rFonts w:ascii="Times New Roman" w:cs="Times New Roman" w:eastAsia="Times New Roman" w:hAnsi="Times New Roman"/>
          <w:sz w:val="18"/>
          <w:szCs w:val="18"/>
          <w:color w:val="auto"/>
        </w:rPr>
        <w:t xml:space="preserve">). This ASU provides guidance for recognizing credit losses on financial instruments based on an estimate of current expected credit losses model. The FASB subsequently issued </w:t>
      </w:r>
      <w:r>
        <w:rPr>
          <w:rFonts w:ascii="Times New Roman" w:cs="Times New Roman" w:eastAsia="Times New Roman" w:hAnsi="Times New Roman"/>
          <w:sz w:val="18"/>
          <w:szCs w:val="18"/>
          <w:i w:val="1"/>
          <w:iCs w:val="1"/>
          <w:color w:val="auto"/>
        </w:rPr>
        <w:t>ASU 2019-04,</w:t>
      </w:r>
      <w:r>
        <w:rPr>
          <w:rFonts w:ascii="Times New Roman" w:cs="Times New Roman" w:eastAsia="Times New Roman" w:hAnsi="Times New Roman"/>
          <w:sz w:val="18"/>
          <w:szCs w:val="18"/>
          <w:color w:val="auto"/>
        </w:rPr>
        <w:t xml:space="preserve"> to clarify and address certain items related to the amendments in Topic 326.</w:t>
      </w:r>
    </w:p>
    <w:p>
      <w:pPr>
        <w:spacing w:after="0" w:line="119"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ASU 2019-05, Financial Instruments - Credit Losses (Topic 326)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Targeted Transition Relief</w:t>
      </w:r>
      <w:r>
        <w:rPr>
          <w:rFonts w:ascii="Times New Roman" w:cs="Times New Roman" w:eastAsia="Times New Roman" w:hAnsi="Times New Roman"/>
          <w:sz w:val="18"/>
          <w:szCs w:val="18"/>
          <w:color w:val="auto"/>
        </w:rPr>
        <w:t>, was issued to provide entities that have certain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within the scope of ASC 326 with an option to irrevocably elect the fair value option under </w:t>
      </w:r>
      <w:r>
        <w:rPr>
          <w:rFonts w:ascii="Times New Roman" w:cs="Times New Roman" w:eastAsia="Times New Roman" w:hAnsi="Times New Roman"/>
          <w:sz w:val="18"/>
          <w:szCs w:val="18"/>
          <w:i w:val="1"/>
          <w:iCs w:val="1"/>
          <w:color w:val="auto"/>
        </w:rPr>
        <w:t>ASC 825-10, Financial Instruments - Overall</w:t>
      </w:r>
      <w:r>
        <w:rPr>
          <w:rFonts w:ascii="Times New Roman" w:cs="Times New Roman" w:eastAsia="Times New Roman" w:hAnsi="Times New Roman"/>
          <w:sz w:val="18"/>
          <w:szCs w:val="18"/>
          <w:color w:val="auto"/>
        </w:rPr>
        <w:t>, applied on an instrument-by-instrument basis for eligible instruments.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These ASUs are effective for fiscal years beginning after December 15, 2022 for entities that are eligible to be defined by the SEC as a smaller reporting company. The Company is a smaller reporting company.</w:t>
      </w:r>
    </w:p>
    <w:p>
      <w:pPr>
        <w:spacing w:after="0" w:line="144"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AND FINANCIAL INSTRUMENTS</w:t>
      </w:r>
    </w:p>
    <w:p>
      <w:pPr>
        <w:spacing w:after="0" w:line="8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The carrying values of cash equivalents, accounts receivable, prepaids and other current assets, and accounts payable on the Company’s balance sheets approximated their fair values as of September 30, 2020 and December 31, 2019 due to their short-term nature. The carrying values of the Company’s credit facility approximated its fair value as of September 30, 2020 and December 31, 2019 due to its variable interest rate.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of the Company’s financial instruments are measured at fair value using a three-level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Inputs are quoted prices for identical instruments in active markets.</w:t>
      </w:r>
    </w:p>
    <w:p>
      <w:pPr>
        <w:spacing w:after="0" w:line="117" w:lineRule="exact"/>
        <w:rPr>
          <w:sz w:val="20"/>
          <w:szCs w:val="20"/>
          <w:color w:val="auto"/>
        </w:rPr>
      </w:pPr>
    </w:p>
    <w:p>
      <w:pPr>
        <w:ind w:left="920" w:right="38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Inputs are quoted prices for similar instruments in active markets; quoted prices for identical or similar instruments in markets that are not active; or model-derived valuations whose inputs are observable or whose significant value drivers are observable.</w:t>
      </w:r>
    </w:p>
    <w:p>
      <w:pPr>
        <w:spacing w:after="0" w:line="54" w:lineRule="exact"/>
        <w:rPr>
          <w:sz w:val="20"/>
          <w:szCs w:val="20"/>
          <w:color w:val="auto"/>
        </w:rPr>
      </w:pPr>
    </w:p>
    <w:p>
      <w:pPr>
        <w:ind w:left="920" w:right="22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Inputs are unobservable and reflect the Company’s own assumptions, based on the best information available, including the Company’s own data.</w:t>
      </w:r>
    </w:p>
    <w:p>
      <w:pPr>
        <w:spacing w:after="0" w:line="1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carrying amounts and fair values of the Company’s financial instruments as of September 30, 2020 and December 31, 2019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7"/>
          </w:tcPr>
          <w:p>
            <w:pPr>
              <w:jc w:val="center"/>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94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4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tcBorders>
              <w:top w:val="single" w:sz="8" w:color="auto"/>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16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240" w:type="dxa"/>
            <w:vAlign w:val="bottom"/>
            <w:tcBorders>
              <w:bottom w:val="single" w:sz="8" w:color="auto"/>
            </w:tcBorders>
            <w:gridSpan w:val="7"/>
          </w:tcPr>
          <w:p>
            <w:pPr>
              <w:jc w:val="center"/>
              <w:ind w:right="4"/>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 Based on</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94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40" w:type="dxa"/>
            <w:vAlign w:val="bottom"/>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94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FF0FC"/>
            </w:tcBorders>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shd w:val="clear" w:color="auto" w:fill="CFF0FC"/>
          </w:tcPr>
          <w:p>
            <w:pPr>
              <w:spacing w:after="0" w:line="20" w:lineRule="exact"/>
              <w:rPr>
                <w:sz w:val="1"/>
                <w:szCs w:val="1"/>
                <w:color w:val="auto"/>
              </w:rPr>
            </w:pPr>
          </w:p>
        </w:tc>
        <w:tc>
          <w:tcPr>
            <w:tcW w:w="35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 (cash equivalents)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67,650</w:t>
            </w:r>
          </w:p>
        </w:tc>
        <w:tc>
          <w:tcPr>
            <w:tcW w:w="16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accounts receivable, net as of September 30, 2020 and December 31, 2019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640" w:type="dxa"/>
            <w:vAlign w:val="bottom"/>
            <w:tcBorders>
              <w:bottom w:val="single" w:sz="8" w:color="CFF0FC"/>
            </w:tcBorders>
          </w:tcPr>
          <w:p>
            <w:pPr>
              <w:spacing w:after="0"/>
              <w:rPr>
                <w:sz w:val="15"/>
                <w:szCs w:val="15"/>
                <w:color w:val="auto"/>
              </w:rPr>
            </w:pPr>
          </w:p>
        </w:tc>
        <w:tc>
          <w:tcPr>
            <w:tcW w:w="25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accounts receivable - trade</w:t>
            </w:r>
          </w:p>
        </w:tc>
        <w:tc>
          <w:tcPr>
            <w:tcW w:w="2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Allowances for doubtful accounts</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5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20" w:type="dxa"/>
            <w:vAlign w:val="bottom"/>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AND CAPITALIZED SOFTWARE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property and equipment, net as of September 30, 2020 and December 31, 2019 (in thousands):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60" w:type="dxa"/>
            <w:vAlign w:val="bottom"/>
            <w:tcBorders>
              <w:bottom w:val="single" w:sz="8" w:color="CFF0FC"/>
            </w:tcBorders>
          </w:tcPr>
          <w:p>
            <w:pPr>
              <w:spacing w:after="0"/>
              <w:rPr>
                <w:sz w:val="15"/>
                <w:szCs w:val="15"/>
                <w:color w:val="auto"/>
              </w:rPr>
            </w:pPr>
          </w:p>
        </w:tc>
        <w:tc>
          <w:tcPr>
            <w:tcW w:w="18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Rental equipment</w:t>
            </w:r>
          </w:p>
        </w:tc>
        <w:tc>
          <w:tcPr>
            <w:tcW w:w="18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FF0FC"/>
            </w:tcBorders>
          </w:tcPr>
          <w:p>
            <w:pPr>
              <w:spacing w:after="0"/>
              <w:rPr>
                <w:sz w:val="19"/>
                <w:szCs w:val="19"/>
                <w:color w:val="auto"/>
              </w:rPr>
            </w:pPr>
          </w:p>
        </w:tc>
      </w:tr>
      <w:tr>
        <w:trPr>
          <w:trHeight w:val="223"/>
        </w:trPr>
        <w:tc>
          <w:tcPr>
            <w:tcW w:w="4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(2,207)</w:t>
            </w:r>
          </w:p>
        </w:tc>
      </w:tr>
      <w:tr>
        <w:trPr>
          <w:trHeight w:val="223"/>
        </w:trPr>
        <w:tc>
          <w:tcPr>
            <w:tcW w:w="43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 Company had capitalized software costs, net of $1.3 million and $1.2 million, respectively, which are included in “Other assets” on the balance sheet.</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$0.2 million and $0.3 million for the three months ended September 30, 2020 and 2019, respectively and $0.7 million and $0.8 million for the nine months ended September 30, 2020 and 2019, respectively .</w:t>
      </w:r>
    </w:p>
    <w:p>
      <w:pPr>
        <w:spacing w:after="0" w:line="104" w:lineRule="exact"/>
        <w:rPr>
          <w:sz w:val="20"/>
          <w:szCs w:val="20"/>
          <w:color w:val="auto"/>
        </w:rPr>
      </w:pPr>
    </w:p>
    <w:p>
      <w:pPr>
        <w:ind w:right="10160" w:firstLine="8"/>
        <w:spacing w:after="0" w:line="338" w:lineRule="auto"/>
        <w:tabs>
          <w:tab w:leader="none" w:pos="37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i w:val="1"/>
          <w:iCs w:val="1"/>
          <w:color w:val="auto"/>
        </w:rPr>
        <w:t>Lessee:</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its corporate headquarters and office equipment, including copiers. The Company leases approximately 42,000 square foot facility in Malvern, Pennsylvania for its corporate headquarters, which includes office and warehouse space. The Company does not currently have any finance leases or executed leases that have not yet commenced.</w:t>
      </w:r>
    </w:p>
    <w:p>
      <w:pPr>
        <w:spacing w:after="0" w:line="122"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Operating lease rent expense was $0.2 million and $0.5 million for the three and nine months ended September 30, 2020 and 2019, respectively. As of September 30, 2020 the weighted-average remaining lease term of operating leases was 7.3 years and the weighted-average discount rate was 6.5%.</w:t>
      </w:r>
    </w:p>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first quarter of 2020, the Company received a reimbursement of $0.8 million for leasehold expenses previously incurred in connection with the lease agreement for its Malvern facility. The reimbursement was recorded as an offset to the non-current lease liability that was established when the lease agreement was executed.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supplemental cash flow information as a lessee related to leases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5"/>
        </w:trPr>
        <w:tc>
          <w:tcPr>
            <w:tcW w:w="114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05"/>
        </w:trPr>
        <w:tc>
          <w:tcPr>
            <w:tcW w:w="1140" w:type="dxa"/>
            <w:vAlign w:val="bottom"/>
          </w:tcPr>
          <w:p>
            <w:pPr>
              <w:spacing w:after="0"/>
              <w:rPr>
                <w:sz w:val="17"/>
                <w:szCs w:val="17"/>
                <w:color w:val="auto"/>
              </w:rPr>
            </w:pPr>
          </w:p>
        </w:tc>
        <w:tc>
          <w:tcPr>
            <w:tcW w:w="53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8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8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1140" w:type="dxa"/>
            <w:vAlign w:val="bottom"/>
          </w:tcPr>
          <w:p>
            <w:pPr>
              <w:spacing w:after="0"/>
              <w:rPr>
                <w:sz w:val="20"/>
                <w:szCs w:val="20"/>
                <w:color w:val="auto"/>
              </w:rPr>
            </w:pP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12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30"/>
        </w:trPr>
        <w:tc>
          <w:tcPr>
            <w:tcW w:w="650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year the required future payments of operating lease liabilities (in thousands):</w:t>
      </w:r>
    </w:p>
    <w:p>
      <w:pPr>
        <w:spacing w:after="0" w:line="28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5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9"/>
                <w:szCs w:val="19"/>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15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80" w:type="dxa"/>
            <w:vAlign w:val="bottom"/>
            <w:shd w:val="clear" w:color="auto" w:fill="CFF0FC"/>
          </w:tcPr>
          <w:p>
            <w:pPr>
              <w:spacing w:after="0"/>
              <w:rPr>
                <w:sz w:val="19"/>
                <w:szCs w:val="19"/>
                <w:color w:val="auto"/>
              </w:rPr>
            </w:pPr>
          </w:p>
        </w:tc>
      </w:tr>
      <w:tr>
        <w:trPr>
          <w:trHeight w:val="229"/>
        </w:trPr>
        <w:tc>
          <w:tcPr>
            <w:tcW w:w="4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imputed interest</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w:t>
            </w:r>
          </w:p>
        </w:tc>
      </w:tr>
      <w:tr>
        <w:trPr>
          <w:trHeight w:val="223"/>
        </w:trPr>
        <w:tc>
          <w:tcPr>
            <w:tcW w:w="490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5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sales-type leases:</w:t>
      </w:r>
    </w:p>
    <w:p>
      <w:pPr>
        <w:spacing w:after="0" w:line="9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Certain customers have purchased NeuroStar Advanced Therapy Systems on a rent-to-own basis. The lease term is three years with a customer option to purchase the NeuroStar Advanced Therapy System at the end of the lease or automatic transfer of ownership of the NeuroStar Advanced Therapy System at the end of the lease.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profit recognized on sales-type leases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700" w:type="dxa"/>
            <w:vAlign w:val="bottom"/>
            <w:tcBorders>
              <w:bottom w:val="single" w:sz="8" w:color="auto"/>
            </w:tcBorders>
            <w:gridSpan w:val="5"/>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900" w:type="dxa"/>
            <w:vAlign w:val="bottom"/>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11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Profit recognized at commencement, net</w:t>
            </w:r>
          </w:p>
        </w:tc>
        <w:tc>
          <w:tcPr>
            <w:tcW w:w="900" w:type="dxa"/>
            <w:vAlign w:val="bottom"/>
            <w:tcBorders>
              <w:top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3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sales-type lease income</w:t>
            </w:r>
          </w:p>
        </w:tc>
        <w:tc>
          <w:tcPr>
            <w:tcW w:w="900" w:type="dxa"/>
            <w:vAlign w:val="bottom"/>
            <w:tcBorders>
              <w:bottom w:val="single" w:sz="8" w:color="auto"/>
            </w:tcBorders>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9"/>
        </w:trPr>
        <w:tc>
          <w:tcPr>
            <w:tcW w:w="95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sets forth a maturity analysis of the undiscounted lease receivables related to sales-type leases (in thousands):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17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170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9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1,420</w:t>
            </w:r>
          </w:p>
        </w:tc>
        <w:tc>
          <w:tcPr>
            <w:tcW w:w="80" w:type="dxa"/>
            <w:vAlign w:val="bottom"/>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FF0FC"/>
            </w:tcBorders>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sales-type lease receivables</w:t>
            </w:r>
          </w:p>
        </w:tc>
        <w:tc>
          <w:tcPr>
            <w:tcW w:w="9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3,881</w:t>
            </w: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 carrying amount of the lease receivables is $3.9 million. The Company does not have any unguaranteed residual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operating leases:</w:t>
      </w:r>
    </w:p>
    <w:p>
      <w:pPr>
        <w:spacing w:after="0" w:line="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NeuroStar Advanced Therapy Systems sold on a rent-to-own basis prior to January 1, 2019 are accounted for as operating leases. For the three months ended September 30, 2020 and 2019, the Company recognized operating lease income of $0.1 million and $0.2 million, respectively. For the nine months ended September 30, 2020 and 2019, the Company recognized operating lease income of $0.2 million and $0.6 million,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maturity analysis of its undiscounted lease receivables related to operating leases: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800" w:type="dxa"/>
            <w:vAlign w:val="bottom"/>
            <w:tcBorders>
              <w:bottom w:val="single" w:sz="8" w:color="CFF0FC"/>
            </w:tcBorders>
          </w:tcPr>
          <w:p>
            <w:pPr>
              <w:spacing w:after="0"/>
              <w:rPr>
                <w:sz w:val="15"/>
                <w:szCs w:val="15"/>
                <w:color w:val="auto"/>
              </w:rPr>
            </w:pPr>
          </w:p>
        </w:tc>
        <w:tc>
          <w:tcPr>
            <w:tcW w:w="364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36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36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receivables</w:t>
            </w:r>
          </w:p>
        </w:tc>
        <w:tc>
          <w:tcPr>
            <w:tcW w:w="36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40" w:type="dxa"/>
            <w:vAlign w:val="bottom"/>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maintained Rental Equipment, net of $0.3 million and $0.5 million, as of September 30, 2020 and December 31, 2019, respectively, which are included in “Property and equipment, net” on the balance sheet. Rental equipment depreciation expense was $0.02 million and $0.1 million for the three months ended September 30, 2020 and 2019, respectively and $0.1 million and $0.2 million for the nine months ended September 30, 2020 and 2019 .</w:t>
      </w:r>
    </w:p>
    <w:p>
      <w:pPr>
        <w:spacing w:after="0" w:line="118"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COMMISSION EXPENSE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pays a commission on both System sales and Treatment Session sales. Since the commission paid for System sales is not commensurate with the commission paid for Treatment Sessions, the Company capitalizes commission expense associated with System sales commissions paid that is incremental to specifically anticipated future Treatment Session orders. In developing this estimate, the Company considered its historical Treatment Session sales and customer retention rates, as well as technology development life cycles and other industry factors. These costs are periodically reviewed for impairment.</w:t>
      </w:r>
    </w:p>
    <w:p>
      <w:pPr>
        <w:spacing w:after="0" w:line="17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NeuroStar Advanced Therapy System commissions are deferred and amortized on a straight-line basis over a seven year period equal to the average customer term, which the Company deems to be the expected period of benefit for these costs.</w:t>
      </w:r>
    </w:p>
    <w:p>
      <w:pPr>
        <w:spacing w:after="0" w:line="14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On the Company's balance sheets, the current portion of capitalized contract costs is represented by the current portion of prepaid commission expense, while the long-term portion is included in prepaid commission expense. Amortization expense was $0.2 million and $0.1 million for the three months ended September 30, 2020 and 2019, respectively, and $0.6 million and $0.2 million for the nine months ended September 30, 2020 and 2019, respectively.</w:t>
      </w:r>
    </w:p>
    <w:p>
      <w:pPr>
        <w:spacing w:after="0" w:line="14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ACCRUED EXPENSES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accrued expenses as of September 30, 2020 and December 31, 2019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Warranty</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Sales and other taxes payable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DEFERRED REVENUE</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Payment terms typically require payment upon shipment or installation of the System and additional payments as access codes for Treatment Sessions are delivered, which can span several years after the System is first delivered and installed. The timing of revenue recognition compared to billings and cash collections typically results in accounts receivable. However, sometimes customer advances and deposits might be required for certain customers and are recorded as deferred revenue. For multi-year agreements, the Company generally invoices customers annually at the beginning of each annual coverage period and recognizes revenue over the term of the coverage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 Company expects to recognize approximately the following percentages of deferred revenue by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00" w:type="dxa"/>
            <w:vAlign w:val="bottom"/>
            <w:gridSpan w:val="2"/>
            <w:vMerge w:val="continue"/>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Recognition</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318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5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52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2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360" w:type="dxa"/>
            <w:vAlign w:val="bottom"/>
            <w:gridSpan w:val="2"/>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vMerge w:val="restart"/>
            <w:shd w:val="clear" w:color="auto" w:fill="CFF0FC"/>
          </w:tcPr>
          <w:p>
            <w:pPr>
              <w:spacing w:after="0" w:line="20" w:lineRule="exact"/>
              <w:rPr>
                <w:sz w:val="1"/>
                <w:szCs w:val="1"/>
                <w:color w:val="auto"/>
              </w:rPr>
            </w:pPr>
          </w:p>
        </w:tc>
        <w:tc>
          <w:tcPr>
            <w:tcW w:w="180" w:type="dxa"/>
            <w:vAlign w:val="bottom"/>
            <w:vMerge w:val="restart"/>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2600" w:type="dxa"/>
            <w:vAlign w:val="bottom"/>
            <w:vMerge w:val="continue"/>
            <w:shd w:val="clear" w:color="auto" w:fill="CFF0FC"/>
          </w:tcPr>
          <w:p>
            <w:pPr>
              <w:spacing w:after="0"/>
              <w:rPr>
                <w:sz w:val="19"/>
                <w:szCs w:val="19"/>
                <w:color w:val="auto"/>
              </w:rPr>
            </w:pPr>
          </w:p>
        </w:tc>
        <w:tc>
          <w:tcPr>
            <w:tcW w:w="3180" w:type="dxa"/>
            <w:vAlign w:val="bottom"/>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bottom w:val="single" w:sz="8" w:color="CFF0FC"/>
            </w:tcBorders>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Revenue recognized for the three and nine months ended September 30, 2020 that was included in the contract liability balance at the beginning of the year was $0.4 million and $1.7 million respectively, and primarily represented revenue earned from separately priced extended warranties, rent-to-own revenue, milestone revenue, and clinical training.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one customer accounted for more than 10% of the Company’s revenues. No customers accounted for more than 10% of the Company’s revenues for the three months ended September 30, 2019 and one customer accounted for more than 10% for the nine months ended September 30, 2019.</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tab/>
        <w:t>DEBT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composition of debt as of September 30, 2020 and December 31, 2019 (in thousands):</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principal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final payment fees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discounts</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 net</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(34,542)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(11,250)</w:t>
            </w: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the Company recognized interest expense of $1.0 million, of which $0.8 million was cash and $0.2 million was non-cash interest expense related to the amortization of deferred debt issuance costs and accrual of final payment fees. For the three months ended September 30, 2019, the Company recognized interest expense of $0.9 million, of which $0.7 million was cash paid for interest during the period and $0.2 million was non-cash interest expense related to the amortization of deferred debt issuance costs and accrual of final payment fees.</w:t>
      </w:r>
    </w:p>
    <w:p>
      <w:pPr>
        <w:spacing w:after="0" w:line="1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2020, the Company recognized interest expense of $3.5 million, of which $3.1 million was cash and $0.4 million was non-cash interest expense related to the amortization of deferred debt issuance costs and accrual of final payment fees. For the nine months ended September 30, 2019, the Company recognized interest expense of $2.8 million, of which $2.2 million was cash paid for interest during the period and $0.6 million was non-cash interest expense related to the amortization of deferred debt issuance costs and accrual of final payment fees.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Solar Credit Facility</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2020, the “Company entered into a loan and security agreement with Solar Capital Ltd., or Solar, as collateral agent, and other lenders defined in the agreement, for a credit facility, or the Solar Facility, that replaced the Company’s previous $35.0 million credit facility with Oxford Finance LLC, or Oxford, and such facility, the Oxford Facility.</w:t>
      </w:r>
    </w:p>
    <w:p>
      <w:pPr>
        <w:spacing w:after="0" w:line="1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w:t>
      </w:r>
    </w:p>
    <w:p>
      <w:pPr>
        <w:spacing w:after="0" w:line="3" w:lineRule="exact"/>
        <w:rPr>
          <w:sz w:val="20"/>
          <w:szCs w:val="20"/>
          <w:color w:val="auto"/>
        </w:rPr>
      </w:pPr>
    </w:p>
    <w:p>
      <w:pPr>
        <w:ind w:right="320" w:firstLine="8"/>
        <w:spacing w:after="0" w:line="253"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required to pay Solar an exit fee upon the occurrence, prior to March 2, 2030, of (a) any liquidation, dissolution or winding up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(b) transaction that results in a person obtaining control over the Company, (c) the Company achieving $100 million in trailing twelve month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or (d) the Company achieving $125 million in trailing twelve month net product revenue. The exit fee for liquidation, dissolution, winding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or change of control of the Company is equal to 4.50% of the principal amount of the term loans actually funded. The exit fee for achieving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or $125 million in trailing twelve-month net product revenue is equal to 2.25% of the principal amount of the term loans actually funded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net product revenue milestones are achieved, 4.50% of the principal amount of the term loans actually funded. The exit fee is capped at 4.50%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term loans actually funded.</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Solar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 Company is in compliance with all covenants in the Solar Facility.</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Solar Facility includes a financial covenant requiring the attainment of a minimum trailing net revenue amount beginning on December 31, 2020. Based upon the Company’s projected revenues for the rest of 2020, the Company believes that it is probable that this minimum revenue covenant will not be achieved. The Company is in discussions with the lenders for a potential covenant waiver or amendment, however, no formal agreement has been executed. The Solar Facility also includes subjective acceleration clauses which permit the lenders to accelerate the maturity date under certain circumstances, including, but not limited to, material adverse effects on a Company’s financial status or otherwise. In accordance with FASB ASC 470 because the Solar Facility contains subjective acceleration clauses and the assessment that it is probable that the revenue covenant will not be met as of December 31, 2020, the outstanding principal under the Solar Facility is classified as a current liability in the accompanying balance sheet as of September 30,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Oxford Credit Facility</w:t>
      </w:r>
    </w:p>
    <w:p>
      <w:pPr>
        <w:spacing w:after="0" w:line="9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evaluated whether the Solar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62" w:lineRule="exact"/>
        <w:rPr>
          <w:sz w:val="20"/>
          <w:szCs w:val="20"/>
          <w:color w:val="auto"/>
        </w:rPr>
      </w:pPr>
    </w:p>
    <w:p>
      <w:pPr>
        <w:ind w:right="9300" w:firstLine="8"/>
        <w:spacing w:after="0" w:line="346" w:lineRule="auto"/>
        <w:tabs>
          <w:tab w:leader="none" w:pos="378"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Common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number of shares of the Company’s common stock issued and reserved for issuance as of September 30, 2020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(in thousands):</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issued</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18,959</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reserved for issuance for:</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warrants outstanding</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options outstanding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stock units and awards outstanding</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FF0FC"/>
          </w:tcPr>
          <w:p>
            <w:pPr>
              <w:spacing w:after="0"/>
              <w:rPr>
                <w:sz w:val="19"/>
                <w:szCs w:val="19"/>
                <w:color w:val="auto"/>
              </w:rPr>
            </w:pPr>
          </w:p>
        </w:tc>
      </w:tr>
      <w:tr>
        <w:trPr>
          <w:trHeight w:val="229"/>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available for grant under stock incentive plan</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9"/>
                <w:szCs w:val="19"/>
                <w:color w:val="auto"/>
              </w:rPr>
            </w:pPr>
          </w:p>
        </w:tc>
      </w:tr>
      <w:tr>
        <w:trPr>
          <w:trHeight w:val="229"/>
        </w:trPr>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Shares available for sale under employee stock purchase plan</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6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FF0FC"/>
          </w:tcPr>
          <w:p>
            <w:pPr>
              <w:spacing w:after="0"/>
              <w:rPr>
                <w:sz w:val="19"/>
                <w:szCs w:val="19"/>
                <w:color w:val="auto"/>
              </w:rPr>
            </w:pPr>
          </w:p>
        </w:tc>
      </w:tr>
      <w:tr>
        <w:trPr>
          <w:trHeight w:val="205"/>
        </w:trPr>
        <w:tc>
          <w:tcPr>
            <w:tcW w:w="6940" w:type="dxa"/>
            <w:vAlign w:val="bottom"/>
          </w:tcPr>
          <w:p>
            <w:pPr>
              <w:ind w:left="480"/>
              <w:spacing w:after="0" w:line="205" w:lineRule="exact"/>
              <w:rPr>
                <w:sz w:val="20"/>
                <w:szCs w:val="20"/>
                <w:color w:val="auto"/>
              </w:rPr>
            </w:pPr>
            <w:r>
              <w:rPr>
                <w:rFonts w:ascii="Times New Roman" w:cs="Times New Roman" w:eastAsia="Times New Roman" w:hAnsi="Times New Roman"/>
                <w:sz w:val="18"/>
                <w:szCs w:val="18"/>
                <w:color w:val="auto"/>
              </w:rPr>
              <w:t>Total shares of common stock issued and</w:t>
            </w: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6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reserved for issuance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26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12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common stock warrants as of September 30, 2020 and December 31, 2019:</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40" w:type="dxa"/>
            <w:vAlign w:val="bottom"/>
            <w:gridSpan w:val="2"/>
            <w:vMerge w:val="restart"/>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242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4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38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Dec-2022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Feb-2021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shd w:val="clear" w:color="auto" w:fill="CFF0FC"/>
          </w:tcPr>
          <w:p>
            <w:pPr>
              <w:spacing w:after="0"/>
              <w:rPr>
                <w:sz w:val="19"/>
                <w:szCs w:val="19"/>
                <w:color w:val="auto"/>
              </w:rPr>
            </w:pP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Aug-2023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Mar-2024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2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380" w:type="dxa"/>
            <w:vAlign w:val="bottom"/>
            <w:shd w:val="clear" w:color="auto" w:fill="CFF0FC"/>
          </w:tcPr>
          <w:p>
            <w:pPr>
              <w:spacing w:after="0"/>
              <w:rPr>
                <w:sz w:val="19"/>
                <w:szCs w:val="19"/>
                <w:color w:val="auto"/>
              </w:rPr>
            </w:pP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Dec-2024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vMerge w:val="restart"/>
          </w:tcPr>
          <w:p>
            <w:pPr>
              <w:jc w:val="right"/>
              <w:ind w:right="955"/>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tab/>
        <w:t>LOSS PER SHARE</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basic loss per common share is computed by dividing the net loss by the weighted-average number of shares of common stock outstanding during the period. The Company’s restricted stock awards (non-vested shares) are issued and outstanding at the time of grant but are excluded from the Company’s computation of weighted-average shares outstanding in the determination of basic loss per share until vesting occurs.</w:t>
      </w:r>
    </w:p>
    <w:p>
      <w:pPr>
        <w:spacing w:after="0" w:line="12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 net loss cannot be diluted, so when the Company is in a net loss position, basic and diluted loss per common share are the same. If in the future the Company achieves profitability, the denominator of a diluted earnings per common share calculation will include both the weighted-average number of shares outstanding and the number of common stock equivalents, if the inclusion of such common stock equivalents would be dilutive. Dilutive common stock equivalents potentially include warrants, stock options and non-vested restricted stock awards and units using the treasury stock method, along with the effect, if any, from the potential conversion of outstanding securities, such as convertible preferred stock.</w:t>
      </w:r>
    </w:p>
    <w:p>
      <w:pPr>
        <w:spacing w:after="0" w:line="1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as of September 30, 2020 and 2019 have been excluded from the denominator of the diluted loss per share of common stock outstanding calculation (in thousands):</w:t>
      </w:r>
    </w:p>
    <w:p>
      <w:pPr>
        <w:spacing w:after="0" w:line="223"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55"/>
        </w:trPr>
        <w:tc>
          <w:tcPr>
            <w:tcW w:w="690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2,434</w:t>
            </w:r>
          </w:p>
        </w:tc>
      </w:tr>
      <w:tr>
        <w:trPr>
          <w:trHeight w:val="229"/>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performance 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9"/>
                <w:szCs w:val="19"/>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240</w:t>
            </w:r>
          </w:p>
        </w:tc>
      </w:t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0"/>
                <w:szCs w:val="20"/>
                <w:color w:val="auto"/>
              </w:rPr>
            </w:pPr>
          </w:p>
        </w:tc>
        <w:tc>
          <w:tcPr>
            <w:tcW w:w="15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7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amount of share-based compensation expense recognized by the Company by location in its statements of operations for the three and nine months ended September 30, 2020 and 2019 is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720" w:type="dxa"/>
            <w:vAlign w:val="bottom"/>
            <w:gridSpan w:val="5"/>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3680" w:type="dxa"/>
            <w:vAlign w:val="bottom"/>
            <w:tcBorders>
              <w:bottom w:val="single" w:sz="8" w:color="CFF0FC"/>
            </w:tcBorders>
          </w:tcPr>
          <w:p>
            <w:pPr>
              <w:spacing w:after="0"/>
              <w:rPr>
                <w:sz w:val="13"/>
                <w:szCs w:val="13"/>
                <w:color w:val="auto"/>
              </w:rPr>
            </w:pPr>
          </w:p>
        </w:tc>
        <w:tc>
          <w:tcPr>
            <w:tcW w:w="17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r>
      <w:tr>
        <w:trPr>
          <w:trHeight w:val="22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FF0FC"/>
          </w:tcPr>
          <w:p>
            <w:pPr>
              <w:spacing w:after="0"/>
              <w:rPr>
                <w:sz w:val="19"/>
                <w:szCs w:val="19"/>
                <w:color w:val="auto"/>
              </w:rPr>
            </w:pPr>
          </w:p>
        </w:tc>
      </w:tr>
      <w:tr>
        <w:trPr>
          <w:trHeight w:val="230"/>
        </w:trPr>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FF0FC"/>
            </w:tcBorders>
          </w:tcPr>
          <w:p>
            <w:pPr>
              <w:spacing w:after="0"/>
              <w:rPr>
                <w:sz w:val="19"/>
                <w:szCs w:val="19"/>
                <w:color w:val="auto"/>
              </w:rPr>
            </w:pPr>
          </w:p>
        </w:tc>
      </w:tr>
      <w:tr>
        <w:trPr>
          <w:trHeight w:val="223"/>
        </w:trPr>
        <w:tc>
          <w:tcPr>
            <w:tcW w:w="36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Equity Incentive Plan</w:t>
      </w:r>
    </w:p>
    <w:p>
      <w:pPr>
        <w:spacing w:after="0" w:line="9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June 2018, the Company adopted the 2018 Equity Incentive Plan, or 2018 Plan, which authorized the issuance of up to 1.4 million shares, subject to an annual 4% increase based on the number of shares of common stock outstanding, in the form of restricted stock, stock appreciation rights and stock options to the Company’s directors, employees and consultants. The amount and terms of grants are determined by the Company’s board of directors. All stock options granted to date have had exercise prices equal to the fair value, as determined by the closing price as reported by the Nasdaq Global Market, of the underlying common stock on the date of grant. The contractual term of stock options is up to 10 years, and stock options are exercisable in cash or as otherwise determined by the board of directors. Generally, stock options vest 25% upon the first anniversary of the date of grant and the remainder ratably monthly thereafter for 36 months. Restricted stock awards and restricted stock units generally vest ratably in three equal installments on the first, second and third anniversaries of the grant date. As of September 30, 2020, there were 1.4 million shares available for future issuance under the 2018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nine months ended September 30, 2020:</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14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2020</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Pr>
          <w:p>
            <w:pPr>
              <w:spacing w:after="0" w:line="20" w:lineRule="exact"/>
              <w:rPr>
                <w:sz w:val="1"/>
                <w:szCs w:val="1"/>
                <w:color w:val="auto"/>
              </w:rPr>
            </w:pPr>
          </w:p>
        </w:tc>
        <w:tc>
          <w:tcPr>
            <w:tcW w:w="1120" w:type="dxa"/>
            <w:vAlign w:val="bottom"/>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2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at September 30,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5,535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recognized share-based compensation expense related to stock options of $0.3 million and $0.6 million for the three months ended September 30, 2020 and 2019, respectively and $1.2 million and $1.6 million for the nine months ended September 30, 2020 and 2019. As of September 30, 2020, there was $3.3 million of total unrecognized compensation cost related to non-vested stock options which the Company expects to recognize over a weighted-average period of 2.8 years. The weighted-average grant-date fair value of stock options granted during the nine months ended September 30, 2020 was estimated at $1.02 per option. The total intrinsic value of stock options exercised during the nine months ended September 30, 2020 was $0.4 million.</w:t>
      </w:r>
    </w:p>
    <w:p>
      <w:pPr>
        <w:spacing w:after="0" w:line="1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the grant-date fair value of stock options was estimated at the time of grant using the following weighted-average inputs and assumptions in the Black-Scholes option pricing model:</w:t>
      </w:r>
    </w:p>
    <w:p>
      <w:pPr>
        <w:sectPr>
          <w:pgSz w:w="11900" w:h="16838" w:orient="portrait"/>
          <w:cols w:equalWidth="0" w:num="1">
            <w:col w:w="11200"/>
          </w:cols>
          <w:pgMar w:left="320" w:top="117" w:right="379" w:bottom="1440" w:gutter="0" w:footer="0" w:header="0"/>
        </w:sectPr>
      </w:pPr>
    </w:p>
    <w:p>
      <w:pPr>
        <w:spacing w:after="0" w:line="16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Estimated fair value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-120650</wp:posOffset>
            </wp:positionV>
            <wp:extent cx="427736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Expected term (in years)</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Dividend yield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820" w:hanging="811"/>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w:t>
      </w:r>
    </w:p>
    <w:p>
      <w:pPr>
        <w:spacing w:after="0" w:line="27" w:lineRule="exact"/>
        <w:rPr>
          <w:sz w:val="20"/>
          <w:szCs w:val="20"/>
          <w:color w:val="auto"/>
        </w:rPr>
      </w:pPr>
    </w:p>
    <w:p>
      <w:pPr>
        <w:ind w:left="820" w:hanging="811"/>
        <w:spacing w:after="0"/>
        <w:tabs>
          <w:tab w:leader="none" w:pos="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w:t>
      </w:r>
    </w:p>
    <w:p>
      <w:pPr>
        <w:spacing w:after="0" w:line="22"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pacing w:after="0" w:line="31"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0.38%</w:t>
      </w:r>
    </w:p>
    <w:p>
      <w:pPr>
        <w:spacing w:after="0" w:line="36"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55.3%</w:t>
      </w:r>
    </w:p>
    <w:p>
      <w:pPr>
        <w:spacing w:after="0" w:line="36" w:lineRule="exact"/>
        <w:rPr>
          <w:sz w:val="20"/>
          <w:szCs w:val="20"/>
          <w:color w:val="auto"/>
        </w:rPr>
      </w:pPr>
    </w:p>
    <w:p>
      <w:pPr>
        <w:jc w:val="right"/>
        <w:ind w:right="2240"/>
        <w:spacing w:after="0"/>
        <w:rPr>
          <w:sz w:val="20"/>
          <w:szCs w:val="20"/>
          <w:color w:val="auto"/>
        </w:rPr>
      </w:pPr>
      <w:r>
        <w:rPr>
          <w:rFonts w:ascii="Times New Roman" w:cs="Times New Roman" w:eastAsia="Times New Roman" w:hAnsi="Times New Roman"/>
          <w:sz w:val="18"/>
          <w:szCs w:val="18"/>
          <w:color w:val="auto"/>
        </w:rPr>
        <w:t>0%</w:t>
      </w:r>
    </w:p>
    <w:p>
      <w:pPr>
        <w:spacing w:after="0" w:line="200" w:lineRule="exact"/>
        <w:rPr>
          <w:sz w:val="20"/>
          <w:szCs w:val="20"/>
          <w:color w:val="auto"/>
        </w:rPr>
      </w:pPr>
    </w:p>
    <w:p>
      <w:pPr>
        <w:sectPr>
          <w:pgSz w:w="11900" w:h="16838" w:orient="portrait"/>
          <w:cols w:equalWidth="0" w:num="2">
            <w:col w:w="6940" w:space="720"/>
            <w:col w:w="3540"/>
          </w:cols>
          <w:pgMar w:left="320" w:top="117" w:right="37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 and Restricted Stock Units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and restricted stock unit activity for the nine months ended September 30, 2020:</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260" w:type="dxa"/>
            <w:vAlign w:val="bottom"/>
          </w:tcPr>
          <w:p>
            <w:pPr>
              <w:spacing w:after="0"/>
              <w:rPr>
                <w:sz w:val="13"/>
                <w:szCs w:val="13"/>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6600" w:type="dxa"/>
            <w:vAlign w:val="bottom"/>
          </w:tcPr>
          <w:p>
            <w:pPr>
              <w:spacing w:after="0"/>
              <w:rPr>
                <w:sz w:val="12"/>
                <w:szCs w:val="12"/>
                <w:color w:val="auto"/>
              </w:rPr>
            </w:pPr>
          </w:p>
        </w:tc>
        <w:tc>
          <w:tcPr>
            <w:tcW w:w="1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6600" w:type="dxa"/>
            <w:vAlign w:val="bottom"/>
          </w:tcPr>
          <w:p>
            <w:pPr>
              <w:spacing w:after="0"/>
              <w:rPr>
                <w:sz w:val="12"/>
                <w:szCs w:val="12"/>
                <w:color w:val="auto"/>
              </w:rPr>
            </w:pPr>
          </w:p>
        </w:tc>
        <w:tc>
          <w:tcPr>
            <w:tcW w:w="1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6600" w:type="dxa"/>
            <w:vAlign w:val="bottom"/>
          </w:tcPr>
          <w:p>
            <w:pPr>
              <w:spacing w:after="0"/>
              <w:rPr>
                <w:sz w:val="15"/>
                <w:szCs w:val="15"/>
                <w:color w:val="auto"/>
              </w:rPr>
            </w:pPr>
          </w:p>
        </w:tc>
        <w:tc>
          <w:tcPr>
            <w:tcW w:w="1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8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September 30, 2020</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recognized $0.6 million and $0.3 million in share-based compensation expense related to restricted stock awards and restricted stock units for the three months ended September 30, 2020 and 2019, respectively and $1.7 million and $0.9 million for the nine months ended September 30, 2020 and 2019. As of September 30, 2020, there was $6.1 million of unrecognized compensation cost related to non-vested restricted stock awards and restricted stock units, which the Company expects to recognize over a weighted-average period of 2.6 years. The total fair value at the vesting date of restricted stock awards and restricted stock units vested during the nine months ended September 30, 2020 was $0.2 million.</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7" w:name="page18"/>
    <w:bookmarkEnd w:id="1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July 2020, the Company awarded 500,000 of performance restricted stock units (“PRSUs”) to the Company’s chief executive officer in connection with the commencement of his employment. The grant was comprised of four equal tranches each of which vest in equal installments of 125,000 shares based on appreciation of the Company’s common stock price to $10, $15, $20 and $25 per share, respectively, measured using a trailing 30-day volume weighted average price of a share of the Company’s common stock. The fair value of the PRSUs was determined based upon a risk neutral Monte Carlo simulation valuation model. The Company’s assumptions for expected volatility, closing price and risk-free rate were 87.4%, $1.98 and 0.63%, respectively. The aggregate estimated fair value of the PRSUs was $0.9 million, which is expected to be recognized over a weighted-average period of 3.9 years. The Company recognized less than $0.1 million in share-based expense related to the PRSU award for the three and nine months ended September 30, 2020. As of September 30, 2020, there was $0.8 million of unrecognized compensation costs which the Company plans to recognize over the initial estimated vesting period of 3.7 years.</w:t>
      </w:r>
    </w:p>
    <w:p>
      <w:pPr>
        <w:spacing w:after="0" w:line="171" w:lineRule="exact"/>
        <w:rPr>
          <w:sz w:val="20"/>
          <w:szCs w:val="20"/>
          <w:color w:val="auto"/>
        </w:rPr>
      </w:pPr>
    </w:p>
    <w:p>
      <w:pPr>
        <w:ind w:right="6860" w:firstLine="8"/>
        <w:spacing w:after="0" w:line="331" w:lineRule="auto"/>
        <w:tabs>
          <w:tab w:leader="none" w:pos="87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GEOGRAPHICAL SEGMENT INFORMATION</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currently operates in one business segment as it is managed and operated as one business. A single management team that reports to the chief operating decision maker comprehensively manages the entire business. The Company does not operate any material separate lines of business or separate business entities with respect to its products or product development.</w:t>
      </w:r>
    </w:p>
    <w:p>
      <w:pPr>
        <w:spacing w:after="0" w:line="1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geographic data includes revenue generated from the Company’s third-party distributors. The Company’s revenue was generated in the following geographic regions and by product line for the periods indicated (in thousands):</w:t>
      </w:r>
    </w:p>
    <w:p>
      <w:pPr>
        <w:spacing w:after="0" w:line="2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vMerge w:val="restart"/>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tcBorders>
              <w:bottom w:val="single" w:sz="8" w:color="CFF0FC"/>
            </w:tcBorders>
          </w:tcPr>
          <w:p>
            <w:pPr>
              <w:spacing w:after="0"/>
              <w:rPr>
                <w:sz w:val="15"/>
                <w:szCs w:val="15"/>
                <w:color w:val="auto"/>
              </w:rPr>
            </w:pPr>
          </w:p>
        </w:tc>
        <w:tc>
          <w:tcPr>
            <w:tcW w:w="1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240" w:type="dxa"/>
            <w:vAlign w:val="bottom"/>
            <w:tcBorders>
              <w:righ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240" w:type="dxa"/>
            <w:vAlign w:val="bottom"/>
            <w:tcBorders>
              <w:righ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6"/>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240" w:type="dxa"/>
            <w:vAlign w:val="bottom"/>
            <w:tcBorders>
              <w:righ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2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Borders>
              <w:righ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U.S. revenues</w:t>
            </w:r>
          </w:p>
        </w:tc>
        <w:tc>
          <w:tcPr>
            <w:tcW w:w="1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2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8"/>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International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6"/>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Borders>
              <w:righ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right w:val="single" w:sz="8" w:color="CFF0FC"/>
            </w:tcBorders>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17" w:right="399" w:bottom="1440" w:gutter="0" w:footer="0" w:header="0"/>
        </w:sectPr>
      </w:pPr>
    </w:p>
    <w:p>
      <w:pPr>
        <w:spacing w:after="0" w:line="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18" w:name="page19"/>
    <w:bookmarkEnd w:id="1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NEURONETICS, INC.</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Interim Financial Statements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vMerge w:val="restart"/>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tcBorders>
              <w:bottom w:val="single" w:sz="8" w:color="CFF0FC"/>
            </w:tcBorders>
          </w:tcPr>
          <w:p>
            <w:pPr>
              <w:spacing w:after="0"/>
              <w:rPr>
                <w:sz w:val="15"/>
                <w:szCs w:val="15"/>
                <w:color w:val="auto"/>
              </w:rPr>
            </w:pPr>
          </w:p>
        </w:tc>
        <w:tc>
          <w:tcPr>
            <w:tcW w:w="1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FF0FC"/>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FF0FC"/>
            </w:tcBorders>
            <w:vMerge w:val="continue"/>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2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U.S.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23,823</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U.S. revenues</w:t>
            </w:r>
          </w:p>
        </w:tc>
        <w:tc>
          <w:tcPr>
            <w:tcW w:w="1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8"/>
          </w:tcPr>
          <w:p>
            <w:pPr>
              <w:jc w:val="center"/>
              <w:ind w:left="637"/>
              <w:spacing w:after="0"/>
              <w:rPr>
                <w:sz w:val="20"/>
                <w:szCs w:val="20"/>
                <w:color w:val="auto"/>
              </w:rPr>
            </w:pPr>
            <w:r>
              <w:rPr>
                <w:rFonts w:ascii="Times New Roman" w:cs="Times New Roman" w:eastAsia="Times New Roman" w:hAnsi="Times New Roman"/>
                <w:sz w:val="14"/>
                <w:szCs w:val="14"/>
                <w:b w:val="1"/>
                <w:bCs w:val="1"/>
                <w:color w:val="auto"/>
              </w:rPr>
              <w:t>International Revenues by Product Category</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6"/>
        </w:trPr>
        <w:tc>
          <w:tcPr>
            <w:tcW w:w="3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gridSpan w:val="6"/>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Borders>
              <w:right w:val="single" w:sz="8" w:color="CFF0FC"/>
            </w:tcBorders>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International revenues</w:t>
            </w:r>
          </w:p>
        </w:tc>
        <w:tc>
          <w:tcPr>
            <w:tcW w:w="1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SEVERANCE</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8, 2020, the Company took action to reduce expenses through a reduction in force (“RIF”). As part of this action the Company terminated 95 employees who received separation benefits upon their termination. During the second quarter of 2020, the Company recorded a separation-related charge for the RIF equal to the fair value of the terminated employees benefits as of the communication date in the amount of $2.1 million. This amount was paid out during the quarter with the final payoff occurring on June 15, 2020.</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entered into transition agreements outlining the separation with its former chief executive officer in March 2020 and the vice president of medical operations in September 2020. In connection with these agreements the company recorded $0.2 million and $1.3 million of charges in salary, payroll tax and bonus expenses in the three and nine months ended September 30, 2020, respectively. For the nine months ended September 30, 2020, $0.5 million of termination benefits were paid associated with the termination of the employees and charged against this liability. There were no other changes to the liability. As of September 30, 2020, $0.8 million remain in accrued liabilities for the unpaid portion of the separation benefits.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9" w:name="page20"/>
    <w:bookmarkEnd w:id="19"/>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as well as other sections in this Quarterly Report on Form 10-Q, should be read in conjunction with our unaudited interim financial statements and related notes thereto included elsewhere herein. In addition to historical financial information, some of the information contained in the following discussion and analysis contains forward-looking statements within the meaning of Section 27A of the Securities Act of 1933, as amended, and Section 21E of the Securities Exchange Act of 1934, as amended. All statements other than statements of historical facts, including statements regarding our future results of operations and financial position, business strategy, current and prospective products, product approvals, research and development costs, current and prospective collaborations, timing and likelihood of success, plans and objectives of management for future operations and future results of current and anticipated products, are forward-looking statements.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These risks and uncertainties include, without limitation, risks and uncertainties related to: the impact of the novel coronavirus, or COVID-19, pandemic on general political and economic conditions, including as a result of efforts by governmental authorities to mitigate the COVID-19 pandemic, such as travel bans, shelter in place orders and third-party business closures and the related impact on resource allocations, manufacturing and supply chains and patient access to commercial products; our ability to execute our business continuity as well as our operational and budget plans in light of the COVID-19 pandemic; our ability to achieve or sustain profitable operations due to our history of losses; our reliance on the sale and usage of our NeuroStar Advanced Therapy System to generate revenues; the scale and efficacy of our salesforce; availability of coverage and reimbursement from third-party payors for treatments using our products; physician and patient demand for treatments using our products; developments in respect of competing technologies and therapies for the indications that our products treat; product defects; our ability to obtain and maintain intellectual property protection for our technology; developments in clinical trials or regulatory review of NeuroStar Advanced Therapy System for additional indications; and developments in regulation in the United States and other applicable jurisdictions. For a discussion of these and other related risks, please refer to our recent SEC filings which are available on the SEC’s website at www.sec.gov. These forward-looking statements are based on our expectations and assumptions as of the date of this Quarterly Report on Form 10-Q. Except as required by law, we undertake no duty or obligation to update any forward-looking statements contained in this Quarterly Report on Form 10-Q as a result of new information, future events or changes in our expectations.</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risks, uncertainties and assumptions described in “Risk Factors” and “Management’s Discussion and Analysis of Financial Condition and Results of Operations” in our Annual Report on Form 10-K filed with the SEC, on March 3, 2020.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a commercial stage medical technology company focused on designing, developing and marketing products that improve the quality of life for patients who suffer from psychiatric disorders. Our first commercial product, the NeuroStar® Advanced Therapy System, is a non-invasive and non-systemic office-based treatment that uses transcranial magnetic stimulation, or TMS, to create a pulsed, MRI-strength magnetic field that induces electrical currents designed to stimulate specific areas of the brain associated with mood. The system is cleared by the United States Food and Drug Administration, or FDA, to treat adult patients with major depressive disorder, or MDD, that have failed to achieve satisfactory improvement from prior antidepressant medication in the current MDD episode. NeuroStar Advanced Therapy is also available in other parts of the world, including Japan, where it is listed under Japan’s national health insurance. NeuroStar Advanced Therapy is safe, clinically effective, reproducible and precise and we believe is supported by the largest clinical data set of any competing TMS system. We are a market leader in TMS therapy based on our U.S. installed base of 1,143 active NeuroStar Advanced Therapy Systems in approximately 909 psychiatrist offices as of September 30, 2020 and the estimated 94,609 patients treated with approximately 3.4 million of our treatment sessions through such date. We generated revenues of $12.4 million and $33.7 million for the three and nine months ended September 30, 2020.</w:t>
      </w:r>
    </w:p>
    <w:p>
      <w:pPr>
        <w:spacing w:after="0" w:line="13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designed the NeuroStar Advanced Therapy System as a non-invasive therapeutic alternative to treat patients who suffer from MDD and to address many of the key limitations of other treatment options. We generate revenues from initial capital sales of our systems, recurring Treatment Sessions and service and repair and extended warranty contracts. We derive the majority of our revenues from recurring Treatment Sessions. For the three months ended September 30, 2020, revenues from sales of our Treatment Sessions and NeuroStar Advanced Therapy Systems represented 76% and 21% of our U.S. revenues, respectively. For the nine months ended September 30, 2020, revenues from sales of our Treatment Sessions and NeuroStar Advanced Therapy Systems represented 73% and 23% of our U.S. revenues, respectively.</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currently sell our NeuroStar Advanced Therapy System and recurring Treatment Sessions in the United States with the collaborative support of our 122 employees as of September 30, 2020. Our sales force targets an estimated 50,000 psychiatrists across 26,000 psychiatric practices in the United States. Some of our customers have and may purchase more than one NeuroStar Advanced Therapy System. Based on our commercial data, on average, we believe our customers can recoup their initial capital investment in our system by providing a standard course of treatment to approximately 12 patients. We believe psychiatrists can generate approximately $7,500 to $10,000 of revenue per patient for a standard course of treatment, which may provide meaningful incremental income to their practices. We have a diverse customer base of psychiatrists in group psychiatric practices in the United States. For the three and nine months ended September 30, 2020, one customer accounted for more than 10% of our revenues.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market our products in a few select markets outside the United States through independent distributors. International revenues represented 3% and 4% of our total revenues for the nine months ended September 30, 2020 and 2019, respectively. In October 2017, we entered into an exclusive distribution agreement with Teijin Pharma Limited, or Teijin, for the distribution of our NeuroStar Advanced Therapy Systems and Treatment Sessions to customers who will treat patients with MDD in Japan. We received regulatory approval for our system in Japan in September 2017, and we received the initial reimbursement of JPY 12,000 per Treatment Session, which went into effect on June 1, 2019. We expect our international revenues to increase over time as a percentage of our total revenues as we grow system placements and utilization in Japan.</w:t>
      </w:r>
    </w:p>
    <w:p>
      <w:pPr>
        <w:spacing w:after="0" w:line="1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are focused on the following: hardware and software product developments and enhancements of our NeuroStar Advanced Therapy System and clinical development relating to expansion of our label and additional indications, which may include bipolar depression and post-traumatic stress disorder. We outsource the manufacture of components of our NeuroStar Advanced Therapy Systems that are produced to our specifications, and individual components are either shipped directly from our third-party contract manufacturers to our customers or consolidated into pallets at our Malvern, Pennsylvania facility prior to shipment. Final installation of these systems occurs at the customer site.</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total revenues decreased by $3.6 million, or 22%, from $16.0 million for the three months ended September 30, 2019 to $12.4 million for the three months ended September 30, 2020 and by $11.6 million, or 26%, from $45.3 million for nine months ended September 30, 2019 to $33.7 million for the nine months ended September 30, 2020. For the three and nine months ended September 30, 2020, our U.S. revenues were $12.0 million and $32.5 million compared to $15.3 million and $43.7 million for the three and nine months ended September 30, 2019 , which represents a decrease of 21% and 26% period over period. We believe the decline was primarily attributable to the impact of the COVID-19 pandemic and related governmental responses. We incurred net losses of $3.4 million and $23.8 million for the three and nine months ended September 30, 2020 compared to net losses of $6.9 million and $21.5 million for the three and nine months ended September 30, 2019. We expect to continue to incur losses for the next several years as we invest in our commercial organization to support our planned sales growth and while continuing to invest in our pipeline indications. As of September 30, 2020, we had an accumulated deficit of $273.9 million.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COVID-19</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are closely monitoring the impact of the COVID-19 pandemic on all aspects of our business and geographies, including how it has and will continue to impact the Company’s customers, supply chain, employees and other business partners. While we began to experience significant disruptions in March 2020 through the end of September 2020 from the COVID-19 pandemic, we are unable to predict the impact that the COVID-19 pandemic may have on our financial condition, results of operations and cash flows due to numerous uncertainties. These uncertainties include the scope, severity and duration of the pandemic, the actions taken to contain the pandemic or mitigate its impact and the direct and indirect economic effects of the pandemic and containment measures, among others. The outbreak of COVID-19 in many countries, including the United States, has significantly adversely impacted global economic activity and has contributed to significant volatility and negative pressure in financial markets. The global impact of the outbreak has been rapidly evolving and, as cases of COVID-19 have continued to be identified in additional countries, many countries, including the United States, have reacted by instituting quarantines, mandating business and school closures and restricting travel. Certain states and cities, including where our principal place of business is located, have also reacted by instituting quarantines, restrictions on travel, “shelter in place” rules, restrictions on types of business that may continue to operate, and/or restrictions on the types of construction projects that may continue. The Company cannot predict if additional states and cities will implement similar restrictions or when restrictions currently in place will expire. As a result, the COVID-19 pandemic is negatively impacting almost every industry directly or indirectly, including industries in which the Company operates. Further, the impacts of a potential worsening of global economic conditions and the continued disruptions to, and volatility in, the credit and financial markets, consumer spending as well as other unanticipated consequences remain unknown.</w:t>
      </w:r>
    </w:p>
    <w:p>
      <w:pPr>
        <w:spacing w:after="0" w:line="14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8, 2020, the Company adopted a plan to reduce operating expenses in connection with the COVID-19 pandemic and the resulting economic downturn (the “Plan”). The Plan included a reduction in force across all functions within the Company (the “RIF”). The Company paid and recorded separation-related charges for the RIF equal to $2.1 million. The Company estimates that the Plan will produce net savings of approximately $18 million through December 31, 2020. Following the second quarter RIF, the Company’s workforce totaled 122 employees as of September 30, 2020.</w:t>
      </w:r>
    </w:p>
    <w:p>
      <w:pPr>
        <w:spacing w:after="0" w:line="12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situation surrounding the COVID-19 pandemic remains fluid, and we are actively managing our response in collaboration with business partners and assessing potential impacts to our financial position and operating results, as well as potential adverse developments in our business. For further information regarding the impact of COVID-19 on the Company, see Part II, Item 1A titled “Risk Factors” of our Quarterly Report on Form 10-Q for the period ended March 31,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 date, we have generated revenues primarily from the capital portion of our business and related sales and rentals of the NeuroStar Advanced Therapy System and the recurring revenues from our sale of treatment sessions in the United States.</w:t>
      </w:r>
    </w:p>
    <w:p>
      <w:pPr>
        <w:spacing w:after="0" w:line="10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NeuroStar Advanced Therapy System Revenues</w:t>
      </w:r>
      <w:r>
        <w:rPr>
          <w:rFonts w:ascii="Times New Roman" w:cs="Times New Roman" w:eastAsia="Times New Roman" w:hAnsi="Times New Roman"/>
          <w:sz w:val="18"/>
          <w:szCs w:val="18"/>
          <w:color w:val="auto"/>
        </w:rPr>
        <w:t>. NeuroStar Advanced Therapy System revenues consist primarily of sales or rentals of a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component, including upgrades to the equipment attributable to the initial sale of the system. NeuroStar Advanced Therapy Systems can be purchased outright or on a rent-to-own basis by certain customers. We had an installed base of 1,143 and 1,032 active NeuroStar Advanced Therapy Systems as of September 30, 2020 and 2019, respectively.</w:t>
      </w:r>
    </w:p>
    <w:p>
      <w:pPr>
        <w:spacing w:after="0" w:line="12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Treatment Session Revenues</w:t>
      </w:r>
      <w:r>
        <w:rPr>
          <w:rFonts w:ascii="Times New Roman" w:cs="Times New Roman" w:eastAsia="Times New Roman" w:hAnsi="Times New Roman"/>
          <w:sz w:val="18"/>
          <w:szCs w:val="18"/>
          <w:color w:val="auto"/>
        </w:rPr>
        <w:t>. Treatment session revenues primarily include sales of NeuroStar Treatment Sessions and SenStar treatment links.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NeuroStar Treatment Sessions are access codes that are delivered electronically in the United States. The SenStar treatment links are disposable units containing single-use access codes that are sold and used outside the United States. Access codes are purchased separately by our customers, primarily on an as-needed basis, and are required by the NeuroStar Advanced Therapy System in order to deliver treatment sessions.</w:t>
      </w:r>
    </w:p>
    <w:p>
      <w:pPr>
        <w:spacing w:after="0" w:line="122"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Other Revenues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Other revenues are derived primarily from service and repair and extended warranty contracts with our existing customers.</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refer you to the section titled “Critical Accounting Policies and Use of Estimates—Revenue Recognition” appearing in our Form 10-K filed with the SEC on March 3, 2020. We also refer you to “Note 3. Summary of Significant Accounting Policies.”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5"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Cost of revenues primarily consists of the costs of components and products purchased from our third-party contract manufacturers of our NeuroStar Advanced Therapy Systems as well as the cost of treatment packs for individual treatment sessions. We use third-party contract manufacturing partners to produce the components for and assemble the completed NeuroStar Advanced Therapy Systems. Cost of revenues also includes costs related to personnel, royalties, warranty, shipping, and our operations and field service departments. We expect our cost of revenues to increase in absolute dollars as and to the extent our revenues grow.</w:t>
      </w:r>
    </w:p>
    <w:p>
      <w:pPr>
        <w:spacing w:after="0" w:line="1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pricing and third-party contract manufacturing costs. Our gross margins on revenues from sales of NeuroStar Advanced Therapy Systems are lower than our gross margins on revenues from sales of treatment sessions and, as a result, the sales mix between NeuroStar Advanced Therapy Systems and treatment sessions can affect the gross margin in any reporting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of market research and commercial activities related to the sale of our NeuroStar Advanced Therapy Systems and treatment sessions and salaries and related benefits, sales commissions and share-based compensation for employees focused on these efforts. Other significant sales and marketing costs included conferences and trade shows, promotional and marketing activities, including direct and online marketing, practice support programs, television and radio media campaigns, travel and training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absolute dollars because of the actions taken by the company in response to the COVID-19 pandemic and the company’s reduction in force announced in April 2020.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including salaries and related benefits and share-based compensation for employees in clinical development, product development, regulatory and quality assurance functions, as well as expenses associated with outsourced professional scientific development services and costs of investigative sites and consultants that conduct our preclinical and clinical development programs. We typically use our employee, consultant and infrastructure resources across our research and development programs.</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plan to incur research and development expenses for the near future as we expect to continue our development of TMS Therapy for the treatment of additional patient populations and new indications, as well as for various hardware and software development projects.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Interest expense consists of cash interest payable under our credit facility and non-cash interest attributable to the accrual of final payment fees and the amortization of deferred financing costs related to our indebtedness.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Other expense (income), net consists primarily of interest income earned on our money market account balances, and non-utilization fees paid to Oxford related to our decision not to borrow the Term C Loan.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226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2260" w:type="dxa"/>
            <w:vAlign w:val="bottom"/>
            <w:gridSpan w:val="5"/>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center"/>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Dollars</w:t>
            </w:r>
          </w:p>
        </w:tc>
        <w:tc>
          <w:tcPr>
            <w:tcW w:w="92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20" w:type="dxa"/>
            <w:vAlign w:val="bottom"/>
            <w:gridSpan w:val="8"/>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gridSpan w:val="3"/>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12,448</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9,791</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11,808</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78.7%</w:t>
            </w: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73.8%</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10,362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8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18,136</w:t>
            </w:r>
          </w:p>
        </w:tc>
        <w:tc>
          <w:tcPr>
            <w:tcW w:w="3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2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Loss from Operations</w:t>
            </w:r>
          </w:p>
        </w:tc>
        <w:tc>
          <w:tcPr>
            <w:tcW w:w="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(391)</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vMerge w:val="restart"/>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680" w:type="dxa"/>
            <w:vAlign w:val="bottom"/>
            <w:vMerge w:val="continue"/>
            <w:shd w:val="clear" w:color="auto" w:fill="CFF0FC"/>
          </w:tcPr>
          <w:p>
            <w:pPr>
              <w:spacing w:after="0"/>
              <w:rPr>
                <w:sz w:val="19"/>
                <w:szCs w:val="19"/>
                <w:color w:val="auto"/>
              </w:rPr>
            </w:pPr>
          </w:p>
        </w:tc>
        <w:tc>
          <w:tcPr>
            <w:tcW w:w="22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vMerge w:val="continue"/>
            <w:shd w:val="clear" w:color="auto" w:fill="CFF0FC"/>
          </w:tcPr>
          <w:p>
            <w:pPr>
              <w:spacing w:after="0"/>
              <w:rPr>
                <w:sz w:val="19"/>
                <w:szCs w:val="19"/>
                <w:color w:val="auto"/>
              </w:rPr>
            </w:pPr>
          </w:p>
        </w:tc>
        <w:tc>
          <w:tcPr>
            <w:tcW w:w="240" w:type="dxa"/>
            <w:vAlign w:val="bottom"/>
            <w:tcBorders>
              <w:right w:val="single" w:sz="8" w:color="CFF0FC"/>
            </w:tcBorders>
            <w:vMerge w:val="continue"/>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300" w:type="dxa"/>
            <w:vAlign w:val="bottom"/>
            <w:tcBorders>
              <w:right w:val="single" w:sz="8" w:color="CFF0FC"/>
            </w:tcBorders>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6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63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gridSpan w:val="7"/>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12,029</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gridSpan w:val="2"/>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shd w:val="clear" w:color="auto" w:fill="CFF0FC"/>
          </w:tcPr>
          <w:p>
            <w:pPr>
              <w:spacing w:after="0"/>
              <w:rPr>
                <w:sz w:val="19"/>
                <w:szCs w:val="19"/>
                <w:color w:val="auto"/>
              </w:rPr>
            </w:pPr>
          </w:p>
        </w:tc>
        <w:tc>
          <w:tcPr>
            <w:tcW w:w="7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12,448</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CFF0FC"/>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 Revenues by Product Category</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6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63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7"/>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2,541</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9,083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 U.S. revenues</w:t>
            </w:r>
          </w:p>
        </w:tc>
        <w:tc>
          <w:tcPr>
            <w:tcW w:w="740" w:type="dxa"/>
            <w:vAlign w:val="bottom"/>
            <w:gridSpan w:val="2"/>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12,029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20" w:type="dxa"/>
            <w:vAlign w:val="bottom"/>
            <w:gridSpan w:val="1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United States NeuroStar Advanced Therapy System</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40" w:type="dxa"/>
            <w:vAlign w:val="bottom"/>
            <w:gridSpan w:val="7"/>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Revenues by Type</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6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63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9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1"/>
                <w:szCs w:val="11"/>
                <w:color w:val="auto"/>
              </w:rPr>
            </w:pPr>
          </w:p>
        </w:tc>
        <w:tc>
          <w:tcPr>
            <w:tcW w:w="900" w:type="dxa"/>
            <w:vAlign w:val="bottom"/>
          </w:tcPr>
          <w:p>
            <w:pPr>
              <w:jc w:val="center"/>
              <w:ind w:right="36"/>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center"/>
              <w:ind w:right="1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7"/>
          </w:tcPr>
          <w:p>
            <w:pPr>
              <w:jc w:val="center"/>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Capital</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2,438</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438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United States NeuroStar Advanced Therapy</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System revenues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9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Total revenues decreased by $3.6 million, or 22%, from $16.0 million for the three months ended September 30, 2019 to $12.4 million for the three months ended September 30, 2020. The decrease was driven by a 21% and 41% reduction in U.S. and International revenue, respectively, which we believe was caused by the impact of the COVID-19 pandemic.</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NeuroStar Advanced Therapy System revenues represented 21% and 30% of U.S. revenues for the three months ended September 30, 2020 and 2019, respectively. U.S. NeuroStar Advanced Therapy System revenue for the three months ended September 30, 2020 was $2.5 million, a decrease of 45% versus third quarter 2019 revenue of $4.6 million. The decrease was primarily driven by lower NeuroStar Capital System sales during the quarter, as well as lower other revenue related to fewer HP Coil upgrades sold in the third quarter of 2020. In the quarter, the Company sold 39 systems, versus 68 in the prior year quarter.</w:t>
      </w:r>
    </w:p>
    <w:p>
      <w:pPr>
        <w:spacing w:after="0" w:line="1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Treatment Session revenues in the United States represented 76% and 67% of total revenues in the United States for the three months ended September 30, 2020 and 2019, respectively, and decreased by 11% from $10.3 million for the three months ended September 30, 2019 to $9.1 million for the three months ended September 30, 2020. The decrease was primarily driven by a decline in volume which we believe was caused by the impact of the COVID-19 pandemic.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 of revenues decreased by $1.5 million or 36% from $4.2 million for the three months ended September 30, 2019 to $2.7 million for the three months ended September 30, 2020 when compared to the three months ended September 30, 2019 Gross margin increased from 73.8% for the three months ended September 30, 2019 to 78.7% for the three months ended September 30, 2020. The increase was primarily a result of a change in the product mix of revenues versus the prior year as well as reduced personnel supporting our installation efforts.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$4.3 million, or 42%, from $10.4 million for the three months ended September 30, 2019 to $6.1 million for the three months ended September 30, 2020. The decrease was primarily due to reduced marketing expenses, including trade shows and advertising, travel expenses and personnel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$0.1 million, or 2%, from $4.3 million for the three months ended September 30, 2019 to $4.2 million for the three months ended September 30, 2020. The net decrease was due in part to a decrease of $0.3 million in personnel expenses related to bonus and salary and a $0.1 million decrease in legal expenses, which was partially offset by a $0.3 million increase in insurance expense.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9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$1.5 million, or 44%, from $3.5 million for the three months ended September 30, 2019 to $2.0 million for the three months ended September 30, 2020. The decrease was primarily due to reduced product development, personnel and travel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7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expense increased $0.1 million, or 8% from $0.9 million for the three months ended September 30, 2019 to $1.0 million for the three months ended September 30, 2020. The increase in interest expense is due to greater debt during the three months ended September 30, 2020 versus three months ended September 30, 2019.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7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by $0.4 million, from $0.4 million for the three months ended September 30, 2019 to $0.0 million for the three months ended September 30, 2020, primarily as a result of decreased interest income earned on the Company’s money market accounts.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5"/>
                <w:szCs w:val="15"/>
                <w:color w:val="auto"/>
              </w:rPr>
            </w:pPr>
          </w:p>
        </w:tc>
        <w:tc>
          <w:tcPr>
            <w:tcW w:w="2680" w:type="dxa"/>
            <w:vAlign w:val="bottom"/>
            <w:gridSpan w:val="5"/>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Increase / (Decrease)</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3"/>
          </w:tcPr>
          <w:p>
            <w:pPr>
              <w:jc w:val="center"/>
              <w:ind w:right="760"/>
              <w:spacing w:after="0" w:line="155"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220" w:type="dxa"/>
            <w:vAlign w:val="bottom"/>
            <w:tcBorders>
              <w:top w:val="single" w:sz="8" w:color="auto"/>
              <w:bottom w:val="single" w:sz="8" w:color="auto"/>
            </w:tcBorders>
          </w:tcPr>
          <w:p>
            <w:pPr>
              <w:jc w:val="center"/>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7"/>
          </w:tcPr>
          <w:p>
            <w:pPr>
              <w:jc w:val="center"/>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gridSpan w:val="3"/>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45,300</w:t>
            </w:r>
          </w:p>
        </w:tc>
        <w:tc>
          <w:tcPr>
            <w:tcW w:w="3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(11,635)</w:t>
            </w: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34,130</w:t>
            </w:r>
          </w:p>
        </w:tc>
        <w:tc>
          <w:tcPr>
            <w:tcW w:w="3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(8,256)</w:t>
            </w:r>
          </w:p>
        </w:tc>
        <w:tc>
          <w:tcPr>
            <w:tcW w:w="2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5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76.9%</w:t>
            </w:r>
          </w:p>
        </w:tc>
        <w:tc>
          <w:tcPr>
            <w:tcW w:w="14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75.3%</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31,477</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13,508</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13,145</w:t>
            </w:r>
          </w:p>
        </w:tc>
        <w:tc>
          <w:tcPr>
            <w:tcW w:w="3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9,499</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45,523</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54,121</w:t>
            </w:r>
          </w:p>
        </w:tc>
        <w:tc>
          <w:tcPr>
            <w:tcW w:w="3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(8,598)</w:t>
            </w:r>
          </w:p>
        </w:tc>
        <w:tc>
          <w:tcPr>
            <w:tcW w:w="2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3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left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right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2,780</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right w:val="single" w:sz="8" w:color="CFF0FC"/>
            </w:tcBorders>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9"/>
                <w:szCs w:val="19"/>
                <w:color w:val="auto"/>
              </w:rPr>
            </w:pP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(1,281)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Loss</w:t>
            </w:r>
          </w:p>
        </w:tc>
        <w:tc>
          <w:tcPr>
            <w:tcW w:w="520" w:type="dxa"/>
            <w:vAlign w:val="bottom"/>
            <w:vMerge w:val="restart"/>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left w:val="single" w:sz="8" w:color="CFF0FC"/>
              <w:right w:val="single" w:sz="8" w:color="CFF0FC"/>
            </w:tcBorders>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shd w:val="clear" w:color="auto" w:fill="CFF0FC"/>
          </w:tcPr>
          <w:p>
            <w:pPr>
              <w:spacing w:after="0"/>
              <w:rPr>
                <w:sz w:val="19"/>
                <w:szCs w:val="19"/>
                <w:color w:val="auto"/>
              </w:rPr>
            </w:pPr>
          </w:p>
        </w:tc>
        <w:tc>
          <w:tcPr>
            <w:tcW w:w="520" w:type="dxa"/>
            <w:vAlign w:val="bottom"/>
            <w:vMerge w:val="continue"/>
            <w:shd w:val="clear" w:color="auto" w:fill="CFF0FC"/>
          </w:tcPr>
          <w:p>
            <w:pPr>
              <w:spacing w:after="0"/>
              <w:rPr>
                <w:sz w:val="19"/>
                <w:szCs w:val="19"/>
                <w:color w:val="auto"/>
              </w:rPr>
            </w:pPr>
          </w:p>
        </w:tc>
        <w:tc>
          <w:tcPr>
            <w:tcW w:w="2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(23,796)</w:t>
            </w:r>
          </w:p>
        </w:tc>
        <w:tc>
          <w:tcPr>
            <w:tcW w:w="320" w:type="dxa"/>
            <w:vAlign w:val="bottom"/>
            <w:tcBorders>
              <w:left w:val="single" w:sz="8" w:color="CFF0FC"/>
              <w:right w:val="single" w:sz="8" w:color="CFF0FC"/>
            </w:tcBorders>
            <w:vMerge w:val="continue"/>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(21,490)</w:t>
            </w:r>
          </w:p>
        </w:tc>
        <w:tc>
          <w:tcPr>
            <w:tcW w:w="320" w:type="dxa"/>
            <w:vAlign w:val="bottom"/>
            <w:tcBorders>
              <w:right w:val="single" w:sz="8" w:color="CFF0FC"/>
            </w:tcBorders>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Revenues by Geography</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7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7"/>
              <w:spacing w:after="0" w:line="155" w:lineRule="exact"/>
              <w:rPr>
                <w:sz w:val="20"/>
                <w:szCs w:val="20"/>
                <w:color w:val="auto"/>
              </w:rPr>
            </w:pPr>
            <w:r>
              <w:rPr>
                <w:rFonts w:ascii="Times New Roman" w:cs="Times New Roman" w:eastAsia="Times New Roman" w:hAnsi="Times New Roman"/>
                <w:sz w:val="14"/>
                <w:szCs w:val="14"/>
                <w:b w:val="1"/>
                <w:bCs w:val="1"/>
                <w:color w:val="auto"/>
              </w:rPr>
              <w:t>% of Revenues</w:t>
            </w:r>
          </w:p>
        </w:tc>
        <w:tc>
          <w:tcPr>
            <w:tcW w:w="34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right="7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Borders>
              <w:bottom w:val="single" w:sz="8" w:color="auto"/>
            </w:tcBorders>
          </w:tcPr>
          <w:p>
            <w:pPr>
              <w:jc w:val="center"/>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 of Revenues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7"/>
          </w:tcPr>
          <w:p>
            <w:pPr>
              <w:jc w:val="center"/>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gridSpan w:val="3"/>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560" w:type="dxa"/>
            <w:vAlign w:val="bottom"/>
            <w:gridSpan w:val="2"/>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shd w:val="clear" w:color="auto" w:fill="CFF0FC"/>
          </w:tcPr>
          <w:p>
            <w:pPr>
              <w:spacing w:after="0"/>
              <w:rPr>
                <w:sz w:val="19"/>
                <w:szCs w:val="19"/>
                <w:color w:val="auto"/>
              </w:rPr>
            </w:pPr>
          </w:p>
        </w:tc>
        <w:tc>
          <w:tcPr>
            <w:tcW w:w="56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7"/>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U.S. Revenues by Product Category</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7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6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7"/>
              <w:spacing w:after="0" w:line="155" w:lineRule="exact"/>
              <w:rPr>
                <w:sz w:val="20"/>
                <w:szCs w:val="20"/>
                <w:color w:val="auto"/>
              </w:rPr>
            </w:pPr>
            <w:r>
              <w:rPr>
                <w:rFonts w:ascii="Times New Roman" w:cs="Times New Roman" w:eastAsia="Times New Roman" w:hAnsi="Times New Roman"/>
                <w:sz w:val="14"/>
                <w:szCs w:val="14"/>
                <w:b w:val="1"/>
                <w:bCs w:val="1"/>
                <w:color w:val="auto"/>
              </w:rPr>
              <w:t>% of Revenues</w:t>
            </w:r>
          </w:p>
        </w:tc>
        <w:tc>
          <w:tcPr>
            <w:tcW w:w="34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right="78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Borders>
              <w:bottom w:val="single" w:sz="8" w:color="auto"/>
            </w:tcBorders>
          </w:tcPr>
          <w:p>
            <w:pPr>
              <w:jc w:val="center"/>
              <w:ind w:right="13"/>
              <w:spacing w:after="0" w:line="155" w:lineRule="exact"/>
              <w:rPr>
                <w:sz w:val="20"/>
                <w:szCs w:val="20"/>
                <w:color w:val="auto"/>
              </w:rPr>
            </w:pPr>
            <w:r>
              <w:rPr>
                <w:rFonts w:ascii="Times New Roman" w:cs="Times New Roman" w:eastAsia="Times New Roman" w:hAnsi="Times New Roman"/>
                <w:sz w:val="14"/>
                <w:szCs w:val="14"/>
                <w:b w:val="1"/>
                <w:bCs w:val="1"/>
                <w:color w:val="auto"/>
              </w:rPr>
              <w:t>% of Revenues</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7"/>
          </w:tcPr>
          <w:p>
            <w:pPr>
              <w:jc w:val="center"/>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Advanced Therapy System</w:t>
            </w:r>
          </w:p>
        </w:tc>
        <w:tc>
          <w:tcPr>
            <w:tcW w:w="780" w:type="dxa"/>
            <w:vAlign w:val="bottom"/>
            <w:gridSpan w:val="3"/>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Treatment sessions</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U.S. revenues</w:t>
            </w:r>
          </w:p>
        </w:tc>
        <w:tc>
          <w:tcPr>
            <w:tcW w:w="560" w:type="dxa"/>
            <w:vAlign w:val="bottom"/>
            <w:gridSpan w:val="2"/>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2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United States NeuroStar Advanced Therapy System</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4"/>
          </w:tcPr>
          <w:p>
            <w:pPr>
              <w:jc w:val="center"/>
              <w:ind w:left="657"/>
              <w:spacing w:after="0" w:line="149" w:lineRule="exact"/>
              <w:rPr>
                <w:sz w:val="20"/>
                <w:szCs w:val="20"/>
                <w:color w:val="auto"/>
              </w:rPr>
            </w:pPr>
            <w:r>
              <w:rPr>
                <w:rFonts w:ascii="Times New Roman" w:cs="Times New Roman" w:eastAsia="Times New Roman" w:hAnsi="Times New Roman"/>
                <w:sz w:val="14"/>
                <w:szCs w:val="14"/>
                <w:b w:val="1"/>
                <w:bCs w:val="1"/>
                <w:color w:val="auto"/>
              </w:rPr>
              <w:t>Revenues by Type</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7"/>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7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vMerge w:val="restart"/>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1"/>
                <w:szCs w:val="11"/>
                <w:color w:val="auto"/>
              </w:rPr>
            </w:pPr>
          </w:p>
        </w:tc>
        <w:tc>
          <w:tcPr>
            <w:tcW w:w="1160" w:type="dxa"/>
            <w:vAlign w:val="bottom"/>
          </w:tcPr>
          <w:p>
            <w:pPr>
              <w:jc w:val="center"/>
              <w:ind w:right="97"/>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340" w:type="dxa"/>
            <w:vAlign w:val="bottom"/>
            <w:gridSpan w:val="2"/>
          </w:tcPr>
          <w:p>
            <w:pPr>
              <w:spacing w:after="0"/>
              <w:rPr>
                <w:sz w:val="11"/>
                <w:szCs w:val="11"/>
                <w:color w:val="auto"/>
              </w:rPr>
            </w:pPr>
          </w:p>
        </w:tc>
        <w:tc>
          <w:tcPr>
            <w:tcW w:w="380" w:type="dxa"/>
            <w:vAlign w:val="bottom"/>
          </w:tcPr>
          <w:p>
            <w:pPr>
              <w:spacing w:after="0"/>
              <w:rPr>
                <w:sz w:val="11"/>
                <w:szCs w:val="11"/>
                <w:color w:val="auto"/>
              </w:rPr>
            </w:pPr>
          </w:p>
        </w:tc>
        <w:tc>
          <w:tcPr>
            <w:tcW w:w="128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tcPr>
          <w:p>
            <w:pPr>
              <w:jc w:val="center"/>
              <w:ind w:right="3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160" w:type="dxa"/>
            <w:vAlign w:val="bottom"/>
            <w:tcBorders>
              <w:top w:val="single" w:sz="8" w:color="auto"/>
            </w:tcBorders>
            <w:gridSpan w:val="7"/>
          </w:tcPr>
          <w:p>
            <w:pPr>
              <w:jc w:val="center"/>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NeuroStar Capital</w:t>
            </w:r>
          </w:p>
        </w:tc>
        <w:tc>
          <w:tcPr>
            <w:tcW w:w="780" w:type="dxa"/>
            <w:vAlign w:val="bottom"/>
            <w:gridSpan w:val="3"/>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7,072</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left w:val="single" w:sz="8" w:color="CFF0FC"/>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tcBorders>
              <w:right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5"/>
        </w:trPr>
        <w:tc>
          <w:tcPr>
            <w:tcW w:w="438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Total United States NeuroStar Advanced Therapy</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System revenues</w:t>
            </w:r>
          </w:p>
        </w:tc>
        <w:tc>
          <w:tcPr>
            <w:tcW w:w="7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Total revenues decreased by $11.6 million or 26%, from $45.3 million for the nine months ended September 30, 2019 to $33.7 million for the nine months ended September 30, 2020. The decrease was driven by a 26% and 24% reduction in U.S. and International revenue, respectively, which we believe was caused by the impact of the COVID-19 pandemic.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6" w:name="page27"/>
    <w:bookmarkEnd w:id="26"/>
    <w:p>
      <w:pPr>
        <w:ind w:right="320"/>
        <w:spacing w:after="0" w:line="258" w:lineRule="auto"/>
        <w:rPr>
          <w:sz w:val="20"/>
          <w:szCs w:val="20"/>
          <w:color w:val="auto"/>
        </w:rPr>
      </w:pPr>
      <w:r>
        <w:rPr>
          <w:rFonts w:ascii="Times New Roman" w:cs="Times New Roman" w:eastAsia="Times New Roman" w:hAnsi="Times New Roman"/>
          <w:sz w:val="18"/>
          <w:szCs w:val="18"/>
          <w:color w:val="auto"/>
        </w:rPr>
        <w:t>NeuroStar Advanced Therapy System revenues represented 23% and 29% of U.S. revenues for the nine months ended September 30, 2020 and 2019 respectively. U.S. NeuroStar Advanced Therapy System revenue for the nine months ended September 30, 2020, was $7.5 million, a decrease of $5.1 million or 41% versus revenue or $12.6 million for the nine months ended September 30, 2019. The decrease was primarily driven by lower NeuroStar Capital System sales during the year, as well as lower other revenue related to fewer HP Coil upgrades sold in 2020. For the nine months ended September 30, 2020 and 2019, the Company sold 112 and 172 systems, respectively, during each period.</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September 30, 2020, we had an installed base of 1,143 active Systems in the United States. This represents an increase of 111 units, or 11%, over the active installed base as of September 30, 2019.</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Treatment Session revenues in the United States represented 73% and 68% of total revenues in the United States for the nine months ended September 30, 2020 and 2019, respectively. Treatment Sessions revenues decreased by 20% from $29.9 million for the nine months ended September 30, 2019 to $23.8 million for the nine months ended September 30, 2020. The decrease was primarily driven by a decline in volume which we believe was caused by the impact of the COVID-19 pandemic.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Cost of revenues decreased by $3.4 million or 30% from $11.2 million for the nine months ended September 30, 2019 to $7.8 million for the nine months ended September 30, 2020. Gross margin increased from 75.3% for the nine months ended September 30, 2019 to 76.9% for the nine months ended September 30, 2020. The increase was primarily a result of a change in the product mix of revenues versus the prior year as well as reduced personnel supporting our installation efforts.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9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$6.6 million, or 21%, from $31.5 million for the nine months ended September 30, 2019 to $24.9 million for the nine months ended September 30, 2020. The decrease was primarily due to reduced marketing expenses, including trade shows and advertising, travel expenses and personnel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$0.4 million, or 3%, from $13.1 million for the nine months ended September 30, 2019 to $13.5 million for the nine months ended September 30, 2020. The net increase was due in part to an increase in severance costs of $0.8 million in connection with our reduction in force actions for the nine months ended September 30, 2020, a reduction in legal and patent expense of $0.3 million and a drop in travel expense of $0.1 million due to restrictions around COVID-19.</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$2.4 million, or 25%, from $9.5 million for the nine months ended September 30, 2019 to $7.1 million for the nine months ended September 30, 2020. The decrease was primarily due to reduced product development, personnel and travel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Interest expense increased $0.7 million, or 26% from $2.8 million for the nine months ended September 30, 2019 to $3.5 million for the nine months ended September 30, 2020. The increase in interest expense is due to greater debt during the nine months ended September 30, 2020 versus nine months ended September 30, 2019.</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7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by $1.0 million, from $1.2 million for the nine months ended September 30, 2019 to $0.02 million for the nine months ended September 30, 2020, primarily as a result of decreased interest income earned on the Company’s money market accounts.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July 2, 2018, we closed our IPO, in which we issued and sold 6.325 million shares of our common stock, which included shares sold pursuant to an option granted to the underwriters to purchase additional shares, at a public offering price of $17.00 per share. We received net proceeds of $96.5 million after deducting underwriting discounts, commissions, and other offering expenses paid by us. Our common stock is listed on the Nasdaq Global Market under the trading symbol “STIM.”</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27" w:name="page28"/>
    <w:bookmarkEnd w:id="27"/>
    <w:p>
      <w:pPr>
        <w:ind w:right="20"/>
        <w:spacing w:after="0" w:line="253" w:lineRule="auto"/>
        <w:rPr>
          <w:sz w:val="20"/>
          <w:szCs w:val="20"/>
          <w:color w:val="auto"/>
        </w:rPr>
      </w:pPr>
      <w:r>
        <w:rPr>
          <w:rFonts w:ascii="Times New Roman" w:cs="Times New Roman" w:eastAsia="Times New Roman" w:hAnsi="Times New Roman"/>
          <w:sz w:val="18"/>
          <w:szCs w:val="18"/>
          <w:color w:val="auto"/>
        </w:rPr>
        <w:t>As of September 30, 2020, we had cash and cash equivalents of $50.7 million and an accumulated deficit of $273.9 million, compared to cash and cash equivalents of $75.7 million and an accumulated deficit of $250.1 million as of December 31, 2019. We incurred negative cash flows from operating activities of $26.7 million and $24.1 million for the nine months ended September 30, 2020 and 2019, respectively. We have incurred operating losses since our inception, and we anticipate that our operating losses will continue in the near term as we seek to expand our sales and marketing initiatives to support our growth in existing and new markets, invest funds in additional research and development activities and utilize cash for other corporate purposes. Our primary sources of capital to date have been from our IPO, private placements of our convertible preferred securities, borrowings under our credit facilities and sales of our products. As of September 30, 2020, the Company had $35.0 million of borrowings outstanding under its credit facility, which has a final maturity in February 2025. As discussed in Note 12, the outstanding balance under the credit facility is classified as a current liability as of September 30, 2020 Management believes that the Company’s cash and cash equivalents and anticipated revenues from sales of its products are sufficient to fund the Company’s operations (including the potential repayment of the credit facility if a waiver or amendment is not obtained) for at least 12 months from the issuance of these financial statements.</w:t>
      </w:r>
    </w:p>
    <w:p>
      <w:pPr>
        <w:spacing w:after="0" w:line="13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cannot predict our revenues and expenses in the short term as a result of the COVID-19 pandemic and related governmental responses. We also incur additional costs as a public company. Based on our current business plan, we believe that our cash and cash equivalents and anticipated revenues from sales of our products will be sufficient to meet our cash requirements through November 2, 2021. However, if these sources are insufficient to satisfy our liquidity requirements, we may seek to sell additional common or preferred equity or debt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and future funding requirements will depend on many factors, including:</w:t>
      </w:r>
    </w:p>
    <w:p>
      <w:pPr>
        <w:spacing w:after="0" w:line="77" w:lineRule="exact"/>
        <w:rPr>
          <w:sz w:val="20"/>
          <w:szCs w:val="20"/>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and related governmental responses;</w:t>
      </w:r>
    </w:p>
    <w:p>
      <w:pPr>
        <w:spacing w:after="0" w:line="7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improve operating margins;</w:t>
      </w:r>
    </w:p>
    <w:p>
      <w:pPr>
        <w:spacing w:after="0" w:line="7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and conditions, including covenants, set forth in our credit facility;</w:t>
      </w:r>
    </w:p>
    <w:p>
      <w:pPr>
        <w:spacing w:after="0" w:line="7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operations and offerings, including our sales and marketing efforts;</w:t>
      </w:r>
    </w:p>
    <w:p>
      <w:pPr>
        <w:spacing w:after="0" w:line="76"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or maintain coverage and reimbursement arrangements with domestic third-party and government payors, particularly in Japan;</w:t>
      </w:r>
    </w:p>
    <w:p>
      <w:pPr>
        <w:spacing w:after="0" w:line="13"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coverage and reimbursement arrangements from international commercial third-party and government payors;</w:t>
      </w:r>
    </w:p>
    <w:p>
      <w:pPr>
        <w:spacing w:after="0" w:line="1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products and maintaining or improving our sales to our current customers;</w:t>
      </w:r>
    </w:p>
    <w:p>
      <w:pPr>
        <w:spacing w:after="0" w:line="13"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research and development activities, including research and development relating to additional indications, which may include bipolar depression;</w:t>
      </w:r>
    </w:p>
    <w:p>
      <w:pPr>
        <w:spacing w:after="0" w:line="1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7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76"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nine months ended September 30, 2020 and 2019</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4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(26,687)</w:t>
            </w: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(24,079)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6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60" w:type="dxa"/>
            <w:vAlign w:val="bottom"/>
            <w:vMerge w:val="restart"/>
          </w:tcPr>
          <w:p>
            <w:pPr>
              <w:jc w:val="right"/>
              <w:ind w:right="149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2020 was $26.7 million, consisting primarily of a net loss of $23.8 million and a decrease in net operating liabilities of $8.4 million, partially offset by non-cash charges of $5.5 million. The decrease in net operating liabilities was primarily due to decreases in accounts payable and accrued expenses as a result of timing and the 2020 payments of 2019 incentive compensation and commissions accrued as of December 31, 2019. Non-cash charges consisted of loss on debt extinguishment, depreciation and amortization, non-cash interest expense, share-based compensation, and the cost of rental units purchased by customers.</w:t>
      </w:r>
    </w:p>
    <w:p>
      <w:pPr>
        <w:spacing w:after="0" w:line="1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2019 was $24.1 million, consisting primarily of a net loss of $21.5 million and a decrease in net operating liabilities of $6.5 million, partially offset by non-cash charges of $3.9 million. Non-cash charges consisted of depreciation and amortization, non-cash interest expense, share-based compensation and the cost of rental units purchased by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2020 and the nine months ended September 30, 2019 was $0.6 million and $0.5 million, respectively, and was in each case attributable to purchases of property and equipment and capitalized software costs.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2020 was $2.3 million and consisted of additional proceeds from our loan refinance and cash proceeds related to stock option exercises. Net cash provided by financing activities for the nine months ended September 30, 2019 was $2.3 million, consisting of cash proceeds related to stock option exercises.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Solar Credit Facility</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2, 2020, the “Company entered into a loan and security agreement with Solar Capital Ltd. (“Solar”), as collateral agent, and other lenders defined in the agreement, for a credit facility (the “Solar Facility”) that replaced the Company’s previous $35.0 million credit facility with Oxford Finance LLC (“Oxford”, and such facility, the “Oxford Facility”).</w:t>
      </w:r>
    </w:p>
    <w:p>
      <w:pPr>
        <w:spacing w:after="0" w:line="12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Solar Facility permits the Company to borrow up to an aggregate amount of $50.0 million in two tranches of term loans, a “Term A Loan” and “Term B Loan.” On March 2, 2020, the Company borrowed an aggregate amount of $35.0 million, which was the aggregate amount available under the Term A Loan portion of the Solar Facility. The Term A Loan portion of the Solar Facility matures, and all amounts borrowed thereunder are due, on February 28, 2025. Under the Term B Loan portion of the Solar Facility, the Company is permitted to borrow, at its election, up to an aggregate amount of $15.0 million,</w:t>
      </w:r>
    </w:p>
    <w:p>
      <w:pPr>
        <w:spacing w:after="0" w:line="3" w:lineRule="exact"/>
        <w:rPr>
          <w:sz w:val="20"/>
          <w:szCs w:val="20"/>
          <w:color w:val="auto"/>
        </w:rPr>
      </w:pPr>
    </w:p>
    <w:p>
      <w:pPr>
        <w:ind w:right="320" w:firstLine="8"/>
        <w:spacing w:after="0" w:line="253"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 achieving a specified amount of trailing twelve months net product revenue, and (ii) assuming there has been no event of default under the Solar Facility prior to such election. Once the net product revenue condition has been satisfied, the Company may only make an election to borrow under the Term B Loan portion of the Solar Facility until the earlier of (a) December 15, 2021, (b) 30 days following achievement of the net product revenue condition or (c) the occurrence of an event of default.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of the Term A Loan and Term B Loan accrue interest from the date of borrowing through the date of repayment at a floating per annum rate of interest, which resets monthly and is equal to 7.65% plus the greater of (a) 1.66% or (b) the rate per annum rate published by the Intercontinental Exchange Benchmark Administration Ltd. The Term A Loan and the Term B Loan both include an interest-only period through March 1, 2022, after which time the Company will be required to make monthly payments of principal and interest. Monthly principal payments are to be paid in equal amounts on a pro rata basis to lenders. At the Company’s election, the interest only period may be extended through February 2023 if the Company satisfies a minimum net product revenue covenant through March 1, 2022 and no event of default shall have occurred.</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to the principal and interest payments due under the Solar Facility, the Company is required to pay a final payment fee to Solar due upon the earlier of prepayment, acceleration or the maturity date of the Term A Loan or Term B Loan portion of the Solar Facility equal to 5.50% of the principal amount of the term loans actually funded. The Company is accruing the final payment fees using the effective interest rate, with a charge to non-cash interest expense, over the term of borrowing. If the Company prepays either the of the Term A Loan or Term B Loan prior to their respective scheduled maturities, the Company will also be required to pay prepayment fees to Solar equal to 3% of the principal amount of such term loan then-prepaid if prepaid on or before the first anniversary of funding, 2% of the principal amount of such term loan then-prepaid if prepaid after the first anniversary and on or before the second anniversary of funding, or 1% of the principal amount of such term loan then-prepaid if prepaid after the second anniversary of funding of the principal amounts borrowed.</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5"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The Company is also required to pay Solar an exit fee upon the occurrence, prior to March 2, 2030, of (a) any liquidation, dissolution or winding up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(b) transaction that results in a person obtaining control over the Company, (c) the Company achieving $100 million in trailing twelve month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or (d) the Company achieving $125 million in trailing twelve month net product revenue. The exit fee for liquidation, dissolution, winding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or change of control of the Company is equal to 4.50% of the principal amount of the term loans actually funded. The exit fee for achieving either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or $125 million in trailing twelve-month net product revenue is equal to 2.25% of the principal amount of the term loans actually funded or,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net product revenue milestones are achieved, 4.50% of the principal amount of the term loans actually funded. The exit fee is capped at 4.50%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term loans actually funded.</w:t>
      </w:r>
    </w:p>
    <w:p>
      <w:pPr>
        <w:spacing w:after="0" w:line="15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first priority security interest in substantially all of its assets, including its intellectual property. The loan and security agreement requires the Company to comply with certain financial covenants as well as customary affirmative and negative covenants.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Solar Facility contains events of default, including, without limitation, events of default upon: (i) failure to make payment pursuant to the terms of the agreement; (ii) violation of covenants; (iii) material adverse changes to the Company’s business; (iv) attachment or levy on the Company’s assets or judicial restraint on its business; (v) insolvency; (vi) material cross-defaults; (vii) significant judgments, orders or decrees for payments by the Company not covered by insurance; (viii) incorrectness of representations and warranties; (ix) incurrence of subordinated debt; (x) a termination or breach of a guaranty; (xi) revocation of governmental approvals necessary for the Company to conduct its business; and (xii) failure by the Company to maintain a valid and perfected lien on the collateral securing the borrowing.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2020, the Company is in compliance with all covenants in the Solar Facility.</w:t>
      </w:r>
    </w:p>
    <w:p>
      <w:pPr>
        <w:spacing w:after="0" w:line="17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Solar Facility includes a financial covenant requiring the attainment of a minimum trailing net revenue amount beginning on December 31, 2020. Based upon the Company’s projected revenues for the rest of 2020, the Company believes that it is probable that this minimum revenue covenant will not be achieved. The Company is in discussions with the lenders for a potential covenant waiver or amendment, however, no formal agreement has been executed. The Solar Facility also includes subjective acceleration clauses which permit the lenders to accelerate the maturity date under certain circumstances, including, but not limited to, material adverse effects on a Company’s financial status or otherwise. In accordance with FASB ASC 470 because the Solar Facility contains subjective acceleration clauses and the assessment that it is probable that the revenue covenant will not be met as of December 31, 2020, the outstanding principal under the Solar Facility is classified as a current liability in the accompanying balance sheet as of September 30, 2020.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Oxford Credit Facility</w:t>
      </w:r>
    </w:p>
    <w:p>
      <w:pPr>
        <w:spacing w:after="0" w:line="9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Prior to March 2020, the Company had a $35.0 million credit facility in place with Oxford, which it entered into in March 2017 and that allowed it to borrow up to $35.0 million in three tranches of term loans: a Term A Loan in the amount of $25 million, which was drawn immediately upon closing in March 2017, a Term B Loan in the amount of $5.0 million, which was drawn down in December 2017, and a Term C Loan in the amount of $5.0 million which was never drawn down. Each term loan accrued interest from the date of borrowing through the date of repayment at a floating per annum rate of interest, which reset monthly and was equal to the greater of (a) 8.15% or (b) the 30 day U.S. LIBOR on the last business day of the month plus 7.38%. This facility featured an interest-only period on all tranches through March 2019.</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principal and interest payments due under the $35.0 million Oxford credit facility, the Company was required to make final payment fees to Oxford upon the earlier of prepayment or maturity and equal to 8.5% and 7.5% of the principal amounts of the Term A and Term B Loans, respectively. The Company accrued final payment fees using the effective interest rate, with a charge to non-cash interest expense, over the term of borrowing and until its entry into the Solar credit facility in March 2020, at which time the Company paid Oxford $2.5 million in satisfaction of all final payment fee liabilities due under the Oxford credit facility.</w:t>
      </w:r>
    </w:p>
    <w:p>
      <w:pPr>
        <w:spacing w:after="0" w:line="1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evaluated whether the Solar credit facility entered into in March 2020 represented a debt modification or extinguishment in accordance with ASC 470-50, Debt—Modifications and Extinguishments and determined that the existing debt was extinguished as a result of the full repayment of the existing facility and concurrent issuance of a new credit facility with a new lender. The unamortized balance of the Company’s combined debt discount and deferred issuance costs of $0.6 million related to the Oxford facility were accounted for as a loss on extinguishment of debt.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Non-Cash Interest Expense</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2020, we recognized interest expense of $1.0 million, of which $0.8 million was cash and $0.2 million was non-cash interest expense related to the amortization of deferred financing costs. For the three months ended September 30, 2019, we recognized interest expense of $0.9 million, of which $0.7 million was cash and $0.2 million was non-cash interest expense related to the amortization of deferred financing costs and accrual of final payment fees.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9"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8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do not maintain any off-balance sheet arrangements, partnerships or other relationships with unconsolidated entities, often referred to as structured finance or special-purpose entities, which are established for the purpose of facilitating off-balance sheet arrangements or other contractually narrow or limited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one significant change to our commitments and future minimum contractual obligations as set forth in our Form 10-K, filed with the SEC on March 3, 2020. We refer you to “Note 12. Debt” in the financial statements included in this Quarterly Report on Form 10-Q for information regarding our new debt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JOBS Act, and are eligible to take advantage of certain exemptions from various reporting requirements that are applicable to other public companies that are not emerging growth companies. Section 107 of the JOBS Act provides that an emerging growth company can take advantage of the extended transition period provided in Section 7(a)(2)(B) of the Securities Act of 1933, or Securities Act, for complying with new or revised accounting standards issued subsequent to the enactment of the JOBS Act until such time as those standards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Section 107 of the JOBS Act provides that we can elect to opt out of the extended transition period at any time, which election is irrevocable.</w:t>
      </w:r>
    </w:p>
    <w:p>
      <w:pPr>
        <w:spacing w:after="0" w:line="1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of these exemptions, including without limitation (i) providing an auditor’s attestation report on our system of internal controls over financial reporting pursuant to Section 404(b) of the Sarbanes-Oxley Act and</w:t>
      </w:r>
    </w:p>
    <w:p>
      <w:pPr>
        <w:ind w:right="20" w:firstLine="8"/>
        <w:spacing w:after="0" w:line="252"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$1.07 billion or more; (b) 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SEC.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refer you to “Note 3. Summary of Significant Accounting Policies” and “Note 4. Recent Accounting Pronouncements” in “Notes to Interim Financial Statements” located in “Part I – FINANCIAL INFORMATION, Item 1.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31" w:name="page32"/>
    <w:bookmarkEnd w:id="3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8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cash is held on deposit in demand accounts at a large financial institution in amounts in excess of the Federal Deposit Insurance Corporation, or FDIC, insurance coverage limit of $250,000 per depositor, per FDIC-insured bank, per ownership category. We have reviewed the financial statements of this institution and believe it has sufficient assets and liquidity to conduct its operations in the ordinary course of business with little or no credit risk to us.</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principally consist of cash equivalents and accounts receivable. We limit our credit risk associated with cash equivalents by placing investments in highly-rated money market funds. We limit our credit risk with respect to accounts receivable by performing credit evaluations when deemed necessary, but we do not require collateral to secure amounts owed to us by our customers.</w:t>
      </w:r>
    </w:p>
    <w:p>
      <w:pPr>
        <w:spacing w:after="0" w:line="126"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As discussed above in the “Management’s Discussion and Analysis of Financial Condition and Results of Operations – Liquidity and Capital Resources - Indebtedness” section of this Quarterly Report on Form 10-Q, our credit facility bears interest at 7.65% plus the greater of (a) 1.66% or (b) the rate per annum rate published by the Intercontinental Exchange Benchmark Administration Ltd. As a result, we are exposed to risks from changes in interest rates.</w:t>
      </w:r>
    </w:p>
    <w:p>
      <w:pPr>
        <w:spacing w:after="0" w:line="10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Inflationary factors, such as increases in our cost of revenues and operating expenses, may adversely affect our operating results. Although we do not believe inflation has had a material impact on our financial condition, results of operations or cash flows to date, a high rate of inflation in the future may have an adverse effect on our ability to maintain and increase our gross margin or decrease our operating expenses as a percentage of our revenues if our selling prices of our products do not increase as much or more than our costs increase.</w:t>
      </w:r>
    </w:p>
    <w:p>
      <w:pPr>
        <w:spacing w:after="0" w:line="12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do not currently have any exposure to foreign currency fluctuations and do not engage in any hedging activities as part of our normal course of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COVID-19</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During the first, second, and third quarters of 2020, the Company experienced a material impact to revenue, particularly with regards to U.S. treatment session revenues. As noted in the Company’s April 8, 2020 press release, the Company expects that capital equipment sales and treatment session revenues will be materially impacted by this pandemic as customers are deferring capital purchase decisions, and new patient treatment starts and system utilization have declined compared to pre-COVID-19 projections.</w:t>
      </w:r>
    </w:p>
    <w:p>
      <w:pPr>
        <w:spacing w:after="0" w:line="16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of the Securities Exchange Act of 1934, as amended, or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 As required by Rules 13a-15(b) and 15d-15(b) of the Exchange Act, our management, with the participation of our Principal Executive Officer and Chief Financial Officer, evaluated the effectiveness of our disclosure controls and procedures as of the end of the period covered by this Quarterly Report on Form 10-Q. Based on that evaluation, our Principal Executive Officer and our Chief Financial Officer concluded that our disclosure controls and procedures were effective at the reasonable assurance level as of September 30,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refers to the process designed by, or under the supervision of, our Principal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2" w:name="page33"/>
    <w:bookmarkEnd w:id="32"/>
    <w:p>
      <w:pPr>
        <w:spacing w:after="0" w:line="253" w:lineRule="auto"/>
        <w:rPr>
          <w:sz w:val="20"/>
          <w:szCs w:val="20"/>
          <w:color w:val="auto"/>
        </w:rPr>
      </w:pPr>
      <w:r>
        <w:rPr>
          <w:rFonts w:ascii="Times New Roman" w:cs="Times New Roman" w:eastAsia="Times New Roman" w:hAnsi="Times New Roman"/>
          <w:sz w:val="18"/>
          <w:szCs w:val="18"/>
          <w:color w:val="auto"/>
        </w:rPr>
        <w:t>Internal control over financial reporting may not prevent or detect all errors and all fraud. A control system, no matter how well conceived and operated, can provide only reasonable, not absolute, assurance that the objectives of the control system are achieved. Further, the design of a control system must be balanced against resource constraints, and therefore the benefits of controls must be considered relative to their costs. Given the inherent limitations in all systems of controls, no evaluation of controls can provide absolute assurance all control issues and instances of fraud, if any, within a company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Accordingly, given the inherent limitations in a cost-effective system of internal control, financial statement misstatements due to error or fraud may occur and may not be detected. Our disclosure controls and procedures are designed to provide reasonable, not absolute, assurance of achieving their objectives. We conduct periodic evaluations of our systems of controls to enhance, where necessary, our control policies and procedures.</w:t>
      </w:r>
    </w:p>
    <w:p>
      <w:pPr>
        <w:spacing w:after="0" w:line="13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our financial reporting, as such term is defined in Rules 13a-15(f) and 15d-15(f) under the Exchange Act. Under the supervision and with the participation of our management, including our Principal Executive Officer and Chief Financial Officer, we conducted an evaluation of the effectiveness of our internal control over financial reporting. Management has used the framework set forth in the report entitled “Internal Control—Integrated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as of September 30, 2020 at the reasonable assurance level.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2020, there were no changes in our internal control over financial reporting (as defined in Rule 13a-15(f) of the Exchange Act) which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various claims and legal actions arising during the ordinary course of our business. We believe that there are currently no claims or legal actions that would reasonably be expected to have a material adverse effect on our results of operations, financial condition, or cash flows.</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information described in the “Risk Factors” section of the Company’s Annual Report on Form 10-K filed with the SEC on March 3, 2020 and Quarterly Reports on Form 10-Q filed with the SEC on May 5, 2020 and August 4, 2020. There have been no material changes to the risk factors described therein.</w:t>
      </w:r>
    </w:p>
    <w:p>
      <w:pPr>
        <w:spacing w:after="0" w:line="11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Issuances of Unregistered Securities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81"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 Where so indicated, exhibits that were previously filed are incorporated by reference. For exhibits incorporated by reference, the location of the exhibit in the previous filing is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0" w:type="dxa"/>
            <w:vAlign w:val="bottom"/>
          </w:tcPr>
          <w:p>
            <w:pPr>
              <w:spacing w:after="0"/>
              <w:rPr>
                <w:sz w:val="13"/>
                <w:szCs w:val="13"/>
                <w:color w:val="auto"/>
              </w:rPr>
            </w:pPr>
          </w:p>
        </w:tc>
        <w:tc>
          <w:tcPr>
            <w:tcW w:w="9600" w:type="dxa"/>
            <w:vAlign w:val="bottom"/>
            <w:gridSpan w:val="3"/>
            <w:vMerge w:val="restart"/>
          </w:tcPr>
          <w:p>
            <w:pPr>
              <w:ind w:left="4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spacing w:after="0"/>
              <w:rPr>
                <w:sz w:val="15"/>
                <w:szCs w:val="15"/>
                <w:color w:val="auto"/>
              </w:rPr>
            </w:pPr>
          </w:p>
        </w:tc>
        <w:tc>
          <w:tcPr>
            <w:tcW w:w="9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8"/>
                <w:szCs w:val="18"/>
                <w:color w:val="auto"/>
              </w:rPr>
            </w:pPr>
          </w:p>
        </w:tc>
        <w:tc>
          <w:tcPr>
            <w:tcW w:w="10200" w:type="dxa"/>
            <w:vAlign w:val="bottom"/>
            <w:tcBorders>
              <w:top w:val="single" w:sz="8" w:color="auto"/>
            </w:tcBorders>
            <w:gridSpan w:val="4"/>
          </w:tcPr>
          <w:p>
            <w:pPr>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30"/>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9"/>
                <w:szCs w:val="19"/>
                <w:color w:val="auto"/>
              </w:rPr>
            </w:pPr>
          </w:p>
        </w:tc>
        <w:tc>
          <w:tcPr>
            <w:tcW w:w="10200" w:type="dxa"/>
            <w:vAlign w:val="bottom"/>
            <w:gridSpan w:val="4"/>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194"/>
        </w:trPr>
        <w:tc>
          <w:tcPr>
            <w:tcW w:w="8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6"/>
                <w:szCs w:val="16"/>
                <w:color w:val="auto"/>
              </w:rPr>
            </w:pPr>
          </w:p>
        </w:tc>
        <w:tc>
          <w:tcPr>
            <w:tcW w:w="1010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Certification of Chief Executive Officer Pursuant to 18 U.S.C. Section 1350, as Adopted Pursuant to Section 906 of the Sarbanes-Oxley Act</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39">
              <w:r>
                <w:rPr>
                  <w:rFonts w:ascii="Times New Roman" w:cs="Times New Roman" w:eastAsia="Times New Roman" w:hAnsi="Times New Roman"/>
                  <w:sz w:val="18"/>
                  <w:szCs w:val="18"/>
                  <w:color w:val="0000EE"/>
                  <w:w w:val="96"/>
                </w:rPr>
                <w:t>of 2002.</w:t>
              </w:r>
            </w:hyperlink>
          </w:p>
        </w:tc>
        <w:tc>
          <w:tcPr>
            <w:tcW w:w="96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8"/>
                <w:szCs w:val="18"/>
                <w:color w:val="auto"/>
              </w:rPr>
            </w:pPr>
          </w:p>
        </w:tc>
        <w:tc>
          <w:tcPr>
            <w:tcW w:w="10200" w:type="dxa"/>
            <w:vAlign w:val="bottom"/>
            <w:gridSpan w:val="4"/>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40">
              <w:r>
                <w:rPr>
                  <w:rFonts w:ascii="Times New Roman" w:cs="Times New Roman" w:eastAsia="Times New Roman" w:hAnsi="Times New Roman"/>
                  <w:sz w:val="18"/>
                  <w:szCs w:val="18"/>
                  <w:color w:val="0000EE"/>
                  <w:w w:val="96"/>
                </w:rPr>
                <w:t>of 2002.</w:t>
              </w:r>
            </w:hyperlink>
          </w:p>
        </w:tc>
        <w:tc>
          <w:tcPr>
            <w:tcW w:w="9440" w:type="dxa"/>
            <w:vAlign w:val="bottom"/>
            <w:tcBorders>
              <w:top w:val="single" w:sz="8" w:color="0000EE"/>
            </w:tcBorders>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iXBRL tags are embedded</w:t>
            </w:r>
          </w:p>
        </w:tc>
        <w:tc>
          <w:tcPr>
            <w:tcW w:w="0" w:type="dxa"/>
            <w:vAlign w:val="bottom"/>
          </w:tcPr>
          <w:p>
            <w:pPr>
              <w:spacing w:after="0"/>
              <w:rPr>
                <w:sz w:val="1"/>
                <w:szCs w:val="1"/>
                <w:color w:val="auto"/>
              </w:rPr>
            </w:pPr>
          </w:p>
        </w:tc>
      </w:tr>
      <w:tr>
        <w:trPr>
          <w:trHeight w:val="229"/>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1"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0" w:lineRule="exact"/>
        <w:rPr>
          <w:sz w:val="20"/>
          <w:szCs w:val="20"/>
          <w:color w:val="auto"/>
        </w:rPr>
      </w:pPr>
    </w:p>
    <w:p>
      <w:pPr>
        <w:ind w:left="500" w:right="140" w:hanging="492"/>
        <w:spacing w:after="0" w:line="261"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Pr>
          <w:p>
            <w:pPr>
              <w:spacing w:after="0"/>
              <w:rPr>
                <w:sz w:val="19"/>
                <w:szCs w:val="19"/>
                <w:color w:val="auto"/>
              </w:rPr>
            </w:pPr>
          </w:p>
        </w:tc>
        <w:tc>
          <w:tcPr>
            <w:tcW w:w="7580" w:type="dxa"/>
            <w:vAlign w:val="bottom"/>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NEURONETICS, INC.</w:t>
            </w:r>
          </w:p>
        </w:tc>
      </w:tr>
      <w:tr>
        <w:trPr>
          <w:trHeight w:val="234"/>
        </w:trPr>
        <w:tc>
          <w:tcPr>
            <w:tcW w:w="3660" w:type="dxa"/>
            <w:vAlign w:val="bottom"/>
          </w:tcPr>
          <w:p>
            <w:pPr>
              <w:spacing w:after="0"/>
              <w:rPr>
                <w:sz w:val="20"/>
                <w:szCs w:val="20"/>
                <w:color w:val="auto"/>
              </w:rPr>
            </w:pPr>
          </w:p>
        </w:tc>
        <w:tc>
          <w:tcPr>
            <w:tcW w:w="758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34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J. Sullivan</w:t>
            </w:r>
          </w:p>
        </w:tc>
      </w:tr>
      <w:tr>
        <w:trPr>
          <w:trHeight w:val="191"/>
        </w:trPr>
        <w:tc>
          <w:tcPr>
            <w:tcW w:w="3660" w:type="dxa"/>
            <w:vAlign w:val="bottom"/>
          </w:tcPr>
          <w:p>
            <w:pPr>
              <w:spacing w:after="0"/>
              <w:rPr>
                <w:sz w:val="16"/>
                <w:szCs w:val="16"/>
                <w:color w:val="auto"/>
              </w:rPr>
            </w:pPr>
          </w:p>
        </w:tc>
        <w:tc>
          <w:tcPr>
            <w:tcW w:w="3460" w:type="dxa"/>
            <w:vAlign w:val="bottom"/>
          </w:tcPr>
          <w:p>
            <w:pPr>
              <w:ind w:left="2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J. Sullivan</w:t>
            </w:r>
          </w:p>
        </w:tc>
      </w:tr>
      <w:tr>
        <w:trPr>
          <w:trHeight w:val="216"/>
        </w:trPr>
        <w:tc>
          <w:tcPr>
            <w:tcW w:w="3660" w:type="dxa"/>
            <w:vAlign w:val="bottom"/>
          </w:tcPr>
          <w:p>
            <w:pPr>
              <w:spacing w:after="0"/>
              <w:rPr>
                <w:sz w:val="18"/>
                <w:szCs w:val="18"/>
                <w:color w:val="auto"/>
              </w:rPr>
            </w:pPr>
          </w:p>
        </w:tc>
        <w:tc>
          <w:tcPr>
            <w:tcW w:w="34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34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Furlong</w:t>
            </w:r>
          </w:p>
        </w:tc>
      </w:tr>
      <w:tr>
        <w:trPr>
          <w:trHeight w:val="191"/>
        </w:trPr>
        <w:tc>
          <w:tcPr>
            <w:tcW w:w="3660" w:type="dxa"/>
            <w:vAlign w:val="bottom"/>
          </w:tcPr>
          <w:p>
            <w:pPr>
              <w:spacing w:after="0"/>
              <w:rPr>
                <w:sz w:val="16"/>
                <w:szCs w:val="16"/>
                <w:color w:val="auto"/>
              </w:rPr>
            </w:pPr>
          </w:p>
        </w:tc>
        <w:tc>
          <w:tcPr>
            <w:tcW w:w="3460" w:type="dxa"/>
            <w:vAlign w:val="bottom"/>
          </w:tcPr>
          <w:p>
            <w:pPr>
              <w:ind w:left="26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Furlong</w:t>
            </w:r>
          </w:p>
        </w:tc>
      </w:tr>
      <w:tr>
        <w:trPr>
          <w:trHeight w:val="216"/>
        </w:trPr>
        <w:tc>
          <w:tcPr>
            <w:tcW w:w="3660" w:type="dxa"/>
            <w:vAlign w:val="bottom"/>
          </w:tcPr>
          <w:p>
            <w:pPr>
              <w:spacing w:after="0"/>
              <w:rPr>
                <w:sz w:val="18"/>
                <w:szCs w:val="18"/>
                <w:color w:val="auto"/>
              </w:rPr>
            </w:pPr>
          </w:p>
        </w:tc>
        <w:tc>
          <w:tcPr>
            <w:tcW w:w="346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VP, Finance and Chief Financial Officer</w:t>
            </w:r>
          </w:p>
        </w:tc>
      </w:tr>
      <w:tr>
        <w:trPr>
          <w:trHeight w:val="234"/>
        </w:trPr>
        <w:tc>
          <w:tcPr>
            <w:tcW w:w="3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02"/>
        </w:trPr>
        <w:tc>
          <w:tcPr>
            <w:tcW w:w="3660" w:type="dxa"/>
            <w:vAlign w:val="bottom"/>
          </w:tcPr>
          <w:p>
            <w:pPr>
              <w:spacing w:after="0"/>
              <w:rPr>
                <w:sz w:val="24"/>
                <w:szCs w:val="24"/>
                <w:color w:val="auto"/>
              </w:rPr>
            </w:pPr>
          </w:p>
        </w:tc>
        <w:tc>
          <w:tcPr>
            <w:tcW w:w="34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36</w:t>
            </w:r>
          </w:p>
        </w:tc>
        <w:tc>
          <w:tcPr>
            <w:tcW w:w="412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J. Sullivan, certify that:</w:t>
      </w:r>
    </w:p>
    <w:p>
      <w:pPr>
        <w:spacing w:after="0" w:line="117" w:lineRule="exact"/>
        <w:rPr>
          <w:sz w:val="20"/>
          <w:szCs w:val="20"/>
          <w:color w:val="auto"/>
        </w:rPr>
      </w:pPr>
    </w:p>
    <w:p>
      <w:pPr>
        <w:ind w:left="900" w:hanging="892"/>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Neuronetics, Inc.;</w:t>
      </w:r>
    </w:p>
    <w:p>
      <w:pPr>
        <w:spacing w:after="0" w:line="117" w:lineRule="exact"/>
        <w:rPr>
          <w:rFonts w:ascii="Times New Roman" w:cs="Times New Roman" w:eastAsia="Times New Roman" w:hAnsi="Times New Roman"/>
          <w:sz w:val="18"/>
          <w:szCs w:val="18"/>
          <w:color w:val="auto"/>
        </w:rPr>
      </w:pPr>
    </w:p>
    <w:p>
      <w:pPr>
        <w:jc w:val="both"/>
        <w:ind w:left="900" w:hanging="892"/>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jc w:val="both"/>
        <w:ind w:left="1800" w:hanging="901"/>
        <w:spacing w:after="0" w:line="266"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800" w:right="20" w:hanging="901"/>
        <w:spacing w:after="0" w:line="266"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800" w:hanging="901"/>
        <w:spacing w:after="0" w:line="266"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800" w:hanging="901"/>
        <w:spacing w:after="0" w:line="266"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hanging="901"/>
        <w:spacing w:after="0" w:line="282"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800" w:hanging="901"/>
        <w:spacing w:after="0" w:line="282"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J. Sullivan</w:t>
            </w:r>
          </w:p>
        </w:tc>
      </w:tr>
      <w:tr>
        <w:trPr>
          <w:trHeight w:val="191"/>
        </w:trPr>
        <w:tc>
          <w:tcPr>
            <w:tcW w:w="3420" w:type="dxa"/>
            <w:vAlign w:val="bottom"/>
          </w:tcPr>
          <w:p>
            <w:pPr>
              <w:spacing w:after="0"/>
              <w:rPr>
                <w:sz w:val="16"/>
                <w:szCs w:val="16"/>
                <w:color w:val="auto"/>
              </w:rPr>
            </w:pPr>
          </w:p>
        </w:tc>
        <w:tc>
          <w:tcPr>
            <w:tcW w:w="2380" w:type="dxa"/>
            <w:vAlign w:val="bottom"/>
          </w:tcPr>
          <w:p>
            <w:pPr>
              <w:ind w:left="1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Keith J. Sullivan</w:t>
            </w:r>
          </w:p>
        </w:tc>
      </w:tr>
      <w:tr>
        <w:trPr>
          <w:trHeight w:val="216"/>
        </w:trPr>
        <w:tc>
          <w:tcPr>
            <w:tcW w:w="3420" w:type="dxa"/>
            <w:vAlign w:val="bottom"/>
          </w:tcPr>
          <w:p>
            <w:pPr>
              <w:spacing w:after="0"/>
              <w:rPr>
                <w:sz w:val="18"/>
                <w:szCs w:val="18"/>
                <w:color w:val="auto"/>
              </w:rPr>
            </w:pP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4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Furlong, certify that:</w:t>
      </w:r>
    </w:p>
    <w:p>
      <w:pPr>
        <w:spacing w:after="0" w:line="117" w:lineRule="exact"/>
        <w:rPr>
          <w:sz w:val="20"/>
          <w:szCs w:val="20"/>
          <w:color w:val="auto"/>
        </w:rPr>
      </w:pPr>
    </w:p>
    <w:p>
      <w:pPr>
        <w:ind w:left="900" w:hanging="892"/>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10-Q of Neuronetics, Inc.;</w:t>
      </w:r>
    </w:p>
    <w:p>
      <w:pPr>
        <w:spacing w:after="0" w:line="117" w:lineRule="exact"/>
        <w:rPr>
          <w:rFonts w:ascii="Times New Roman" w:cs="Times New Roman" w:eastAsia="Times New Roman" w:hAnsi="Times New Roman"/>
          <w:sz w:val="18"/>
          <w:szCs w:val="18"/>
          <w:color w:val="auto"/>
        </w:rPr>
      </w:pPr>
    </w:p>
    <w:p>
      <w:pPr>
        <w:jc w:val="both"/>
        <w:ind w:left="900" w:hanging="892"/>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900" w:hanging="892"/>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jc w:val="both"/>
        <w:ind w:left="1800" w:hanging="901"/>
        <w:spacing w:after="0" w:line="266" w:lineRule="auto"/>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800" w:right="20" w:hanging="901"/>
        <w:spacing w:after="0" w:line="266" w:lineRule="auto"/>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800" w:hanging="901"/>
        <w:spacing w:after="0" w:line="266" w:lineRule="auto"/>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800" w:hanging="901"/>
        <w:spacing w:after="0" w:line="266" w:lineRule="auto"/>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800" w:hanging="901"/>
        <w:spacing w:after="0" w:line="282" w:lineRule="auto"/>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800" w:hanging="901"/>
        <w:spacing w:after="0" w:line="282" w:lineRule="auto"/>
        <w:tabs>
          <w:tab w:leader="none" w:pos="18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Furlong</w:t>
            </w:r>
          </w:p>
        </w:tc>
      </w:tr>
      <w:tr>
        <w:trPr>
          <w:trHeight w:val="191"/>
        </w:trPr>
        <w:tc>
          <w:tcPr>
            <w:tcW w:w="3420" w:type="dxa"/>
            <w:vAlign w:val="bottom"/>
          </w:tcPr>
          <w:p>
            <w:pPr>
              <w:spacing w:after="0"/>
              <w:rPr>
                <w:sz w:val="16"/>
                <w:szCs w:val="16"/>
                <w:color w:val="auto"/>
              </w:rPr>
            </w:pPr>
          </w:p>
        </w:tc>
        <w:tc>
          <w:tcPr>
            <w:tcW w:w="2380" w:type="dxa"/>
            <w:vAlign w:val="bottom"/>
          </w:tcPr>
          <w:p>
            <w:pPr>
              <w:ind w:left="16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Furlong</w:t>
            </w:r>
          </w:p>
        </w:tc>
      </w:tr>
      <w:tr>
        <w:trPr>
          <w:trHeight w:val="216"/>
        </w:trPr>
        <w:tc>
          <w:tcPr>
            <w:tcW w:w="3420" w:type="dxa"/>
            <w:vAlign w:val="bottom"/>
          </w:tcPr>
          <w:p>
            <w:pPr>
              <w:spacing w:after="0"/>
              <w:rPr>
                <w:sz w:val="18"/>
                <w:szCs w:val="18"/>
                <w:color w:val="auto"/>
              </w:rPr>
            </w:pPr>
          </w:p>
        </w:tc>
        <w:tc>
          <w:tcPr>
            <w:tcW w:w="2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Title:</w:t>
            </w: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VP, Finance, Chief Financial Officer and Member of the Office of the</w:t>
            </w:r>
          </w:p>
        </w:tc>
      </w:tr>
      <w:tr>
        <w:trPr>
          <w:trHeight w:val="216"/>
        </w:trPr>
        <w:tc>
          <w:tcPr>
            <w:tcW w:w="34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34"/>
        </w:trPr>
        <w:tc>
          <w:tcPr>
            <w:tcW w:w="3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34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Neuronetics, Inc. (the “Company”) for the fiscal quarter ended September 30, 2020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20" w:hanging="442"/>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2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J. Sullivan</w:t>
            </w:r>
          </w:p>
        </w:tc>
      </w:tr>
      <w:tr>
        <w:trPr>
          <w:trHeight w:val="182"/>
        </w:trPr>
        <w:tc>
          <w:tcPr>
            <w:tcW w:w="3980" w:type="dxa"/>
            <w:vAlign w:val="bottom"/>
          </w:tcPr>
          <w:p>
            <w:pPr>
              <w:spacing w:after="0"/>
              <w:rPr>
                <w:sz w:val="15"/>
                <w:szCs w:val="15"/>
                <w:color w:val="auto"/>
              </w:rPr>
            </w:pPr>
          </w:p>
        </w:tc>
        <w:tc>
          <w:tcPr>
            <w:tcW w:w="2880" w:type="dxa"/>
            <w:vAlign w:val="bottom"/>
          </w:tcPr>
          <w:p>
            <w:pPr>
              <w:ind w:left="2220"/>
              <w:spacing w:after="0" w:line="182"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Keith J. Sullivan</w:t>
            </w:r>
          </w:p>
        </w:tc>
      </w:tr>
      <w:tr>
        <w:trPr>
          <w:trHeight w:val="243"/>
        </w:trPr>
        <w:tc>
          <w:tcPr>
            <w:tcW w:w="3980" w:type="dxa"/>
            <w:vAlign w:val="bottom"/>
          </w:tcPr>
          <w:p>
            <w:pPr>
              <w:spacing w:after="0"/>
              <w:rPr>
                <w:sz w:val="21"/>
                <w:szCs w:val="21"/>
                <w:color w:val="auto"/>
              </w:rPr>
            </w:pPr>
          </w:p>
        </w:tc>
        <w:tc>
          <w:tcPr>
            <w:tcW w:w="2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President and Chief Executive Officer(Principal</w:t>
            </w:r>
          </w:p>
        </w:tc>
      </w:tr>
      <w:tr>
        <w:trPr>
          <w:trHeight w:val="282"/>
        </w:trPr>
        <w:tc>
          <w:tcPr>
            <w:tcW w:w="3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Executive Officer)</w:t>
            </w:r>
          </w:p>
        </w:tc>
      </w:tr>
    </w:tbl>
    <w:p>
      <w:pPr>
        <w:sectPr>
          <w:pgSz w:w="11900" w:h="16838" w:orient="portrait"/>
          <w:cols w:equalWidth="0" w:num="1">
            <w:col w:w="11240"/>
          </w:cols>
          <w:pgMar w:left="320" w:top="34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86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Neuronetics, Inc. (the “Company”) for the fiscal quarter ended September 30, 2020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420" w:hanging="442"/>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2020</w:t>
            </w:r>
          </w:p>
        </w:tc>
        <w:tc>
          <w:tcPr>
            <w:tcW w:w="2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Furlong</w:t>
            </w:r>
          </w:p>
        </w:tc>
      </w:tr>
      <w:tr>
        <w:trPr>
          <w:trHeight w:val="182"/>
        </w:trPr>
        <w:tc>
          <w:tcPr>
            <w:tcW w:w="3980" w:type="dxa"/>
            <w:vAlign w:val="bottom"/>
          </w:tcPr>
          <w:p>
            <w:pPr>
              <w:spacing w:after="0"/>
              <w:rPr>
                <w:sz w:val="15"/>
                <w:szCs w:val="15"/>
                <w:color w:val="auto"/>
              </w:rPr>
            </w:pPr>
          </w:p>
        </w:tc>
        <w:tc>
          <w:tcPr>
            <w:tcW w:w="2880" w:type="dxa"/>
            <w:vAlign w:val="bottom"/>
          </w:tcPr>
          <w:p>
            <w:pPr>
              <w:ind w:left="2220"/>
              <w:spacing w:after="0" w:line="182"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Stephen Furlong</w:t>
            </w:r>
          </w:p>
        </w:tc>
      </w:tr>
      <w:tr>
        <w:trPr>
          <w:trHeight w:val="243"/>
        </w:trPr>
        <w:tc>
          <w:tcPr>
            <w:tcW w:w="3980" w:type="dxa"/>
            <w:vAlign w:val="bottom"/>
          </w:tcPr>
          <w:p>
            <w:pPr>
              <w:spacing w:after="0"/>
              <w:rPr>
                <w:sz w:val="21"/>
                <w:szCs w:val="21"/>
                <w:color w:val="auto"/>
              </w:rPr>
            </w:pPr>
          </w:p>
        </w:tc>
        <w:tc>
          <w:tcPr>
            <w:tcW w:w="28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VP, Finance, Chief Financial Officer and Member</w:t>
            </w:r>
          </w:p>
        </w:tc>
      </w:tr>
      <w:tr>
        <w:trPr>
          <w:trHeight w:val="243"/>
        </w:trPr>
        <w:tc>
          <w:tcPr>
            <w:tcW w:w="39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of the Office of the President(Principal Financial</w:t>
            </w:r>
          </w:p>
        </w:tc>
      </w:tr>
      <w:tr>
        <w:trPr>
          <w:trHeight w:val="282"/>
        </w:trPr>
        <w:tc>
          <w:tcPr>
            <w:tcW w:w="39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22"/>
                <w:szCs w:val="22"/>
                <w:color w:val="auto"/>
              </w:rPr>
              <w:t>and Accounting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lowerRoman"/>
      <w:start w:val="1"/>
    </w:lvl>
  </w:abstractNum>
  <w:abstractNum w:abstractNumId="12">
    <w:nsid w:val="7C83E458"/>
    <w:multiLevelType w:val="hybridMultilevel"/>
    <w:lvl w:ilvl="0">
      <w:lvlJc w:val="left"/>
      <w:lvlText w:val="%1."/>
      <w:numFmt w:val="decimal"/>
      <w:start w:val="13"/>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6"/>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lowerRoman"/>
      <w:start w:val="2"/>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2020-11-02T16:04:02Z</dcterms:created>
  <dcterms:modified xsi:type="dcterms:W3CDTF">2020-11-02T16:04:02Z</dcterms:modified>
</cp:coreProperties>
</file>