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Naor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NEURONETICS,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3222 PHOENIXVILLE PIKE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Neuronetics, Inc.</w:t>
              </w:r>
            </w:hyperlink>
            <w:r>
              <w:rPr/>
              <w:t xml:space="preserve"> [ </w:t>
            </w:r>
            <w:r>
              <w:rPr>
                <w:rFonts w:ascii="Times;serif" w:hAnsi="Times;serif"/>
                <w:color w:val="0000FF"/>
                <w:sz w:val="24"/>
                <w:shd w:fill="FFFFFF" w:val="clear"/>
              </w:rPr>
              <w:t>STIM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CFO &amp;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500,000</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unit ("RSU") award that vests in four equal installments beginning on July 23, 2027, in each case subject to the Reporting Person's continuous employment with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Devine,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2278" TargetMode="External"/><Relationship Id="rId5" Type="http://schemas.openxmlformats.org/officeDocument/2006/relationships/hyperlink" Target="http://www.sec.gov/cgi-bin/browse-edgar?action=getcompany&amp;CIK=00012276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3348</Characters>
  <CharactersWithSpaces>3895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