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4528003stim_08172026.xml.htm"/>
      <w:bookmarkStart w:id="1" w:name="ksform414528003stim_0817202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Chernett Jorey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6222 INDIANWOOD TR.</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BLOOMFIELD HILLS</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48301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Neuronetics, Inc.</w:t>
              </w:r>
            </w:hyperlink>
            <w:r>
              <w:rPr/>
              <w:t xml:space="preserve"> [ </w:t>
            </w:r>
            <w:r>
              <w:rPr>
                <w:rFonts w:ascii="Times;serif" w:hAnsi="Times;serif"/>
                <w:color w:val="0000FF"/>
                <w:sz w:val="24"/>
                <w:shd w:fill="FFFFFF" w:val="clear"/>
              </w:rPr>
              <w:t>STIM</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08/13/2026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68"/>
        <w:gridCol w:w="902"/>
        <w:gridCol w:w="772"/>
        <w:gridCol w:w="599"/>
        <w:gridCol w:w="344"/>
        <w:gridCol w:w="920"/>
        <w:gridCol w:w="443"/>
        <w:gridCol w:w="705"/>
        <w:gridCol w:w="1352"/>
        <w:gridCol w:w="984"/>
        <w:gridCol w:w="91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6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14,000</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3.16</w:t>
            </w:r>
            <w:r>
              <w:rPr>
                <w:rFonts w:ascii="Times;serif" w:hAnsi="Times;serif"/>
                <w:color w:val="008000"/>
                <w:position w:val="7"/>
                <w:sz w:val="16"/>
                <w:sz w:val="20"/>
                <w:shd w:fill="FFFFFF" w:val="clear"/>
              </w:rPr>
              <w:t>(1)</w:t>
            </w:r>
          </w:p>
        </w:tc>
        <w:tc>
          <w:tcPr>
            <w:tcW w:w="13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10,602,988</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3" w:type="dxa"/>
        <w:jc w:val="left"/>
        <w:tblInd w:w="-7" w:type="dxa"/>
        <w:tblLayout w:type="fixed"/>
        <w:tblCellMar>
          <w:top w:w="60" w:type="dxa"/>
          <w:left w:w="60" w:type="dxa"/>
          <w:bottom w:w="60" w:type="dxa"/>
          <w:right w:w="60" w:type="dxa"/>
        </w:tblCellMar>
      </w:tblPr>
      <w:tblGrid>
        <w:gridCol w:w="935"/>
        <w:gridCol w:w="861"/>
        <w:gridCol w:w="891"/>
        <w:gridCol w:w="771"/>
        <w:gridCol w:w="591"/>
        <w:gridCol w:w="300"/>
        <w:gridCol w:w="302"/>
        <w:gridCol w:w="499"/>
        <w:gridCol w:w="906"/>
        <w:gridCol w:w="801"/>
        <w:gridCol w:w="891"/>
        <w:gridCol w:w="801"/>
        <w:gridCol w:w="801"/>
        <w:gridCol w:w="936"/>
        <w:gridCol w:w="831"/>
        <w:gridCol w:w="846"/>
      </w:tblGrid>
      <w:tr>
        <w:trPr>
          <w:tblHeader w:val="true"/>
        </w:trPr>
        <w:tc>
          <w:tcPr>
            <w:tcW w:w="1196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30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9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Call Option (STIM 19FEB27 $5C)</w:t>
            </w:r>
            <w:r>
              <w:rPr>
                <w:rFonts w:ascii="Times;serif" w:hAnsi="Times;serif"/>
                <w:color w:val="008000"/>
                <w:position w:val="7"/>
                <w:sz w:val="16"/>
                <w:sz w:val="20"/>
                <w:shd w:fill="FFFFFF" w:val="clear"/>
              </w:rPr>
              <w:t>(2)</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08/13/2026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02/19/2027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3.21</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rounded to the nearest cent. These shares were purchased in multiple transactions at prices ranging from $3.13 tgo $3.17 rounded to the nearest cent, inclusive. Mr. Chernett undertakes to provide the Issuer and any security holder of the Issuer, or the staff of the Securities and Exchange Commission, upon request, full information regarding the number of shares purchased at each separate price such shares were purchased.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sale of these call options is a matchable transaction subject to Section 16(b) of the Securities Exchange Act of 1934. The reporting person has calculated a short-swing profit in connection with such matchable transactions, which the reporting person intends to disgorge to the Issuer.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Jorey Chernett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42077" TargetMode="External"/><Relationship Id="rId5" Type="http://schemas.openxmlformats.org/officeDocument/2006/relationships/hyperlink" Target="http://www.sec.gov/cgi-bin/browse-edgar?action=getcompany&amp;CIK=000122763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698</Words>
  <Characters>3789</Characters>
  <CharactersWithSpaces>4408</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