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tim-20260630x10q.htm"/>
        <w:bookmarkStart w:id="1" w:name="ksstim20260630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bookmarkStart w:id="2" w:name="_99aae979_d1e2_494c_860b_213577373e5e"/>
      <w:bookmarkEnd w:id="2"/>
      <w:r>
        <w:rPr>
          <w:rFonts w:ascii="Arial;Helvetica;sans-serif" w:hAnsi="Arial;Helvetica;sans-serif"/>
          <w:b/>
          <w:sz w:val="22"/>
        </w:rPr>
        <w:t>UNITED STATES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00"/>
        <w:ind w:left="0" w:right="0" w:hanging="0"/>
        <w:jc w:val="center"/>
        <w:rPr>
          <w:rFonts w:ascii="Arial;Helvetica;sans-serif" w:hAnsi="Arial;Helvetica;sans-serif"/>
          <w:b/>
          <w:sz w:val="22"/>
        </w:rPr>
      </w:pPr>
      <w:r>
        <w:rPr>
          <w:rFonts w:ascii="Arial;Helvetica;sans-serif" w:hAnsi="Arial;Helvetica;sans-serif"/>
          <w:b/>
          <w:sz w:val="22"/>
        </w:rPr>
        <w:t>FORM 10-Q</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00"/>
              <w:jc w:val="left"/>
              <w:rPr/>
            </w:pPr>
            <w:r>
              <w:rPr/>
              <w:t>☒</w:t>
            </w:r>
          </w:p>
        </w:tc>
        <w:tc>
          <w:tcPr>
            <w:tcW w:w="9874" w:type="dxa"/>
            <w:tcBorders/>
            <w:vAlign w:val="center"/>
          </w:tcPr>
          <w:p>
            <w:pPr>
              <w:pStyle w:val="TableContents"/>
              <w:bidi w:val="0"/>
              <w:spacing w:before="0" w:after="100"/>
              <w:jc w:val="left"/>
              <w:rPr>
                <w:rFonts w:ascii="Arial;Helvetica;sans-serif" w:hAnsi="Arial;Helvetica;sans-serif"/>
                <w:sz w:val="16"/>
              </w:rPr>
            </w:pPr>
            <w:r>
              <w:rPr>
                <w:rFonts w:ascii="Arial;Helvetica;sans-serif" w:hAnsi="Arial;Helvetica;sans-serif"/>
                <w:sz w:val="16"/>
              </w:rPr>
              <w:t>QUARTERLY REPORT PURSUANT TO SECTION 13 OR 15(d) OF THE SECURITIES EXCHANGE ACT OF 1934 for the quarterly period ended June 30, 2026</w:t>
            </w:r>
          </w:p>
        </w:tc>
      </w:tr>
    </w:tbl>
    <w:p>
      <w:pPr>
        <w:pStyle w:val="TextBody"/>
        <w:bidi w:val="0"/>
        <w:spacing w:before="0" w:after="100"/>
        <w:ind w:left="0" w:right="0" w:hanging="0"/>
        <w:jc w:val="center"/>
        <w:rPr>
          <w:rFonts w:ascii="Arial;Helvetica;sans-serif" w:hAnsi="Arial;Helvetica;sans-serif"/>
          <w:sz w:val="16"/>
        </w:rPr>
      </w:pPr>
      <w:r>
        <w:rPr>
          <w:rFonts w:ascii="Arial;Helvetica;sans-serif" w:hAnsi="Arial;Helvetica;sans-serif"/>
          <w:sz w:val="16"/>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40"/>
              <w:jc w:val="left"/>
              <w:rPr/>
            </w:pPr>
            <w:r>
              <w:rPr/>
              <w:t>☐</w:t>
            </w:r>
          </w:p>
        </w:tc>
        <w:tc>
          <w:tcPr>
            <w:tcW w:w="9874"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TRANSITION REPORT PURSUANT TO SECTION 13 OR 15(d) OF THE SECURITIES EXCHANGE ACT OF 1934 For the transition period from _______ to _______</w:t>
            </w:r>
          </w:p>
        </w:tc>
      </w:tr>
    </w:tbl>
    <w:p>
      <w:pPr>
        <w:pStyle w:val="TextBody"/>
        <w:bidi w:val="0"/>
        <w:spacing w:before="0" w:after="100"/>
        <w:ind w:left="0" w:right="0" w:hanging="0"/>
        <w:jc w:val="center"/>
        <w:rPr>
          <w:rFonts w:ascii="Arial;Helvetica;sans-serif" w:hAnsi="Arial;Helvetica;sans-serif"/>
          <w:sz w:val="20"/>
        </w:rPr>
      </w:pPr>
      <w:r>
        <w:rPr>
          <w:rFonts w:ascii="Arial;Helvetica;sans-serif" w:hAnsi="Arial;Helvetica;sans-serif"/>
          <w:sz w:val="16"/>
        </w:rPr>
        <w:t xml:space="preserve">Commission File Number: </w:t>
      </w:r>
      <w:r>
        <w:rPr>
          <w:rFonts w:ascii="Arial;Helvetica;sans-serif" w:hAnsi="Arial;Helvetica;sans-serif"/>
          <w:b/>
          <w:sz w:val="16"/>
        </w:rPr>
        <w:t>001-38546</w:t>
      </w:r>
    </w:p>
    <w:p>
      <w:pPr>
        <w:pStyle w:val="TextBody"/>
        <w:bidi w:val="0"/>
        <w:spacing w:before="0" w:after="100"/>
        <w:ind w:left="0" w:right="0" w:hanging="0"/>
        <w:jc w:val="center"/>
        <w:rPr>
          <w:rFonts w:ascii="Arial;Helvetica;sans-serif" w:hAnsi="Arial;Helvetica;sans-serif"/>
          <w:b/>
          <w:sz w:val="42"/>
        </w:rPr>
      </w:pPr>
      <w:r>
        <w:rPr>
          <w:rFonts w:ascii="Arial;Helvetica;sans-serif" w:hAnsi="Arial;Helvetica;sans-serif"/>
          <w:b/>
          <w:sz w:val="42"/>
        </w:rPr>
        <w:t>NEURONETICS, INC.</w:t>
      </w:r>
    </w:p>
    <w:p>
      <w:pPr>
        <w:pStyle w:val="TextBody"/>
        <w:bidi w:val="0"/>
        <w:spacing w:before="0" w:after="100"/>
        <w:ind w:left="0" w:right="0" w:hanging="0"/>
        <w:jc w:val="center"/>
        <w:rPr>
          <w:rFonts w:ascii="Arial;Helvetica;sans-serif" w:hAnsi="Arial;Helvetica;sans-serif"/>
          <w:sz w:val="12"/>
        </w:rPr>
      </w:pPr>
      <w:r>
        <w:rPr>
          <w:rFonts w:ascii="Arial;Helvetica;sans-serif" w:hAnsi="Arial;Helvetica;sans-serif"/>
          <w:sz w:val="12"/>
        </w:rPr>
        <w:t>(Exact name of registrant as specified in its charter)</w:t>
      </w:r>
    </w:p>
    <w:p>
      <w:pPr>
        <w:pStyle w:val="Normal"/>
        <w:bidi w:val="0"/>
        <w:spacing w:before="0" w:after="0"/>
        <w:jc w:val="left"/>
        <w:rPr>
          <w:sz w:val="4"/>
          <w:szCs w:val="4"/>
        </w:rPr>
      </w:pPr>
      <w:r>
        <w:rPr>
          <w:sz w:val="4"/>
          <w:szCs w:val="4"/>
        </w:rPr>
      </w:r>
      <w:bookmarkStart w:id="3" w:name="Tc_C-ggLOxZDkqHGNDrfsMarA_8_0"/>
      <w:bookmarkStart w:id="4" w:name="Tc_IwxBg5WcAkiqOv_BKBDC-A_7_0"/>
      <w:bookmarkStart w:id="5" w:name="Tc_yv6lOwIB7kmnhjHLT2p7_Q_6_1"/>
      <w:bookmarkStart w:id="6" w:name="Tc_y5emRjGB4UONfHnvmeapNA_6_0"/>
      <w:bookmarkStart w:id="7" w:name="Tc_VOjGV8LTrkaIfPQBwCB-tg_5_0"/>
      <w:bookmarkStart w:id="8" w:name="Tc_znyn9pxC90OC9WMl-gH0oQ_3_0"/>
      <w:bookmarkStart w:id="9" w:name="Tc_bNijP8ULmUS1OGFshXduOw_2_1"/>
      <w:bookmarkStart w:id="10" w:name="Tc_NhP89rvUIkKe2pigD_Ln8Q_2_0"/>
      <w:bookmarkStart w:id="11" w:name="_ec82af97_dc44_4c46_9e94_2313c816db73"/>
      <w:bookmarkStart w:id="12" w:name="Tc_C-ggLOxZDkqHGNDrfsMarA_8_0"/>
      <w:bookmarkStart w:id="13" w:name="Tc_IwxBg5WcAkiqOv_BKBDC-A_7_0"/>
      <w:bookmarkStart w:id="14" w:name="Tc_yv6lOwIB7kmnhjHLT2p7_Q_6_1"/>
      <w:bookmarkStart w:id="15" w:name="Tc_y5emRjGB4UONfHnvmeapNA_6_0"/>
      <w:bookmarkStart w:id="16" w:name="Tc_VOjGV8LTrkaIfPQBwCB-tg_5_0"/>
      <w:bookmarkStart w:id="17" w:name="Tc_znyn9pxC90OC9WMl-gH0oQ_3_0"/>
      <w:bookmarkStart w:id="18" w:name="Tc_bNijP8ULmUS1OGFshXduOw_2_1"/>
      <w:bookmarkStart w:id="19" w:name="Tc_NhP89rvUIkKe2pigD_Ln8Q_2_0"/>
      <w:bookmarkStart w:id="20" w:name="_ec82af97_dc44_4c46_9e94_2313c816db73"/>
      <w:bookmarkEnd w:id="12"/>
      <w:bookmarkEnd w:id="13"/>
      <w:bookmarkEnd w:id="14"/>
      <w:bookmarkEnd w:id="15"/>
      <w:bookmarkEnd w:id="16"/>
      <w:bookmarkEnd w:id="17"/>
      <w:bookmarkEnd w:id="18"/>
      <w:bookmarkEnd w:id="19"/>
      <w:bookmarkEnd w:id="20"/>
    </w:p>
    <w:tbl>
      <w:tblPr>
        <w:tblW w:w="4802" w:type="dxa"/>
        <w:jc w:val="left"/>
        <w:tblInd w:w="0" w:type="dxa"/>
        <w:tblLayout w:type="fixed"/>
        <w:tblCellMar>
          <w:top w:w="0" w:type="dxa"/>
          <w:left w:w="0" w:type="dxa"/>
          <w:bottom w:w="0" w:type="dxa"/>
          <w:right w:w="0" w:type="dxa"/>
        </w:tblCellMar>
      </w:tblPr>
      <w:tblGrid>
        <w:gridCol w:w="2881"/>
        <w:gridCol w:w="1921"/>
      </w:tblGrid>
      <w:tr>
        <w:trPr/>
        <w:tc>
          <w:tcPr>
            <w:tcW w:w="2881"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19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33-1051425</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(State or other jurisdiction of</w:t>
            </w:r>
          </w:p>
        </w:tc>
        <w:tc>
          <w:tcPr>
            <w:tcW w:w="192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(I.R.S. Employer Identification No.)</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incorporation or organization)</w:t>
            </w:r>
          </w:p>
        </w:tc>
        <w:tc>
          <w:tcPr>
            <w:tcW w:w="1921" w:type="dxa"/>
            <w:tcBorders/>
            <w:vAlign w:val="center"/>
          </w:tcPr>
          <w:p>
            <w:pPr>
              <w:pStyle w:val="TableContents"/>
              <w:bidi w:val="0"/>
              <w:spacing w:before="0" w:after="200"/>
              <w:ind w:left="0" w:right="0" w:hanging="0"/>
              <w:jc w:val="center"/>
              <w:rPr/>
            </w:pPr>
            <w:r>
              <w:rPr/>
              <w:t>​</w:t>
            </w:r>
          </w:p>
        </w:tc>
      </w:tr>
      <w:tr>
        <w:trPr/>
        <w:tc>
          <w:tcPr>
            <w:tcW w:w="2881" w:type="dxa"/>
            <w:tcBorders/>
            <w:vAlign w:val="center"/>
          </w:tcPr>
          <w:p>
            <w:pPr>
              <w:pStyle w:val="TableContents"/>
              <w:bidi w:val="0"/>
              <w:spacing w:before="0" w:after="200"/>
              <w:ind w:left="0" w:right="0" w:hanging="0"/>
              <w:jc w:val="center"/>
              <w:rPr/>
            </w:pPr>
            <w:r>
              <w:rPr/>
              <w:t>​</w:t>
            </w:r>
          </w:p>
        </w:tc>
        <w:tc>
          <w:tcPr>
            <w:tcW w:w="1921" w:type="dxa"/>
            <w:tcBorders/>
            <w:vAlign w:val="center"/>
          </w:tcPr>
          <w:p>
            <w:pPr>
              <w:pStyle w:val="TableContents"/>
              <w:bidi w:val="0"/>
              <w:spacing w:before="0" w:after="200"/>
              <w:ind w:left="0" w:right="0" w:hanging="0"/>
              <w:jc w:val="center"/>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3222 Phoenixville Pike, Malvern, PA</w:t>
            </w:r>
          </w:p>
        </w:tc>
        <w:tc>
          <w:tcPr>
            <w:tcW w:w="19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19355</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(Address of principal executive offices)</w:t>
            </w:r>
          </w:p>
        </w:tc>
        <w:tc>
          <w:tcPr>
            <w:tcW w:w="192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(Zip Code)</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(877) 600-7555</w:t>
            </w:r>
          </w:p>
        </w:tc>
        <w:tc>
          <w:tcPr>
            <w:tcW w:w="1921" w:type="dxa"/>
            <w:tcBorders/>
            <w:vAlign w:val="center"/>
          </w:tcPr>
          <w:p>
            <w:pPr>
              <w:pStyle w:val="TableContents"/>
              <w:bidi w:val="0"/>
              <w:spacing w:before="0" w:after="200"/>
              <w:ind w:left="0" w:right="0" w:hanging="0"/>
              <w:jc w:val="left"/>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(Registrant’s telephone number, including area code)</w:t>
            </w:r>
          </w:p>
        </w:tc>
        <w:tc>
          <w:tcPr>
            <w:tcW w:w="1921" w:type="dxa"/>
            <w:tcBorders/>
            <w:vAlign w:val="center"/>
          </w:tcPr>
          <w:p>
            <w:pPr>
              <w:pStyle w:val="TableContents"/>
              <w:bidi w:val="0"/>
              <w:spacing w:before="0" w:after="20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Not applicable.</w:t>
      </w:r>
    </w:p>
    <w:p>
      <w:pPr>
        <w:pStyle w:val="TextBody"/>
        <w:bidi w:val="0"/>
        <w:spacing w:before="0" w:after="100"/>
        <w:ind w:left="0" w:right="0" w:hanging="0"/>
        <w:jc w:val="center"/>
        <w:rPr>
          <w:rFonts w:ascii="Arial;Helvetica;sans-serif" w:hAnsi="Arial;Helvetica;sans-serif"/>
          <w:sz w:val="12"/>
        </w:rPr>
      </w:pPr>
      <w:r>
        <w:rPr>
          <w:rFonts w:ascii="Arial;Helvetica;sans-serif" w:hAnsi="Arial;Helvetica;sans-serif"/>
          <w:sz w:val="12"/>
        </w:rPr>
        <w:t>(Former name, former address and former fiscal year, if changed since last report)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1" w:name="Tc_n8IZcg_64kmvhuTROIQQMQ_1_4"/>
      <w:bookmarkStart w:id="22" w:name="Tc_qywHmuyKVE-CGt35tpr9Bg_1_2"/>
      <w:bookmarkStart w:id="23" w:name="Tc_mFbXQuGO40aZ6I7sLMBqsw_1_0"/>
      <w:bookmarkStart w:id="24" w:name="_075b92ff_4e66_4a55_bd6d_9d052ef3f423"/>
      <w:bookmarkStart w:id="25" w:name="Tc_n8IZcg_64kmvhuTROIQQMQ_1_4"/>
      <w:bookmarkStart w:id="26" w:name="Tc_qywHmuyKVE-CGt35tpr9Bg_1_2"/>
      <w:bookmarkStart w:id="27" w:name="Tc_mFbXQuGO40aZ6I7sLMBqsw_1_0"/>
      <w:bookmarkStart w:id="28" w:name="_075b92ff_4e66_4a55_bd6d_9d052ef3f423"/>
      <w:bookmarkEnd w:id="25"/>
      <w:bookmarkEnd w:id="26"/>
      <w:bookmarkEnd w:id="27"/>
      <w:bookmarkEnd w:id="28"/>
    </w:p>
    <w:tbl>
      <w:tblPr>
        <w:tblW w:w="7895" w:type="dxa"/>
        <w:jc w:val="left"/>
        <w:tblInd w:w="0" w:type="dxa"/>
        <w:tblLayout w:type="fixed"/>
        <w:tblCellMar>
          <w:top w:w="0" w:type="dxa"/>
          <w:left w:w="0" w:type="dxa"/>
          <w:bottom w:w="0" w:type="dxa"/>
          <w:right w:w="0" w:type="dxa"/>
        </w:tblCellMar>
      </w:tblPr>
      <w:tblGrid>
        <w:gridCol w:w="2536"/>
        <w:gridCol w:w="346"/>
        <w:gridCol w:w="961"/>
        <w:gridCol w:w="346"/>
        <w:gridCol w:w="3706"/>
      </w:tblGrid>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53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Trading</w:t>
              <w:br/>
              <w:t>Symbol (s)</w:t>
            </w:r>
          </w:p>
        </w:tc>
        <w:tc>
          <w:tcPr>
            <w:tcW w:w="346" w:type="dxa"/>
            <w:tcBorders/>
            <w:vAlign w:val="center"/>
          </w:tcPr>
          <w:p>
            <w:pPr>
              <w:pStyle w:val="TableContents"/>
              <w:bidi w:val="0"/>
              <w:spacing w:before="0" w:after="0"/>
              <w:ind w:left="0" w:right="0" w:hanging="0"/>
              <w:jc w:val="left"/>
              <w:rPr/>
            </w:pPr>
            <w:r>
              <w:rPr/>
              <w:t>  ​ ​ ​</w:t>
            </w:r>
          </w:p>
        </w:tc>
        <w:tc>
          <w:tcPr>
            <w:tcW w:w="370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 on each exchange on which registered</w:t>
            </w:r>
          </w:p>
        </w:tc>
      </w:tr>
      <w:tr>
        <w:trPr/>
        <w:tc>
          <w:tcPr>
            <w:tcW w:w="253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Common Stock ($0.01 par value)</w:t>
            </w:r>
          </w:p>
        </w:tc>
        <w:tc>
          <w:tcPr>
            <w:tcW w:w="346" w:type="dxa"/>
            <w:tcBorders/>
            <w:vAlign w:val="center"/>
          </w:tcPr>
          <w:p>
            <w:pPr>
              <w:pStyle w:val="TableContents"/>
              <w:bidi w:val="0"/>
              <w:spacing w:before="0" w:after="0"/>
              <w:ind w:left="0" w:right="0" w:hanging="0"/>
              <w:jc w:val="left"/>
              <w:rPr/>
            </w:pPr>
            <w:r>
              <w:rPr/>
              <w:t>​</w:t>
            </w:r>
          </w:p>
        </w:tc>
        <w:tc>
          <w:tcPr>
            <w:tcW w:w="96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STIM</w:t>
            </w:r>
          </w:p>
        </w:tc>
        <w:tc>
          <w:tcPr>
            <w:tcW w:w="346" w:type="dxa"/>
            <w:tcBorders/>
            <w:vAlign w:val="center"/>
          </w:tcPr>
          <w:p>
            <w:pPr>
              <w:pStyle w:val="TableContents"/>
              <w:bidi w:val="0"/>
              <w:spacing w:before="0" w:after="0"/>
              <w:ind w:left="0" w:right="0" w:hanging="0"/>
              <w:jc w:val="left"/>
              <w:rPr/>
            </w:pPr>
            <w:r>
              <w:rPr/>
              <w:t>​</w:t>
            </w:r>
          </w:p>
        </w:tc>
        <w:tc>
          <w:tcPr>
            <w:tcW w:w="370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The Nasdaq Global Market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9" w:name="Tc_Gqx8xmFdC0GHQMWGIcCgAQ_3_2"/>
      <w:bookmarkStart w:id="30" w:name="Tc_zAzXghYbd0aHaSmX8G2XWA_2_2"/>
      <w:bookmarkStart w:id="31" w:name="Tc_zhuJMqxFlUGepnk3lfYFzw_2_1"/>
      <w:bookmarkStart w:id="32" w:name="Tc_xnV-VrJ7l0yvtg10w8q1TQ_1_3"/>
      <w:bookmarkStart w:id="33" w:name="Tc_jGpdyDHpO0KpcqIxvm6-7A_1_2"/>
      <w:bookmarkStart w:id="34" w:name="Tc_p50t96Z6L0C9e2FN82ux3A_1_1"/>
      <w:bookmarkStart w:id="35" w:name="Tc_OxjRe8IA_0GqmkDw4EBbKA_1_0"/>
      <w:bookmarkStart w:id="36" w:name="_d60860df_f18c_4bec_9d29_6d5f22c17201"/>
      <w:bookmarkStart w:id="37" w:name="Tc_Gqx8xmFdC0GHQMWGIcCgAQ_3_2"/>
      <w:bookmarkStart w:id="38" w:name="Tc_zAzXghYbd0aHaSmX8G2XWA_2_2"/>
      <w:bookmarkStart w:id="39" w:name="Tc_zhuJMqxFlUGepnk3lfYFzw_2_1"/>
      <w:bookmarkStart w:id="40" w:name="Tc_xnV-VrJ7l0yvtg10w8q1TQ_1_3"/>
      <w:bookmarkStart w:id="41" w:name="Tc_jGpdyDHpO0KpcqIxvm6-7A_1_2"/>
      <w:bookmarkStart w:id="42" w:name="Tc_p50t96Z6L0C9e2FN82ux3A_1_1"/>
      <w:bookmarkStart w:id="43" w:name="Tc_OxjRe8IA_0GqmkDw4EBbKA_1_0"/>
      <w:bookmarkStart w:id="44" w:name="_d60860df_f18c_4bec_9d29_6d5f22c17201"/>
      <w:bookmarkEnd w:id="37"/>
      <w:bookmarkEnd w:id="38"/>
      <w:bookmarkEnd w:id="39"/>
      <w:bookmarkEnd w:id="40"/>
      <w:bookmarkEnd w:id="41"/>
      <w:bookmarkEnd w:id="42"/>
      <w:bookmarkEnd w:id="43"/>
      <w:bookmarkEnd w:id="44"/>
    </w:p>
    <w:tbl>
      <w:tblPr>
        <w:tblW w:w="4474" w:type="dxa"/>
        <w:jc w:val="left"/>
        <w:tblInd w:w="0" w:type="dxa"/>
        <w:tblLayout w:type="fixed"/>
        <w:tblCellMar>
          <w:top w:w="0" w:type="dxa"/>
          <w:left w:w="0" w:type="dxa"/>
          <w:bottom w:w="0" w:type="dxa"/>
          <w:right w:w="0" w:type="dxa"/>
        </w:tblCellMar>
      </w:tblPr>
      <w:tblGrid>
        <w:gridCol w:w="1741"/>
        <w:gridCol w:w="316"/>
        <w:gridCol w:w="205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00"/>
              <w:ind w:left="0" w:right="0" w:hanging="0"/>
              <w:jc w:val="left"/>
              <w:rPr/>
            </w:pPr>
            <w:r>
              <w:rPr/>
              <w:t>​</w:t>
            </w:r>
          </w:p>
        </w:tc>
        <w:tc>
          <w:tcPr>
            <w:tcW w:w="316" w:type="dxa"/>
            <w:tcBorders/>
            <w:vAlign w:val="center"/>
          </w:tcPr>
          <w:p>
            <w:pPr>
              <w:pStyle w:val="TableContents"/>
              <w:bidi w:val="0"/>
              <w:spacing w:before="0" w:after="20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16"/>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16"/>
        </w:rPr>
        <w:t>Indicate by check mark whether the registrant is a shell company (as defined in Rule 12b-2 of the Exchange Act)</w:t>
      </w:r>
      <w:r>
        <w:rPr>
          <w:rFonts w:ascii="Times New Roman;Times;serif" w:hAnsi="Times New Roman;Times;serif"/>
          <w:sz w:val="16"/>
        </w:rPr>
        <w:t xml:space="preserve">.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 xml:space="preserve">☒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There were 76,197,222 shares of the registrant’s common stock outstanding as of August 5, 2026.</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45" w:name="_456bc26e_7a9c_41d9_9bcb_34ada1b919a0"/>
      <w:bookmarkEnd w:id="45"/>
      <w:r>
        <w:rPr>
          <w:rFonts w:ascii="Arial;Helvetica;sans-serif" w:hAnsi="Arial;Helvetica;sans-serif"/>
          <w:b/>
          <w:sz w:val="20"/>
        </w:rPr>
        <w:t>NEURONETICS, INC.</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b/>
          <w:sz w:val="18"/>
        </w:rPr>
        <w:t xml:space="preserve">Quarterly Report on </w:t>
      </w:r>
      <w:r>
        <w:rPr>
          <w:rFonts w:ascii="Arial;Helvetica;sans-serif" w:hAnsi="Arial;Helvetica;sans-serif"/>
          <w:b/>
          <w:sz w:val="20"/>
        </w:rPr>
        <w:t>Form</w:t>
      </w:r>
      <w:r>
        <w:rPr>
          <w:rFonts w:ascii="Arial;Helvetica;sans-serif" w:hAnsi="Arial;Helvetica;sans-serif"/>
          <w:sz w:val="18"/>
        </w:rPr>
        <w:t> </w:t>
      </w:r>
      <w:r>
        <w:rPr>
          <w:rFonts w:ascii="Arial;Helvetica;sans-serif" w:hAnsi="Arial;Helvetica;sans-serif"/>
          <w:b/>
          <w:sz w:val="18"/>
        </w:rPr>
        <w:t>10-Q for the quarterly period ended June 30, 2026</w:t>
      </w:r>
    </w:p>
    <w:p>
      <w:pPr>
        <w:pStyle w:val="TextBody"/>
        <w:bidi w:val="0"/>
        <w:spacing w:before="0" w:after="0"/>
        <w:ind w:left="0" w:right="0" w:hanging="0"/>
        <w:jc w:val="center"/>
        <w:rPr>
          <w:rFonts w:ascii="Arial;Helvetica;sans-serif" w:hAnsi="Arial;Helvetica;sans-serif"/>
          <w:b/>
          <w:sz w:val="18"/>
        </w:rPr>
      </w:pPr>
      <w:bookmarkStart w:id="46" w:name="TOC"/>
      <w:bookmarkEnd w:id="46"/>
      <w:r>
        <w:rPr>
          <w:rFonts w:ascii="Arial;Helvetica;sans-serif" w:hAnsi="Arial;Helvetica;sans-serif"/>
          <w:b/>
          <w:sz w:val="18"/>
        </w:rPr>
        <w:t>Table of Contents</w:t>
      </w:r>
    </w:p>
    <w:p>
      <w:pPr>
        <w:pStyle w:val="TextBody"/>
        <w:bidi w:val="0"/>
        <w:spacing w:before="0" w:after="20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32"/>
        <w:gridCol w:w="8756"/>
        <w:gridCol w:w="617"/>
      </w:tblGrid>
      <w:tr>
        <w:trPr/>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28320" cy="175260"/>
                      <wp:effectExtent l="0" t="0" r="0" b="0"/>
                      <wp:wrapNone/>
                      <wp:docPr id="1" name="Frame1"/>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560060" cy="175260"/>
                      <wp:effectExtent l="0" t="0" r="0" b="0"/>
                      <wp:wrapNone/>
                      <wp:docPr id="2" name="Frame2"/>
                      <a:graphic xmlns:a="http://schemas.openxmlformats.org/drawingml/2006/main">
                        <a:graphicData uri="http://schemas.microsoft.com/office/word/2010/wordprocessingShape">
                          <wps:wsp>
                            <wps:cNvSpPr txBox="1"/>
                            <wps:spPr>
                              <a:xfrm>
                                <a:off x="0" y="0"/>
                                <a:ext cx="556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91795" cy="175260"/>
                      <wp:effectExtent l="0" t="0" r="0" b="0"/>
                      <wp:wrapNone/>
                      <wp:docPr id="3" name="Frame3"/>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88" w:type="dxa"/>
            <w:gridSpan w:val="2"/>
            <w:tcBorders/>
            <w:vAlign w:val="center"/>
          </w:tcPr>
          <w:p>
            <w:pPr>
              <w:pStyle w:val="TableContents"/>
              <w:bidi w:val="0"/>
              <w:spacing w:before="0" w:after="0"/>
              <w:ind w:left="0" w:right="0" w:hanging="0"/>
              <w:jc w:val="center"/>
              <w:rPr/>
            </w:pPr>
            <w:r>
              <w:rPr/>
              <w:t>​</w:t>
            </w:r>
          </w:p>
        </w:tc>
        <w:tc>
          <w:tcPr>
            <w:tcW w:w="617"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127712">
              <w:r>
                <w:rPr>
                  <w:rStyle w:val="InternetLink"/>
                  <w:rFonts w:ascii="Arial;Helvetica;sans-serif" w:hAnsi="Arial;Helvetica;sans-serif"/>
                  <w:b/>
                  <w:i w:val="false"/>
                  <w:caps w:val="false"/>
                  <w:smallCaps w:val="false"/>
                  <w:sz w:val="20"/>
                </w:rPr>
                <w:t>PART I – FINANCIAL INFORMATION</w:t>
              </w:r>
            </w:hyperlink>
          </w:p>
        </w:tc>
      </w:tr>
      <w:tr>
        <w:trPr/>
        <w:tc>
          <w:tcPr>
            <w:tcW w:w="832" w:type="dxa"/>
            <w:tcBorders/>
            <w:vAlign w:val="center"/>
          </w:tcPr>
          <w:p>
            <w:pPr>
              <w:pStyle w:val="TableContents"/>
              <w:bidi w:val="0"/>
              <w:spacing w:before="0" w:after="0"/>
              <w:ind w:left="0" w:right="0" w:hanging="0"/>
              <w:jc w:val="left"/>
              <w:rPr/>
            </w:pPr>
            <w:r>
              <w:rPr/>
              <w:t>​</w:t>
            </w:r>
          </w:p>
        </w:tc>
        <w:tc>
          <w:tcPr>
            <w:tcW w:w="875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r>
      <w:tr>
        <w:trPr/>
        <w:tc>
          <w:tcPr>
            <w:tcW w:w="832" w:type="dxa"/>
            <w:tcBorders/>
            <w:vAlign w:val="center"/>
          </w:tcPr>
          <w:p>
            <w:pPr>
              <w:pStyle w:val="TableContents"/>
              <w:bidi w:val="0"/>
              <w:spacing w:before="0" w:after="0"/>
              <w:ind w:left="0" w:right="0" w:hanging="0"/>
              <w:jc w:val="left"/>
              <w:rPr/>
            </w:pPr>
            <w:hyperlink w:anchor="Item1FinancialStatements_941444">
              <w:r>
                <w:rPr>
                  <w:rStyle w:val="InternetLink"/>
                  <w:rFonts w:ascii="Arial;Helvetica;sans-serif" w:hAnsi="Arial;Helvetica;sans-serif"/>
                  <w:b/>
                  <w:i w:val="false"/>
                  <w:caps w:val="false"/>
                  <w:smallCaps w:val="false"/>
                  <w:sz w:val="20"/>
                </w:rPr>
                <w:t>Item 1.</w:t>
              </w:r>
            </w:hyperlink>
          </w:p>
        </w:tc>
        <w:tc>
          <w:tcPr>
            <w:tcW w:w="8756" w:type="dxa"/>
            <w:tcBorders/>
            <w:vAlign w:val="center"/>
          </w:tcPr>
          <w:p>
            <w:pPr>
              <w:pStyle w:val="TableContents"/>
              <w:bidi w:val="0"/>
              <w:spacing w:before="0" w:after="0"/>
              <w:ind w:left="0" w:right="0" w:hanging="0"/>
              <w:jc w:val="left"/>
              <w:rPr/>
            </w:pPr>
            <w:hyperlink w:anchor="Item1FinancialStatements_941444">
              <w:r>
                <w:rPr>
                  <w:rStyle w:val="InternetLink"/>
                  <w:rFonts w:ascii="Arial;Helvetica;sans-serif" w:hAnsi="Arial;Helvetica;sans-serif"/>
                  <w:b/>
                  <w:i w:val="false"/>
                  <w:caps w:val="false"/>
                  <w:smallCaps w:val="false"/>
                  <w:sz w:val="20"/>
                </w:rPr>
                <w:t>Financial Statements.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32" w:type="dxa"/>
            <w:tcBorders/>
            <w:vAlign w:val="center"/>
          </w:tcPr>
          <w:p>
            <w:pPr>
              <w:pStyle w:val="TableContents"/>
              <w:bidi w:val="0"/>
              <w:spacing w:before="0" w:after="0"/>
              <w:ind w:left="0" w:right="0" w:hanging="0"/>
              <w:jc w:val="left"/>
              <w:rPr/>
            </w:pPr>
            <w:r>
              <w:rPr/>
              <w:t>​</w:t>
            </w:r>
          </w:p>
        </w:tc>
        <w:tc>
          <w:tcPr>
            <w:tcW w:w="8756" w:type="dxa"/>
            <w:tcBorders/>
            <w:vAlign w:val="center"/>
          </w:tcPr>
          <w:p>
            <w:pPr>
              <w:pStyle w:val="TableContents"/>
              <w:bidi w:val="0"/>
              <w:spacing w:before="0" w:after="0"/>
              <w:ind w:left="0" w:right="0" w:hanging="0"/>
              <w:jc w:val="left"/>
              <w:rPr/>
            </w:pPr>
            <w:hyperlink w:anchor="BalanceSheets_181538">
              <w:r>
                <w:rPr>
                  <w:rStyle w:val="InternetLink"/>
                  <w:rFonts w:ascii="Arial;Helvetica;sans-serif" w:hAnsi="Arial;Helvetica;sans-serif"/>
                  <w:b/>
                  <w:i w:val="false"/>
                  <w:caps w:val="false"/>
                  <w:smallCaps w:val="false"/>
                  <w:sz w:val="20"/>
                </w:rPr>
                <w:t>Consolidated Balance Sheets as of June 30, 2026 and December 31, 2025</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32" w:type="dxa"/>
            <w:tcBorders/>
            <w:vAlign w:val="center"/>
          </w:tcPr>
          <w:p>
            <w:pPr>
              <w:pStyle w:val="TableContents"/>
              <w:bidi w:val="0"/>
              <w:spacing w:before="0" w:after="0"/>
              <w:ind w:left="0" w:right="0" w:hanging="0"/>
              <w:jc w:val="left"/>
              <w:rPr/>
            </w:pPr>
            <w:r>
              <w:rPr/>
              <w:t>​</w:t>
            </w:r>
          </w:p>
        </w:tc>
        <w:tc>
          <w:tcPr>
            <w:tcW w:w="8756" w:type="dxa"/>
            <w:tcBorders/>
            <w:vAlign w:val="center"/>
          </w:tcPr>
          <w:p>
            <w:pPr>
              <w:pStyle w:val="TableContents"/>
              <w:bidi w:val="0"/>
              <w:spacing w:before="0" w:after="0"/>
              <w:ind w:left="0" w:right="0" w:hanging="0"/>
              <w:jc w:val="left"/>
              <w:rPr/>
            </w:pPr>
            <w:hyperlink w:anchor="StatementsofOperations_587719">
              <w:r>
                <w:rPr>
                  <w:rStyle w:val="InternetLink"/>
                  <w:rFonts w:ascii="Arial;Helvetica;sans-serif" w:hAnsi="Arial;Helvetica;sans-serif"/>
                  <w:b/>
                  <w:i w:val="false"/>
                  <w:caps w:val="false"/>
                  <w:smallCaps w:val="false"/>
                  <w:sz w:val="20"/>
                </w:rPr>
                <w:t>Consolidated Statements of Operations for the Three and Six Months ended June 30, 2026 and 2025</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w:t>
            </w:r>
          </w:p>
        </w:tc>
      </w:tr>
      <w:tr>
        <w:trPr/>
        <w:tc>
          <w:tcPr>
            <w:tcW w:w="832" w:type="dxa"/>
            <w:tcBorders/>
            <w:vAlign w:val="center"/>
          </w:tcPr>
          <w:p>
            <w:pPr>
              <w:pStyle w:val="TableContents"/>
              <w:bidi w:val="0"/>
              <w:spacing w:before="0" w:after="0"/>
              <w:ind w:left="0" w:right="0" w:hanging="0"/>
              <w:jc w:val="left"/>
              <w:rPr/>
            </w:pPr>
            <w:r>
              <w:rPr/>
              <w:t>​</w:t>
            </w:r>
          </w:p>
        </w:tc>
        <w:tc>
          <w:tcPr>
            <w:tcW w:w="8756" w:type="dxa"/>
            <w:tcBorders/>
            <w:vAlign w:val="center"/>
          </w:tcPr>
          <w:p>
            <w:pPr>
              <w:pStyle w:val="TableContents"/>
              <w:bidi w:val="0"/>
              <w:spacing w:before="0" w:after="0"/>
              <w:ind w:left="0" w:right="0" w:hanging="0"/>
              <w:jc w:val="left"/>
              <w:rPr/>
            </w:pPr>
            <w:hyperlink w:anchor="StatementofChangesinStockholders_240276">
              <w:r>
                <w:rPr>
                  <w:rStyle w:val="InternetLink"/>
                  <w:rFonts w:ascii="Arial;Helvetica;sans-serif" w:hAnsi="Arial;Helvetica;sans-serif"/>
                  <w:b/>
                  <w:i w:val="false"/>
                  <w:caps w:val="false"/>
                  <w:smallCaps w:val="false"/>
                  <w:sz w:val="20"/>
                </w:rPr>
                <w:t>Consolidated Statements of Changes in Equity for the Three and Six Months ended June 30, 2026 and 2025</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w:t>
            </w:r>
          </w:p>
        </w:tc>
      </w:tr>
      <w:tr>
        <w:trPr/>
        <w:tc>
          <w:tcPr>
            <w:tcW w:w="832" w:type="dxa"/>
            <w:tcBorders/>
            <w:vAlign w:val="center"/>
          </w:tcPr>
          <w:p>
            <w:pPr>
              <w:pStyle w:val="TableContents"/>
              <w:bidi w:val="0"/>
              <w:spacing w:before="0" w:after="0"/>
              <w:ind w:left="0" w:right="0" w:hanging="0"/>
              <w:jc w:val="left"/>
              <w:rPr/>
            </w:pPr>
            <w:r>
              <w:rPr/>
              <w:t>​</w:t>
            </w:r>
          </w:p>
        </w:tc>
        <w:tc>
          <w:tcPr>
            <w:tcW w:w="8756" w:type="dxa"/>
            <w:tcBorders/>
            <w:vAlign w:val="center"/>
          </w:tcPr>
          <w:p>
            <w:pPr>
              <w:pStyle w:val="TableContents"/>
              <w:bidi w:val="0"/>
              <w:spacing w:before="0" w:after="0"/>
              <w:ind w:left="0" w:right="0" w:hanging="0"/>
              <w:jc w:val="left"/>
              <w:rPr/>
            </w:pPr>
            <w:hyperlink w:anchor="StatementsofCashFlows_296622">
              <w:r>
                <w:rPr>
                  <w:rStyle w:val="InternetLink"/>
                  <w:rFonts w:ascii="Arial;Helvetica;sans-serif" w:hAnsi="Arial;Helvetica;sans-serif"/>
                  <w:b/>
                  <w:i w:val="false"/>
                  <w:caps w:val="false"/>
                  <w:smallCaps w:val="false"/>
                  <w:sz w:val="20"/>
                </w:rPr>
                <w:t>Consolidated Statements of Cash Flows for the Six Months ended June 30, 2026 and 2025</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6</w:t>
            </w:r>
          </w:p>
        </w:tc>
      </w:tr>
      <w:tr>
        <w:trPr/>
        <w:tc>
          <w:tcPr>
            <w:tcW w:w="832" w:type="dxa"/>
            <w:tcBorders/>
            <w:vAlign w:val="center"/>
          </w:tcPr>
          <w:p>
            <w:pPr>
              <w:pStyle w:val="TableContents"/>
              <w:bidi w:val="0"/>
              <w:spacing w:before="0" w:after="0"/>
              <w:ind w:left="0" w:right="0" w:hanging="0"/>
              <w:jc w:val="left"/>
              <w:rPr/>
            </w:pPr>
            <w:r>
              <w:rPr/>
              <w:t>​</w:t>
            </w:r>
          </w:p>
        </w:tc>
        <w:tc>
          <w:tcPr>
            <w:tcW w:w="8756" w:type="dxa"/>
            <w:tcBorders/>
            <w:vAlign w:val="center"/>
          </w:tcPr>
          <w:p>
            <w:pPr>
              <w:pStyle w:val="TableContents"/>
              <w:bidi w:val="0"/>
              <w:spacing w:before="0" w:after="0"/>
              <w:ind w:left="0" w:right="0" w:hanging="0"/>
              <w:jc w:val="left"/>
              <w:rPr/>
            </w:pPr>
            <w:hyperlink w:anchor="a1DESCRIPTIONOFBUSINESS_936106">
              <w:r>
                <w:rPr>
                  <w:rStyle w:val="InternetLink"/>
                  <w:rFonts w:ascii="Arial;Helvetica;sans-serif" w:hAnsi="Arial;Helvetica;sans-serif"/>
                  <w:b/>
                  <w:i w:val="false"/>
                  <w:caps w:val="false"/>
                  <w:smallCaps w:val="false"/>
                  <w:sz w:val="20"/>
                </w:rPr>
                <w:t>Notes to Interim Consolidated Financial Statements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7</w:t>
            </w:r>
          </w:p>
        </w:tc>
      </w:tr>
      <w:tr>
        <w:trPr/>
        <w:tc>
          <w:tcPr>
            <w:tcW w:w="832" w:type="dxa"/>
            <w:tcBorders/>
            <w:vAlign w:val="center"/>
          </w:tcPr>
          <w:p>
            <w:pPr>
              <w:pStyle w:val="TableContents"/>
              <w:bidi w:val="0"/>
              <w:spacing w:before="0" w:after="0"/>
              <w:ind w:left="0" w:right="0" w:hanging="0"/>
              <w:jc w:val="both"/>
              <w:rPr/>
            </w:pPr>
            <w:hyperlink w:anchor="Item2ManagementsDiscussionandAnalysisofF">
              <w:r>
                <w:rPr>
                  <w:rStyle w:val="InternetLink"/>
                  <w:rFonts w:ascii="Arial;Helvetica;sans-serif" w:hAnsi="Arial;Helvetica;sans-serif"/>
                  <w:b/>
                  <w:i w:val="false"/>
                  <w:caps w:val="false"/>
                  <w:smallCaps w:val="false"/>
                  <w:sz w:val="20"/>
                </w:rPr>
                <w:t>Item 2.</w:t>
              </w:r>
            </w:hyperlink>
          </w:p>
        </w:tc>
        <w:tc>
          <w:tcPr>
            <w:tcW w:w="8756"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i w:val="false"/>
                  <w:caps w:val="false"/>
                  <w:smallCaps w:val="false"/>
                  <w:sz w:val="20"/>
                </w:rPr>
                <w:t>Management’s Discussion and Analysis of Financial Condition and Results of Operations.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27</w:t>
            </w:r>
          </w:p>
        </w:tc>
      </w:tr>
      <w:tr>
        <w:trPr/>
        <w:tc>
          <w:tcPr>
            <w:tcW w:w="832"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i w:val="false"/>
                  <w:caps w:val="false"/>
                  <w:smallCaps w:val="false"/>
                  <w:sz w:val="20"/>
                </w:rPr>
                <w:t>Item 3.</w:t>
              </w:r>
            </w:hyperlink>
          </w:p>
        </w:tc>
        <w:tc>
          <w:tcPr>
            <w:tcW w:w="8756"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i w:val="false"/>
                  <w:caps w:val="false"/>
                  <w:smallCaps w:val="false"/>
                  <w:sz w:val="20"/>
                </w:rPr>
                <w:t>Quantitative and Qualitative Disclosures About Market Risk.</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37</w:t>
            </w:r>
          </w:p>
        </w:tc>
      </w:tr>
      <w:tr>
        <w:trPr/>
        <w:tc>
          <w:tcPr>
            <w:tcW w:w="832" w:type="dxa"/>
            <w:tcBorders/>
            <w:vAlign w:val="center"/>
          </w:tcPr>
          <w:p>
            <w:pPr>
              <w:pStyle w:val="TableContents"/>
              <w:bidi w:val="0"/>
              <w:spacing w:before="0" w:after="0"/>
              <w:ind w:left="0" w:right="0" w:hanging="0"/>
              <w:jc w:val="left"/>
              <w:rPr/>
            </w:pPr>
            <w:hyperlink w:anchor="Item4ControlsandProcedures_938545">
              <w:r>
                <w:rPr>
                  <w:rStyle w:val="InternetLink"/>
                  <w:rFonts w:ascii="Arial;Helvetica;sans-serif" w:hAnsi="Arial;Helvetica;sans-serif"/>
                  <w:b/>
                  <w:i w:val="false"/>
                  <w:caps w:val="false"/>
                  <w:smallCaps w:val="false"/>
                  <w:sz w:val="20"/>
                </w:rPr>
                <w:t>Item 4.</w:t>
              </w:r>
            </w:hyperlink>
          </w:p>
        </w:tc>
        <w:tc>
          <w:tcPr>
            <w:tcW w:w="8756" w:type="dxa"/>
            <w:tcBorders/>
            <w:vAlign w:val="center"/>
          </w:tcPr>
          <w:p>
            <w:pPr>
              <w:pStyle w:val="TableContents"/>
              <w:bidi w:val="0"/>
              <w:spacing w:before="0" w:after="0"/>
              <w:ind w:left="0" w:right="0" w:hanging="0"/>
              <w:jc w:val="left"/>
              <w:rPr/>
            </w:pPr>
            <w:hyperlink w:anchor="Item4ControlsandProcedures_938545">
              <w:r>
                <w:rPr>
                  <w:rStyle w:val="InternetLink"/>
                  <w:rFonts w:ascii="Arial;Helvetica;sans-serif" w:hAnsi="Arial;Helvetica;sans-serif"/>
                  <w:b/>
                  <w:i w:val="false"/>
                  <w:caps w:val="false"/>
                  <w:smallCaps w:val="false"/>
                  <w:sz w:val="20"/>
                </w:rPr>
                <w:t>Controls and Procedures.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38</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67954">
              <w:r>
                <w:rPr>
                  <w:rStyle w:val="InternetLink"/>
                  <w:rFonts w:ascii="Arial;Helvetica;sans-serif" w:hAnsi="Arial;Helvetica;sans-serif"/>
                  <w:b/>
                  <w:i w:val="false"/>
                  <w:caps w:val="false"/>
                  <w:smallCaps w:val="false"/>
                  <w:sz w:val="20"/>
                </w:rPr>
                <w:t>PART II – OTHER INFORMATION</w:t>
              </w:r>
            </w:hyperlink>
          </w:p>
        </w:tc>
      </w:tr>
      <w:tr>
        <w:trPr/>
        <w:tc>
          <w:tcPr>
            <w:tcW w:w="832" w:type="dxa"/>
            <w:tcBorders/>
            <w:vAlign w:val="center"/>
          </w:tcPr>
          <w:p>
            <w:pPr>
              <w:pStyle w:val="TableContents"/>
              <w:bidi w:val="0"/>
              <w:spacing w:before="0" w:after="0"/>
              <w:ind w:left="0" w:right="0" w:hanging="0"/>
              <w:jc w:val="left"/>
              <w:rPr/>
            </w:pPr>
            <w:hyperlink w:anchor="Item1LegalProceedings_301773">
              <w:r>
                <w:rPr>
                  <w:rStyle w:val="InternetLink"/>
                  <w:rFonts w:ascii="Arial;Helvetica;sans-serif" w:hAnsi="Arial;Helvetica;sans-serif"/>
                  <w:b/>
                  <w:i w:val="false"/>
                  <w:caps w:val="false"/>
                  <w:smallCaps w:val="false"/>
                  <w:sz w:val="20"/>
                </w:rPr>
                <w:t>Item 1.</w:t>
              </w:r>
            </w:hyperlink>
          </w:p>
        </w:tc>
        <w:tc>
          <w:tcPr>
            <w:tcW w:w="8756" w:type="dxa"/>
            <w:tcBorders/>
            <w:vAlign w:val="center"/>
          </w:tcPr>
          <w:p>
            <w:pPr>
              <w:pStyle w:val="TableContents"/>
              <w:bidi w:val="0"/>
              <w:spacing w:before="0" w:after="0"/>
              <w:ind w:left="0" w:right="0" w:hanging="0"/>
              <w:jc w:val="left"/>
              <w:rPr/>
            </w:pPr>
            <w:hyperlink w:anchor="Item1LegalProceedings_301773">
              <w:r>
                <w:rPr>
                  <w:rStyle w:val="InternetLink"/>
                  <w:rFonts w:ascii="Arial;Helvetica;sans-serif" w:hAnsi="Arial;Helvetica;sans-serif"/>
                  <w:b/>
                  <w:i w:val="false"/>
                  <w:caps w:val="false"/>
                  <w:smallCaps w:val="false"/>
                  <w:sz w:val="20"/>
                </w:rPr>
                <w:t>Legal Proceedings.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39</w:t>
            </w:r>
          </w:p>
        </w:tc>
      </w:tr>
      <w:tr>
        <w:trPr/>
        <w:tc>
          <w:tcPr>
            <w:tcW w:w="832" w:type="dxa"/>
            <w:tcBorders/>
            <w:vAlign w:val="center"/>
          </w:tcPr>
          <w:p>
            <w:pPr>
              <w:pStyle w:val="TableContents"/>
              <w:bidi w:val="0"/>
              <w:spacing w:before="0" w:after="0"/>
              <w:ind w:left="0" w:right="0" w:hanging="0"/>
              <w:jc w:val="left"/>
              <w:rPr/>
            </w:pPr>
            <w:hyperlink w:anchor="Item1ARiskFactors_843057">
              <w:r>
                <w:rPr>
                  <w:rStyle w:val="InternetLink"/>
                  <w:rFonts w:ascii="Arial;Helvetica;sans-serif" w:hAnsi="Arial;Helvetica;sans-serif"/>
                  <w:b/>
                  <w:i w:val="false"/>
                  <w:caps w:val="false"/>
                  <w:smallCaps w:val="false"/>
                  <w:sz w:val="20"/>
                </w:rPr>
                <w:t>Item 1A</w:t>
              </w:r>
            </w:hyperlink>
            <w:r>
              <w:rPr>
                <w:rFonts w:ascii="Arial;Helvetica;sans-serif" w:hAnsi="Arial;Helvetica;sans-serif"/>
                <w:b/>
                <w:sz w:val="20"/>
              </w:rPr>
              <w:t>.</w:t>
            </w:r>
          </w:p>
        </w:tc>
        <w:tc>
          <w:tcPr>
            <w:tcW w:w="8756" w:type="dxa"/>
            <w:tcBorders/>
            <w:vAlign w:val="center"/>
          </w:tcPr>
          <w:p>
            <w:pPr>
              <w:pStyle w:val="TableContents"/>
              <w:bidi w:val="0"/>
              <w:spacing w:before="0" w:after="0"/>
              <w:ind w:left="0" w:right="0" w:hanging="0"/>
              <w:jc w:val="left"/>
              <w:rPr/>
            </w:pPr>
            <w:hyperlink w:anchor="Item1ARiskFactors_843057">
              <w:r>
                <w:rPr>
                  <w:rStyle w:val="InternetLink"/>
                  <w:rFonts w:ascii="Arial;Helvetica;sans-serif" w:hAnsi="Arial;Helvetica;sans-serif"/>
                  <w:b/>
                  <w:i w:val="false"/>
                  <w:caps w:val="false"/>
                  <w:smallCaps w:val="false"/>
                  <w:sz w:val="20"/>
                </w:rPr>
                <w:t>Risk Factors</w:t>
              </w:r>
            </w:hyperlink>
            <w:r>
              <w:rPr>
                <w:rFonts w:ascii="Arial;Helvetica;sans-serif" w:hAnsi="Arial;Helvetica;sans-serif"/>
                <w:b/>
                <w:sz w:val="20"/>
              </w:rPr>
              <w:t>.</w:t>
            </w:r>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39</w:t>
            </w:r>
          </w:p>
        </w:tc>
      </w:tr>
      <w:tr>
        <w:trPr/>
        <w:tc>
          <w:tcPr>
            <w:tcW w:w="832"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i w:val="false"/>
                  <w:caps w:val="false"/>
                  <w:smallCaps w:val="false"/>
                  <w:sz w:val="20"/>
                </w:rPr>
                <w:t>Item 2.</w:t>
              </w:r>
            </w:hyperlink>
          </w:p>
        </w:tc>
        <w:tc>
          <w:tcPr>
            <w:tcW w:w="8756"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i w:val="false"/>
                  <w:caps w:val="false"/>
                  <w:smallCaps w:val="false"/>
                  <w:sz w:val="20"/>
                </w:rPr>
                <w:t>Unregistered Sales of Equity Securities and Use of Proceeds.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39</w:t>
            </w:r>
          </w:p>
        </w:tc>
      </w:tr>
      <w:tr>
        <w:trPr/>
        <w:tc>
          <w:tcPr>
            <w:tcW w:w="832" w:type="dxa"/>
            <w:tcBorders/>
            <w:vAlign w:val="center"/>
          </w:tcPr>
          <w:p>
            <w:pPr>
              <w:pStyle w:val="TableContents"/>
              <w:bidi w:val="0"/>
              <w:spacing w:before="0" w:after="0"/>
              <w:ind w:left="0" w:right="0" w:hanging="0"/>
              <w:jc w:val="left"/>
              <w:rPr/>
            </w:pPr>
            <w:hyperlink w:anchor="Item3DefaultsUponSeniorSecurities_544144">
              <w:r>
                <w:rPr>
                  <w:rStyle w:val="InternetLink"/>
                  <w:rFonts w:ascii="Arial;Helvetica;sans-serif" w:hAnsi="Arial;Helvetica;sans-serif"/>
                  <w:b/>
                  <w:i w:val="false"/>
                  <w:caps w:val="false"/>
                  <w:smallCaps w:val="false"/>
                  <w:sz w:val="20"/>
                </w:rPr>
                <w:t>Item 3.</w:t>
              </w:r>
            </w:hyperlink>
          </w:p>
        </w:tc>
        <w:tc>
          <w:tcPr>
            <w:tcW w:w="8756" w:type="dxa"/>
            <w:tcBorders/>
            <w:vAlign w:val="center"/>
          </w:tcPr>
          <w:p>
            <w:pPr>
              <w:pStyle w:val="TableContents"/>
              <w:bidi w:val="0"/>
              <w:spacing w:before="0" w:after="0"/>
              <w:ind w:left="0" w:right="0" w:hanging="0"/>
              <w:jc w:val="left"/>
              <w:rPr/>
            </w:pPr>
            <w:hyperlink w:anchor="Item3DefaultsUponSeniorSecurities_544144">
              <w:r>
                <w:rPr>
                  <w:rStyle w:val="InternetLink"/>
                  <w:rFonts w:ascii="Arial;Helvetica;sans-serif" w:hAnsi="Arial;Helvetica;sans-serif"/>
                  <w:b/>
                  <w:i w:val="false"/>
                  <w:caps w:val="false"/>
                  <w:smallCaps w:val="false"/>
                  <w:sz w:val="20"/>
                </w:rPr>
                <w:t>Defaults Upon Senior Securities.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39</w:t>
            </w:r>
          </w:p>
        </w:tc>
      </w:tr>
      <w:tr>
        <w:trPr/>
        <w:tc>
          <w:tcPr>
            <w:tcW w:w="832" w:type="dxa"/>
            <w:tcBorders/>
            <w:vAlign w:val="center"/>
          </w:tcPr>
          <w:p>
            <w:pPr>
              <w:pStyle w:val="TableContents"/>
              <w:bidi w:val="0"/>
              <w:spacing w:before="0" w:after="0"/>
              <w:ind w:left="0" w:right="0" w:hanging="0"/>
              <w:jc w:val="left"/>
              <w:rPr/>
            </w:pPr>
            <w:hyperlink w:anchor="Item4MineSafetyDisclosures_535317">
              <w:r>
                <w:rPr>
                  <w:rStyle w:val="InternetLink"/>
                  <w:rFonts w:ascii="Arial;Helvetica;sans-serif" w:hAnsi="Arial;Helvetica;sans-serif"/>
                  <w:b/>
                  <w:i w:val="false"/>
                  <w:caps w:val="false"/>
                  <w:smallCaps w:val="false"/>
                  <w:sz w:val="20"/>
                </w:rPr>
                <w:t>Item 4.</w:t>
              </w:r>
            </w:hyperlink>
          </w:p>
        </w:tc>
        <w:tc>
          <w:tcPr>
            <w:tcW w:w="8756" w:type="dxa"/>
            <w:tcBorders/>
            <w:vAlign w:val="center"/>
          </w:tcPr>
          <w:p>
            <w:pPr>
              <w:pStyle w:val="TableContents"/>
              <w:bidi w:val="0"/>
              <w:spacing w:before="0" w:after="0"/>
              <w:ind w:left="0" w:right="0" w:hanging="0"/>
              <w:jc w:val="left"/>
              <w:rPr/>
            </w:pPr>
            <w:hyperlink w:anchor="Item4MineSafetyDisclosures_535317">
              <w:r>
                <w:rPr>
                  <w:rStyle w:val="InternetLink"/>
                  <w:rFonts w:ascii="Arial;Helvetica;sans-serif" w:hAnsi="Arial;Helvetica;sans-serif"/>
                  <w:b/>
                  <w:i w:val="false"/>
                  <w:caps w:val="false"/>
                  <w:smallCaps w:val="false"/>
                  <w:sz w:val="20"/>
                </w:rPr>
                <w:t>Mine Safety Disclosures.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39</w:t>
            </w:r>
          </w:p>
        </w:tc>
      </w:tr>
      <w:tr>
        <w:trPr/>
        <w:tc>
          <w:tcPr>
            <w:tcW w:w="832" w:type="dxa"/>
            <w:tcBorders/>
            <w:vAlign w:val="center"/>
          </w:tcPr>
          <w:p>
            <w:pPr>
              <w:pStyle w:val="TableContents"/>
              <w:bidi w:val="0"/>
              <w:spacing w:before="0" w:after="0"/>
              <w:ind w:left="0" w:right="0" w:hanging="0"/>
              <w:jc w:val="left"/>
              <w:rPr/>
            </w:pPr>
            <w:hyperlink w:anchor="Item5OtherInformation_821519">
              <w:r>
                <w:rPr>
                  <w:rStyle w:val="InternetLink"/>
                  <w:rFonts w:ascii="Arial;Helvetica;sans-serif" w:hAnsi="Arial;Helvetica;sans-serif"/>
                  <w:b/>
                  <w:i w:val="false"/>
                  <w:caps w:val="false"/>
                  <w:smallCaps w:val="false"/>
                  <w:sz w:val="20"/>
                </w:rPr>
                <w:t>Item 5.</w:t>
              </w:r>
            </w:hyperlink>
          </w:p>
        </w:tc>
        <w:tc>
          <w:tcPr>
            <w:tcW w:w="8756" w:type="dxa"/>
            <w:tcBorders/>
            <w:vAlign w:val="center"/>
          </w:tcPr>
          <w:p>
            <w:pPr>
              <w:pStyle w:val="TableContents"/>
              <w:bidi w:val="0"/>
              <w:spacing w:before="0" w:after="0"/>
              <w:ind w:left="0" w:right="0" w:hanging="0"/>
              <w:jc w:val="left"/>
              <w:rPr/>
            </w:pPr>
            <w:hyperlink w:anchor="Item5OtherInformation_821519">
              <w:r>
                <w:rPr>
                  <w:rStyle w:val="InternetLink"/>
                  <w:rFonts w:ascii="Arial;Helvetica;sans-serif" w:hAnsi="Arial;Helvetica;sans-serif"/>
                  <w:b/>
                  <w:i w:val="false"/>
                  <w:caps w:val="false"/>
                  <w:smallCaps w:val="false"/>
                  <w:sz w:val="20"/>
                </w:rPr>
                <w:t>Other Information.</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39</w:t>
            </w:r>
          </w:p>
        </w:tc>
      </w:tr>
      <w:tr>
        <w:trPr/>
        <w:tc>
          <w:tcPr>
            <w:tcW w:w="832" w:type="dxa"/>
            <w:tcBorders/>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b/>
                  <w:i w:val="false"/>
                  <w:caps w:val="false"/>
                  <w:smallCaps w:val="false"/>
                  <w:sz w:val="20"/>
                </w:rPr>
                <w:t>Item 6.</w:t>
              </w:r>
            </w:hyperlink>
          </w:p>
        </w:tc>
        <w:tc>
          <w:tcPr>
            <w:tcW w:w="8756" w:type="dxa"/>
            <w:tcBorders/>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b/>
                  <w:i w:val="false"/>
                  <w:caps w:val="false"/>
                  <w:smallCaps w:val="false"/>
                  <w:sz w:val="20"/>
                </w:rPr>
                <w:t>Exhibits.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40</w:t>
            </w:r>
          </w:p>
        </w:tc>
      </w:tr>
      <w:tr>
        <w:trPr/>
        <w:tc>
          <w:tcPr>
            <w:tcW w:w="832" w:type="dxa"/>
            <w:tcBorders/>
            <w:vAlign w:val="center"/>
          </w:tcPr>
          <w:p>
            <w:pPr>
              <w:pStyle w:val="TableContents"/>
              <w:bidi w:val="0"/>
              <w:spacing w:before="0" w:after="0"/>
              <w:ind w:left="0" w:right="0" w:hanging="0"/>
              <w:jc w:val="left"/>
              <w:rPr/>
            </w:pPr>
            <w:r>
              <w:rPr/>
              <w:t>​</w:t>
            </w:r>
          </w:p>
        </w:tc>
        <w:tc>
          <w:tcPr>
            <w:tcW w:w="8756" w:type="dxa"/>
            <w:tcBorders/>
            <w:vAlign w:val="center"/>
          </w:tcPr>
          <w:p>
            <w:pPr>
              <w:pStyle w:val="TableContents"/>
              <w:bidi w:val="0"/>
              <w:spacing w:before="0" w:after="0"/>
              <w:ind w:left="0" w:right="0" w:hanging="0"/>
              <w:jc w:val="left"/>
              <w:rPr/>
            </w:pPr>
            <w:hyperlink w:anchor="SIGNATURES_811098">
              <w:r>
                <w:rPr>
                  <w:rStyle w:val="InternetLink"/>
                  <w:rFonts w:ascii="Arial;Helvetica;sans-serif" w:hAnsi="Arial;Helvetica;sans-serif"/>
                  <w:b/>
                  <w:i w:val="false"/>
                  <w:caps w:val="false"/>
                  <w:smallCaps w:val="false"/>
                  <w:sz w:val="20"/>
                </w:rPr>
                <w:t>SIGNATURES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43</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Arial;Helvetica;sans-serif" w:hAnsi="Arial;Helvetica;sans-serif"/>
          <w:b/>
          <w:sz w:val="19"/>
        </w:rPr>
      </w:pPr>
      <w:bookmarkStart w:id="47" w:name="PARTIFINANCIALINFORMATION_127712"/>
      <w:bookmarkStart w:id="48" w:name="_16ba9b1e_a9a3_4a22_982a_d5453fc55de2"/>
      <w:bookmarkEnd w:id="47"/>
      <w:bookmarkEnd w:id="48"/>
      <w:r>
        <w:rPr>
          <w:rFonts w:ascii="Arial;Helvetica;sans-serif" w:hAnsi="Arial;Helvetica;sans-serif"/>
          <w:b/>
          <w:sz w:val="19"/>
        </w:rPr>
        <w:t>PART I - FINANCIAL INFORMATION</w:t>
      </w:r>
    </w:p>
    <w:p>
      <w:pPr>
        <w:pStyle w:val="TextBody"/>
        <w:bidi w:val="0"/>
        <w:spacing w:before="0" w:after="200"/>
        <w:ind w:left="0" w:right="0" w:hanging="0"/>
        <w:jc w:val="left"/>
        <w:rPr>
          <w:rFonts w:ascii="Arial;Helvetica;sans-serif" w:hAnsi="Arial;Helvetica;sans-serif"/>
          <w:b/>
          <w:sz w:val="19"/>
        </w:rPr>
      </w:pPr>
      <w:bookmarkStart w:id="49" w:name="Item1FinancialStatements_941444"/>
      <w:bookmarkEnd w:id="49"/>
      <w:r>
        <w:rPr>
          <w:rFonts w:ascii="Arial;Helvetica;sans-serif" w:hAnsi="Arial;Helvetica;sans-serif"/>
          <w:b/>
          <w:sz w:val="19"/>
        </w:rPr>
        <w:t>Item 1.     Financial Statements.</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NEURONETICS, INC.</w:t>
      </w:r>
    </w:p>
    <w:p>
      <w:pPr>
        <w:pStyle w:val="TextBody"/>
        <w:bidi w:val="0"/>
        <w:spacing w:before="0" w:after="0"/>
        <w:ind w:left="0" w:right="0" w:hanging="0"/>
        <w:jc w:val="center"/>
        <w:rPr>
          <w:rFonts w:ascii="Arial;Helvetica;sans-serif" w:hAnsi="Arial;Helvetica;sans-serif"/>
          <w:b/>
          <w:sz w:val="19"/>
        </w:rPr>
      </w:pPr>
      <w:bookmarkStart w:id="50" w:name="BalanceSheets_181538"/>
      <w:bookmarkEnd w:id="50"/>
      <w:r>
        <w:rPr>
          <w:rFonts w:ascii="Arial;Helvetica;sans-serif" w:hAnsi="Arial;Helvetica;sans-serif"/>
          <w:b/>
          <w:sz w:val="19"/>
        </w:rPr>
        <w:t>Consolidated Balance Sheets</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(Unaudited; In thousands, except per share data)</w:t>
      </w:r>
    </w:p>
    <w:p>
      <w:pPr>
        <w:pStyle w:val="Normal"/>
        <w:bidi w:val="0"/>
        <w:spacing w:before="0" w:after="0"/>
        <w:jc w:val="left"/>
        <w:rPr>
          <w:sz w:val="4"/>
          <w:szCs w:val="4"/>
        </w:rPr>
      </w:pPr>
      <w:r>
        <w:rPr>
          <w:sz w:val="4"/>
          <w:szCs w:val="4"/>
        </w:rPr>
      </w:r>
      <w:bookmarkStart w:id="51" w:name="Tc_mHxsTlR74E6yTa1Wqm95Mg_46_5"/>
      <w:bookmarkStart w:id="52" w:name="Tc_-n84rqUnb0mpCKmrMWRfYA_46_2"/>
      <w:bookmarkStart w:id="53" w:name="Tc_Q4H8nUMA6E-pE321sUjU4A_46_0"/>
      <w:bookmarkStart w:id="54" w:name="Tc_WtwriWJpykO632jV8_vFng_45_0"/>
      <w:bookmarkStart w:id="55" w:name="Tc_Q-uXQeOmW0-57PFXfm0AGw_44_0"/>
      <w:bookmarkStart w:id="56" w:name="Tc_76fUY81DYEy38k6CDf9HUQ_43_0"/>
      <w:bookmarkStart w:id="57" w:name="Tc_x6Y_oasGx0WBZ-P-B1LCQQ_42_0"/>
      <w:bookmarkStart w:id="58" w:name="Tc_Jr9D7hcO20OCb2WGng5yyA_41_0"/>
      <w:bookmarkStart w:id="59" w:name="Tc_7zlQArfMpEKLPgH3vqj3Hg_40_0"/>
      <w:bookmarkStart w:id="60" w:name="Tc_p4sRyKEK1EWEbM5ekF-v4g_39_0"/>
      <w:bookmarkStart w:id="61" w:name="Tc_9MC-HmgxkkasEwbD117apQ_38_0"/>
      <w:bookmarkStart w:id="62" w:name="Tc_V76QKt_HOUq9vU5aouFZ6w_37_0"/>
      <w:bookmarkStart w:id="63" w:name="Tc_9fct0-uubkWdktjMBeW_lQ_36_0"/>
      <w:bookmarkStart w:id="64" w:name="Tc_eSpvW4pilEa_E0ROJawPYA_35_0"/>
      <w:bookmarkStart w:id="65" w:name="Tc_vKKg8yBZmESWvNXoz5wpsQ_34_0"/>
      <w:bookmarkStart w:id="66" w:name="Tc_SL_U5RqdNEaukXaVqQzLWw_33_6"/>
      <w:bookmarkStart w:id="67" w:name="Tc_0X5rCUio4ESJi9jCJc9pdg_33_0"/>
      <w:bookmarkStart w:id="68" w:name="Tc_uFc91y2ko0CX78fpTTwGqA_32_0"/>
      <w:bookmarkStart w:id="69" w:name="Tc_W99FSz5Sk0yfXkhrJ1UpPw_31_0"/>
      <w:bookmarkStart w:id="70" w:name="Tc_wGPp0erWZU6fcWnTPkI2Aw_30_0"/>
      <w:bookmarkStart w:id="71" w:name="Tc_vVT6Hs20pkCOSb69POs1DQ_29_0"/>
      <w:bookmarkStart w:id="72" w:name="Tc_8SfHI4uMHUSKdhaiy9-7OQ_28_0"/>
      <w:bookmarkStart w:id="73" w:name="Tc_QVS87q8h60acGFUv2hSGeQ_27_0"/>
      <w:bookmarkStart w:id="74" w:name="Tc_S0rXC28vQk257GpBTO1njg_26_0"/>
      <w:bookmarkStart w:id="75" w:name="Tc_o-qL115dYUC1b1PqisPxcw_25_5"/>
      <w:bookmarkStart w:id="76" w:name="Tc_0A2XgdltQkWf99Vq4JPQ2A_25_2"/>
      <w:bookmarkStart w:id="77" w:name="Tc_ZNghb7acfkeZ20oOS50PuQ_25_0"/>
      <w:bookmarkStart w:id="78" w:name="Tc_VVRYvtYH60ywJywVNWCCIA_24_0"/>
      <w:bookmarkStart w:id="79" w:name="Tc_iYh52Xnp-EyVr93k8WxNuQ_23_0"/>
      <w:bookmarkStart w:id="80" w:name="Tc_E5Ng7nb1e0ynOYtb8ssR4A_22_5"/>
      <w:bookmarkStart w:id="81" w:name="Tc_klt1jnaDHEuZ8NTIbH1G3A_22_2"/>
      <w:bookmarkStart w:id="82" w:name="Tc_4E58_RinpECh88WgVWHm_w_22_0"/>
      <w:bookmarkStart w:id="83" w:name="Tc_idOYF-Dq10CoxJHn_eaRgA_21_0"/>
      <w:bookmarkStart w:id="84" w:name="Tc_HG8Y4pXxMUGe-5Z28LmDWw_20_0"/>
      <w:bookmarkStart w:id="85" w:name="Tc_RbSR7gk-X0-PlVGDewUTfw_19_0"/>
      <w:bookmarkStart w:id="86" w:name="Tc_KF7IjWamNUWB48F_3eMPVw_18_0"/>
      <w:bookmarkStart w:id="87" w:name="Tc_UvCwCoV2Kke74WMOeOZZ1g_17_0"/>
      <w:bookmarkStart w:id="88" w:name="Tc_gOdZsXrkJE-152xbrvEXfQ_16_0"/>
      <w:bookmarkStart w:id="89" w:name="Tc_ppGnpSJR1ka7MCqPHUly5A_15_0"/>
      <w:bookmarkStart w:id="90" w:name="Tc_DdAU95mY4UCrR99tYp_LCA_14_0"/>
      <w:bookmarkStart w:id="91" w:name="Tc_n1PM5WzvYUeUjqN--c8_KQ_13_0"/>
      <w:bookmarkStart w:id="92" w:name="Tc_4pcKMrr7Rk-cFQw5J8CUSA_12_0"/>
      <w:bookmarkStart w:id="93" w:name="Tc_dAk7IWnPU0iMuKgf1_B79w_11_0"/>
      <w:bookmarkStart w:id="94" w:name="Tc_dOQPuAkkjkiTWWkT87wZfA_10_0"/>
      <w:bookmarkStart w:id="95" w:name="Tc_ArW61ZB8dUqdOEy-QIow7g_9_0"/>
      <w:bookmarkStart w:id="96" w:name="Tc_JdY2BKi6hUO8KezoKRMnmA_8_0"/>
      <w:bookmarkStart w:id="97" w:name="Tc_TbGOxhV41UyYm1q3QwkteA_7_0"/>
      <w:bookmarkStart w:id="98" w:name="Tc_cZlFuxz_1UCkydjWhhRRqw_6_0"/>
      <w:bookmarkStart w:id="99" w:name="Tc_mMEZKljxuU2XzLxZlXtJiw_5_5"/>
      <w:bookmarkStart w:id="100" w:name="Tc_K_s3gRugZUKVbcuRQflWVA_5_2"/>
      <w:bookmarkStart w:id="101" w:name="Tc_EWkn_xk0W0yZBl8znjTv2A_5_0"/>
      <w:bookmarkStart w:id="102" w:name="Tc_G8NHVjvwM0eYA769cZMNZw_4_0"/>
      <w:bookmarkStart w:id="103" w:name="Tc_waTaOABc5Eiyb7RYHX_9vQ_3_0"/>
      <w:bookmarkStart w:id="104" w:name="Tc_l4THBzo54EKVFnDjvvOTFQ_2_5"/>
      <w:bookmarkStart w:id="105" w:name="Tc_qy9DHLoaek6YVSkcQw_VqQ_2_2"/>
      <w:bookmarkStart w:id="106" w:name="Tc_8kyyXwWFg0-FbQ-1NRejaA_1_5"/>
      <w:bookmarkStart w:id="107" w:name="Tc_dOcTP91vgki2L0zX73YILw_1_2"/>
      <w:bookmarkStart w:id="108" w:name="_aaff082b_7635_44cb_8d6f_041faac73a23"/>
      <w:bookmarkStart w:id="109" w:name="Tc_mHxsTlR74E6yTa1Wqm95Mg_46_5"/>
      <w:bookmarkStart w:id="110" w:name="Tc_-n84rqUnb0mpCKmrMWRfYA_46_2"/>
      <w:bookmarkStart w:id="111" w:name="Tc_Q4H8nUMA6E-pE321sUjU4A_46_0"/>
      <w:bookmarkStart w:id="112" w:name="Tc_WtwriWJpykO632jV8_vFng_45_0"/>
      <w:bookmarkStart w:id="113" w:name="Tc_Q-uXQeOmW0-57PFXfm0AGw_44_0"/>
      <w:bookmarkStart w:id="114" w:name="Tc_76fUY81DYEy38k6CDf9HUQ_43_0"/>
      <w:bookmarkStart w:id="115" w:name="Tc_x6Y_oasGx0WBZ-P-B1LCQQ_42_0"/>
      <w:bookmarkStart w:id="116" w:name="Tc_Jr9D7hcO20OCb2WGng5yyA_41_0"/>
      <w:bookmarkStart w:id="117" w:name="Tc_7zlQArfMpEKLPgH3vqj3Hg_40_0"/>
      <w:bookmarkStart w:id="118" w:name="Tc_p4sRyKEK1EWEbM5ekF-v4g_39_0"/>
      <w:bookmarkStart w:id="119" w:name="Tc_9MC-HmgxkkasEwbD117apQ_38_0"/>
      <w:bookmarkStart w:id="120" w:name="Tc_V76QKt_HOUq9vU5aouFZ6w_37_0"/>
      <w:bookmarkStart w:id="121" w:name="Tc_9fct0-uubkWdktjMBeW_lQ_36_0"/>
      <w:bookmarkStart w:id="122" w:name="Tc_eSpvW4pilEa_E0ROJawPYA_35_0"/>
      <w:bookmarkStart w:id="123" w:name="Tc_vKKg8yBZmESWvNXoz5wpsQ_34_0"/>
      <w:bookmarkStart w:id="124" w:name="Tc_SL_U5RqdNEaukXaVqQzLWw_33_6"/>
      <w:bookmarkStart w:id="125" w:name="Tc_0X5rCUio4ESJi9jCJc9pdg_33_0"/>
      <w:bookmarkStart w:id="126" w:name="Tc_uFc91y2ko0CX78fpTTwGqA_32_0"/>
      <w:bookmarkStart w:id="127" w:name="Tc_W99FSz5Sk0yfXkhrJ1UpPw_31_0"/>
      <w:bookmarkStart w:id="128" w:name="Tc_wGPp0erWZU6fcWnTPkI2Aw_30_0"/>
      <w:bookmarkStart w:id="129" w:name="Tc_vVT6Hs20pkCOSb69POs1DQ_29_0"/>
      <w:bookmarkStart w:id="130" w:name="Tc_8SfHI4uMHUSKdhaiy9-7OQ_28_0"/>
      <w:bookmarkStart w:id="131" w:name="Tc_QVS87q8h60acGFUv2hSGeQ_27_0"/>
      <w:bookmarkStart w:id="132" w:name="Tc_S0rXC28vQk257GpBTO1njg_26_0"/>
      <w:bookmarkStart w:id="133" w:name="Tc_o-qL115dYUC1b1PqisPxcw_25_5"/>
      <w:bookmarkStart w:id="134" w:name="Tc_0A2XgdltQkWf99Vq4JPQ2A_25_2"/>
      <w:bookmarkStart w:id="135" w:name="Tc_ZNghb7acfkeZ20oOS50PuQ_25_0"/>
      <w:bookmarkStart w:id="136" w:name="Tc_VVRYvtYH60ywJywVNWCCIA_24_0"/>
      <w:bookmarkStart w:id="137" w:name="Tc_iYh52Xnp-EyVr93k8WxNuQ_23_0"/>
      <w:bookmarkStart w:id="138" w:name="Tc_E5Ng7nb1e0ynOYtb8ssR4A_22_5"/>
      <w:bookmarkStart w:id="139" w:name="Tc_klt1jnaDHEuZ8NTIbH1G3A_22_2"/>
      <w:bookmarkStart w:id="140" w:name="Tc_4E58_RinpECh88WgVWHm_w_22_0"/>
      <w:bookmarkStart w:id="141" w:name="Tc_idOYF-Dq10CoxJHn_eaRgA_21_0"/>
      <w:bookmarkStart w:id="142" w:name="Tc_HG8Y4pXxMUGe-5Z28LmDWw_20_0"/>
      <w:bookmarkStart w:id="143" w:name="Tc_RbSR7gk-X0-PlVGDewUTfw_19_0"/>
      <w:bookmarkStart w:id="144" w:name="Tc_KF7IjWamNUWB48F_3eMPVw_18_0"/>
      <w:bookmarkStart w:id="145" w:name="Tc_UvCwCoV2Kke74WMOeOZZ1g_17_0"/>
      <w:bookmarkStart w:id="146" w:name="Tc_gOdZsXrkJE-152xbrvEXfQ_16_0"/>
      <w:bookmarkStart w:id="147" w:name="Tc_ppGnpSJR1ka7MCqPHUly5A_15_0"/>
      <w:bookmarkStart w:id="148" w:name="Tc_DdAU95mY4UCrR99tYp_LCA_14_0"/>
      <w:bookmarkStart w:id="149" w:name="Tc_n1PM5WzvYUeUjqN--c8_KQ_13_0"/>
      <w:bookmarkStart w:id="150" w:name="Tc_4pcKMrr7Rk-cFQw5J8CUSA_12_0"/>
      <w:bookmarkStart w:id="151" w:name="Tc_dAk7IWnPU0iMuKgf1_B79w_11_0"/>
      <w:bookmarkStart w:id="152" w:name="Tc_dOQPuAkkjkiTWWkT87wZfA_10_0"/>
      <w:bookmarkStart w:id="153" w:name="Tc_ArW61ZB8dUqdOEy-QIow7g_9_0"/>
      <w:bookmarkStart w:id="154" w:name="Tc_JdY2BKi6hUO8KezoKRMnmA_8_0"/>
      <w:bookmarkStart w:id="155" w:name="Tc_TbGOxhV41UyYm1q3QwkteA_7_0"/>
      <w:bookmarkStart w:id="156" w:name="Tc_cZlFuxz_1UCkydjWhhRRqw_6_0"/>
      <w:bookmarkStart w:id="157" w:name="Tc_mMEZKljxuU2XzLxZlXtJiw_5_5"/>
      <w:bookmarkStart w:id="158" w:name="Tc_K_s3gRugZUKVbcuRQflWVA_5_2"/>
      <w:bookmarkStart w:id="159" w:name="Tc_EWkn_xk0W0yZBl8znjTv2A_5_0"/>
      <w:bookmarkStart w:id="160" w:name="Tc_G8NHVjvwM0eYA769cZMNZw_4_0"/>
      <w:bookmarkStart w:id="161" w:name="Tc_waTaOABc5Eiyb7RYHX_9vQ_3_0"/>
      <w:bookmarkStart w:id="162" w:name="Tc_l4THBzo54EKVFnDjvvOTFQ_2_5"/>
      <w:bookmarkStart w:id="163" w:name="Tc_qy9DHLoaek6YVSkcQw_VqQ_2_2"/>
      <w:bookmarkStart w:id="164" w:name="Tc_8kyyXwWFg0-FbQ-1NRejaA_1_5"/>
      <w:bookmarkStart w:id="165" w:name="Tc_dOcTP91vgki2L0zX73YILw_1_2"/>
      <w:bookmarkStart w:id="166" w:name="_aaff082b_7635_44cb_8d6f_041faac73a2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tbl>
      <w:tblPr>
        <w:tblW w:w="10205" w:type="dxa"/>
        <w:jc w:val="left"/>
        <w:tblInd w:w="0" w:type="dxa"/>
        <w:tblLayout w:type="fixed"/>
        <w:tblCellMar>
          <w:top w:w="0" w:type="dxa"/>
          <w:left w:w="0" w:type="dxa"/>
          <w:bottom w:w="0" w:type="dxa"/>
          <w:right w:w="0" w:type="dxa"/>
        </w:tblCellMar>
      </w:tblPr>
      <w:tblGrid>
        <w:gridCol w:w="7312"/>
        <w:gridCol w:w="346"/>
        <w:gridCol w:w="196"/>
        <w:gridCol w:w="784"/>
        <w:gridCol w:w="346"/>
        <w:gridCol w:w="240"/>
        <w:gridCol w:w="981"/>
      </w:tblGrid>
      <w:tr>
        <w:trPr/>
        <w:tc>
          <w:tcPr>
            <w:tcW w:w="7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43120" cy="175260"/>
                      <wp:effectExtent l="0" t="0" r="0" b="0"/>
                      <wp:wrapNone/>
                      <wp:docPr id="4" name="Frame4"/>
                      <a:graphic xmlns:a="http://schemas.openxmlformats.org/drawingml/2006/main">
                        <a:graphicData uri="http://schemas.microsoft.com/office/word/2010/wordprocessingShape">
                          <wps:wsp>
                            <wps:cNvSpPr txBox="1"/>
                            <wps:spPr>
                              <a:xfrm>
                                <a:off x="0" y="0"/>
                                <a:ext cx="4643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7840" cy="175260"/>
                      <wp:effectExtent l="0" t="0" r="0" b="0"/>
                      <wp:wrapNone/>
                      <wp:docPr id="7" name="Frame7"/>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52400" cy="175260"/>
                      <wp:effectExtent l="0" t="0" r="0" b="0"/>
                      <wp:wrapNone/>
                      <wp:docPr id="9" name="Frame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22935" cy="175260"/>
                      <wp:effectExtent l="0" t="0" r="0" b="0"/>
                      <wp:wrapNone/>
                      <wp:docPr id="10" name="Frame10"/>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8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3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  ​ ​ ​</w:t>
            </w:r>
          </w:p>
        </w:tc>
        <w:tc>
          <w:tcPr>
            <w:tcW w:w="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2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pPr>
            <w:r>
              <w:rPr/>
              <w:t>​</w:t>
            </w:r>
          </w:p>
        </w:tc>
        <w:tc>
          <w:tcPr>
            <w:tcW w:w="981" w:type="dxa"/>
            <w:tcBorders/>
            <w:shd w:fill="CCEEFF" w:val="clear"/>
            <w:vAlign w:val="center"/>
          </w:tcPr>
          <w:p>
            <w:pPr>
              <w:pStyle w:val="TableContents"/>
              <w:bidi w:val="0"/>
              <w:spacing w:before="0" w:after="1"/>
              <w:ind w:left="0" w:right="0" w:hanging="0"/>
              <w:jc w:val="right"/>
              <w:rPr/>
            </w:pPr>
            <w:r>
              <w:rPr/>
              <w:t>  ​</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40"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pPr>
            <w:r>
              <w:rPr/>
              <w:t>  ​</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19,197</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28,134</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Restricted 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5,750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6,000</w:t>
            </w:r>
          </w:p>
        </w:tc>
      </w:tr>
      <w:tr>
        <w:trPr/>
        <w:tc>
          <w:tcPr>
            <w:tcW w:w="7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Arial;Helvetica;sans-serif" w:hAnsi="Arial;Helvetica;sans-serif"/>
                <w:sz w:val="16"/>
              </w:rPr>
              <w:t>Accounts receivable, net of allowance for credit losses of $553</w:t>
            </w:r>
            <w:r>
              <w:rPr>
                <w:rFonts w:ascii="Times New Roman;Times;serif" w:hAnsi="Times New Roman;Times;serif"/>
                <w:sz w:val="16"/>
              </w:rPr>
              <w:t xml:space="preserve"> </w:t>
            </w:r>
            <w:r>
              <w:rPr>
                <w:rFonts w:ascii="Arial;Helvetica;sans-serif" w:hAnsi="Arial;Helvetica;sans-serif"/>
                <w:sz w:val="16"/>
              </w:rPr>
              <w:t>and $1,043</w:t>
            </w:r>
            <w:r>
              <w:rPr>
                <w:rFonts w:ascii="Times New Roman;Times;serif" w:hAnsi="Times New Roman;Times;serif"/>
                <w:sz w:val="16"/>
              </w:rPr>
              <w:t xml:space="preserve"> </w:t>
            </w:r>
            <w:r>
              <w:rPr>
                <w:rFonts w:ascii="Arial;Helvetica;sans-serif" w:hAnsi="Arial;Helvetica;sans-serif"/>
                <w:sz w:val="16"/>
              </w:rPr>
              <w:t>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15,955</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16,469</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Inventory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5,502</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4,327</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portion of net investments in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233</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225</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portion of prepaid commission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2,773</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3,050</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portion of notes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315</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424</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3,505</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2,922</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53,230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61,551</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3,464</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4,466</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23,622</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23,622</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17,420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18,149</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23,913</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23,560</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Net investments in sales-type leases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65</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98</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Prepaid commission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6,980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7,972</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Long-term notes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43</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151</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2,792</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1,982</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131,529</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141,551</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Liabilities and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pPr>
            <w:r>
              <w:rPr/>
              <w:t>​</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pPr>
            <w:r>
              <w:rPr/>
              <w:t>​</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12,419</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10,739</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Accrued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8,929</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12,316</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portion of 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1,143</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753</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Deferred and contingent consideration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250</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425</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652</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portion of 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5,143</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5,561</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28,309</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30,521</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Long-term debt,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61,519</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65,807</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long 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81" w:type="dxa"/>
            <w:tcBorders/>
            <w:shd w:fill="CCEEFF" w:val="clear"/>
            <w:vAlign w:val="center"/>
          </w:tcPr>
          <w:p>
            <w:pPr>
              <w:pStyle w:val="TableContents"/>
              <w:bidi w:val="0"/>
              <w:spacing w:before="0" w:after="1"/>
              <w:ind w:left="0" w:right="0" w:hanging="0"/>
              <w:jc w:val="right"/>
              <w:rPr/>
            </w:pPr>
            <w:r>
              <w:rPr/>
              <w:t>—</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Deferred 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58</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48</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19,861</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18,935</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109,889</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115,311</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Commitments and contingencies (Note 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81" w:type="dxa"/>
            <w:tcBorders/>
            <w:shd w:fill="CCEEFF" w:val="clear"/>
            <w:vAlign w:val="center"/>
          </w:tcPr>
          <w:p>
            <w:pPr>
              <w:pStyle w:val="TableContents"/>
              <w:bidi w:val="0"/>
              <w:spacing w:before="0" w:after="1"/>
              <w:ind w:left="0" w:right="0" w:hanging="0"/>
              <w:jc w:val="right"/>
              <w:rPr/>
            </w:pPr>
            <w:r>
              <w:rPr/>
              <w:t>​</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pPr>
            <w:r>
              <w:rPr/>
              <w:t>​</w:t>
            </w:r>
          </w:p>
        </w:tc>
      </w:tr>
      <w:tr>
        <w:trPr/>
        <w:tc>
          <w:tcPr>
            <w:tcW w:w="7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Arial;Helvetica;sans-serif" w:hAnsi="Arial;Helvetica;sans-serif"/>
                <w:sz w:val="16"/>
              </w:rPr>
              <w:t>Preferred stock, $0.01</w:t>
            </w:r>
            <w:r>
              <w:rPr>
                <w:rFonts w:ascii="Times New Roman;Times;serif" w:hAnsi="Times New Roman;Times;serif"/>
                <w:sz w:val="16"/>
              </w:rPr>
              <w:t xml:space="preserve"> </w:t>
            </w:r>
            <w:r>
              <w:rPr>
                <w:rFonts w:ascii="Arial;Helvetica;sans-serif" w:hAnsi="Arial;Helvetica;sans-serif"/>
                <w:sz w:val="16"/>
              </w:rPr>
              <w:t>par value: 10,000</w:t>
            </w:r>
            <w:r>
              <w:rPr>
                <w:rFonts w:ascii="Times New Roman;Times;serif" w:hAnsi="Times New Roman;Times;serif"/>
                <w:sz w:val="16"/>
              </w:rPr>
              <w:t xml:space="preserve"> </w:t>
            </w:r>
            <w:r>
              <w:rPr>
                <w:rFonts w:ascii="Arial;Helvetica;sans-serif" w:hAnsi="Arial;Helvetica;sans-serif"/>
                <w:sz w:val="16"/>
              </w:rPr>
              <w:t>shares authorized; no</w:t>
            </w:r>
            <w:r>
              <w:rPr>
                <w:rFonts w:ascii="Times New Roman;Times;serif" w:hAnsi="Times New Roman;Times;serif"/>
                <w:sz w:val="16"/>
              </w:rPr>
              <w:t xml:space="preserve"> </w:t>
            </w:r>
            <w:r>
              <w:rPr>
                <w:rFonts w:ascii="Arial;Helvetica;sans-serif" w:hAnsi="Arial;Helvetica;sans-serif"/>
                <w:sz w:val="16"/>
              </w:rPr>
              <w:t>shares issued or outstanding on June 30, 2026 and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Arial;Helvetica;sans-serif" w:hAnsi="Arial;Helvetica;sans-serif"/>
                <w:sz w:val="16"/>
              </w:rPr>
              <w:t>Common stock, $0.01</w:t>
            </w:r>
            <w:r>
              <w:rPr>
                <w:rFonts w:ascii="Times New Roman;Times;serif" w:hAnsi="Times New Roman;Times;serif"/>
                <w:sz w:val="16"/>
              </w:rPr>
              <w:t xml:space="preserve"> </w:t>
            </w:r>
            <w:r>
              <w:rPr>
                <w:rFonts w:ascii="Arial;Helvetica;sans-serif" w:hAnsi="Arial;Helvetica;sans-serif"/>
                <w:sz w:val="16"/>
              </w:rPr>
              <w:t>par value: 250,000</w:t>
            </w:r>
            <w:r>
              <w:rPr>
                <w:rFonts w:ascii="Times New Roman;Times;serif" w:hAnsi="Times New Roman;Times;serif"/>
                <w:sz w:val="16"/>
              </w:rPr>
              <w:t xml:space="preserve"> </w:t>
            </w:r>
            <w:r>
              <w:rPr>
                <w:rFonts w:ascii="Arial;Helvetica;sans-serif" w:hAnsi="Arial;Helvetica;sans-serif"/>
                <w:sz w:val="16"/>
              </w:rPr>
              <w:t>shares authorized; 76,193</w:t>
            </w:r>
            <w:r>
              <w:rPr>
                <w:rFonts w:ascii="Times New Roman;Times;serif" w:hAnsi="Times New Roman;Times;serif"/>
                <w:sz w:val="16"/>
              </w:rPr>
              <w:t xml:space="preserve"> </w:t>
            </w:r>
            <w:r>
              <w:rPr>
                <w:rFonts w:ascii="Arial;Helvetica;sans-serif" w:hAnsi="Arial;Helvetica;sans-serif"/>
                <w:sz w:val="16"/>
              </w:rPr>
              <w:t>and 68,994</w:t>
            </w:r>
            <w:r>
              <w:rPr>
                <w:rFonts w:ascii="Times New Roman;Times;serif" w:hAnsi="Times New Roman;Times;serif"/>
                <w:sz w:val="16"/>
              </w:rPr>
              <w:t xml:space="preserve"> </w:t>
            </w:r>
            <w:r>
              <w:rPr>
                <w:rFonts w:ascii="Arial;Helvetica;sans-serif" w:hAnsi="Arial;Helvetica;sans-serif"/>
                <w:sz w:val="16"/>
              </w:rPr>
              <w:t>shares issued and outstanding on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762</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690</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490,239</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480,475</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(473,151)</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(458,787)</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17,850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22,378</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Non-controlling interest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3,790</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3,862</w:t>
            </w:r>
          </w:p>
        </w:tc>
      </w:tr>
      <w:tr>
        <w:trPr/>
        <w:tc>
          <w:tcPr>
            <w:tcW w:w="7312"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21,640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26,240</w:t>
            </w:r>
          </w:p>
        </w:tc>
      </w:tr>
      <w:tr>
        <w:trPr/>
        <w:tc>
          <w:tcPr>
            <w:tcW w:w="7312"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liabilities and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131,529</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8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6"/>
              </w:rPr>
            </w:pPr>
            <w:r>
              <w:rPr>
                <w:rFonts w:ascii="Arial;Helvetica;sans-serif" w:hAnsi="Arial;Helvetica;sans-serif"/>
                <w:sz w:val="16"/>
              </w:rPr>
              <w:t>141,551</w:t>
            </w:r>
          </w:p>
        </w:tc>
      </w:tr>
    </w:tbl>
    <w:p>
      <w:pPr>
        <w:pStyle w:val="TextBody"/>
        <w:bidi w:val="0"/>
        <w:spacing w:before="0" w:after="200"/>
        <w:ind w:left="0" w:right="0" w:hanging="0"/>
        <w:jc w:val="center"/>
        <w:rPr/>
      </w:pPr>
      <w:r>
        <w:rPr/>
        <w:t>​</w:t>
      </w:r>
    </w:p>
    <w:p>
      <w:pPr>
        <w:pStyle w:val="TextBody"/>
        <w:bidi w:val="0"/>
        <w:spacing w:before="0" w:after="200"/>
        <w:ind w:left="0" w:right="0" w:hanging="0"/>
        <w:jc w:val="center"/>
        <w:rPr>
          <w:rFonts w:ascii="Arial;Helvetica;sans-serif" w:hAnsi="Arial;Helvetica;sans-serif"/>
          <w:sz w:val="19"/>
        </w:rPr>
      </w:pPr>
      <w:r>
        <w:rPr>
          <w:rFonts w:ascii="Arial;Helvetica;sans-serif" w:hAnsi="Arial;Helvetica;sans-serif"/>
          <w:sz w:val="19"/>
        </w:rPr>
        <w:t>The accompanying notes are an integral part of these unaudited interim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167" w:name="_0fe066bd_4e6c_40f6_83c7_c649ff7f5dd2"/>
      <w:bookmarkEnd w:id="167"/>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168" w:name="StatementsofOperations_587719"/>
      <w:bookmarkEnd w:id="168"/>
      <w:r>
        <w:rPr>
          <w:rFonts w:ascii="Arial;Helvetica;sans-serif" w:hAnsi="Arial;Helvetica;sans-serif"/>
          <w:b/>
          <w:sz w:val="20"/>
        </w:rPr>
        <w:t>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 except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69" w:name="Tc_U_yf-bwRLU6s8di4M_gvaA_27_0"/>
      <w:bookmarkStart w:id="170" w:name="Tc_4Kdg-PcRAUa7Gm2Rkvhy8Q_26_11"/>
      <w:bookmarkStart w:id="171" w:name="Tc_UsKfXBENUkyLL6vYHbZHfw_26_8"/>
      <w:bookmarkStart w:id="172" w:name="Tc_bh5yYH9cxkqBqr7vFfUjLQ_26_5"/>
      <w:bookmarkStart w:id="173" w:name="Tc_r7rPkxOUwEOFxR3fO6ozeg_26_2"/>
      <w:bookmarkStart w:id="174" w:name="Tc_oWxoRuSR6UqBQWVaYFSmiA_26_0"/>
      <w:bookmarkStart w:id="175" w:name="Tc_TBuEubi8HEuxK37TnI3zgg_25_5"/>
      <w:bookmarkStart w:id="176" w:name="Tc_8-PXHgfvjUC0_riJGqMJFQ_25_2"/>
      <w:bookmarkStart w:id="177" w:name="Tc_ff2feMPdAkWzldPcyZ8W6Q_25_0"/>
      <w:bookmarkStart w:id="178" w:name="Tc_y1oF6vlG5kCJeUWc2gPBJw_24_0"/>
      <w:bookmarkStart w:id="179" w:name="Tc_v75_wlaCP0-L_gF8WdFJ7g_23_11"/>
      <w:bookmarkStart w:id="180" w:name="Tc_5JHxl--MzE-3BfYTPyajjA_23_8"/>
      <w:bookmarkStart w:id="181" w:name="Tc_IfoRK5IC7k-aTFHxoogw-Q_23_5"/>
      <w:bookmarkStart w:id="182" w:name="Tc_O1bNR5wy60mgam_fr3tZrg_23_2"/>
      <w:bookmarkStart w:id="183" w:name="Tc_I2ehUZxDBUS_hSkMV8ZLlw_23_0"/>
      <w:bookmarkStart w:id="184" w:name="Tc_e7y1U1SdVkGit15fYVoy_A_22_0"/>
      <w:bookmarkStart w:id="185" w:name="Tc_UiI1zQFf5EeHb_eAIIgQdA_21_12"/>
      <w:bookmarkStart w:id="186" w:name="Tc_OsFA-UUgGUKiUdwz3hUJgA_21_6"/>
      <w:bookmarkStart w:id="187" w:name="Tc_m8nqNHZuekCmnCs-42_lmw_21_3"/>
      <w:bookmarkStart w:id="188" w:name="Tc_4LVUK7kOyEyw1BKIMt7_9Q_21_0"/>
      <w:bookmarkStart w:id="189" w:name="Tc_I_Ffe0VWskSvuKpQT2_MJQ_20_0"/>
      <w:bookmarkStart w:id="190" w:name="Tc_aWqYbojytEuKDgfTTumX8w_19_0"/>
      <w:bookmarkStart w:id="191" w:name="Tc_xE7UoqzQgEmYQLVzricp7A_18_0"/>
      <w:bookmarkStart w:id="192" w:name="Tc_jbM9kN2bR0OGBk7tqxo9VA_17_0"/>
      <w:bookmarkStart w:id="193" w:name="Tc_2lL1v4MxCkKmsxi9bkruTg_16_0"/>
      <w:bookmarkStart w:id="194" w:name="Tc_zjOLJysi9kKCsQtfiqxJ4w_15_0"/>
      <w:bookmarkStart w:id="195" w:name="Tc_dA5WPEWXOki3qPssUofu4Q_14_0"/>
      <w:bookmarkStart w:id="196" w:name="Tc_tze10U_yBEyIbaFKS4Sjkg_13_0"/>
      <w:bookmarkStart w:id="197" w:name="Tc_RnItYorSWkiv6FNKQijo8w_12_0"/>
      <w:bookmarkStart w:id="198" w:name="Tc_86X3jHew6kmuARIhl_EQKg_11_0"/>
      <w:bookmarkStart w:id="199" w:name="Tc_5ZeUZVsX_EKEd_lrWGIQ_Q_10_0"/>
      <w:bookmarkStart w:id="200" w:name="Tc_0TLU0Diln0W20G3UjruTcA_9_0"/>
      <w:bookmarkStart w:id="201" w:name="Tc_ILx3ZwHBk0OBtDEHFSIQ1g_8_0"/>
      <w:bookmarkStart w:id="202" w:name="Tc_DSNZm7tduU6DcG84VW2AMA_7_0"/>
      <w:bookmarkStart w:id="203" w:name="Tc_bGEAjzxS_U6OvcktiXu6Lw_6_0"/>
      <w:bookmarkStart w:id="204" w:name="Tc_LXDhGfu9O0-nyybA1SIiUw_5_11"/>
      <w:bookmarkStart w:id="205" w:name="Tc_2GjgImVr0kq4nKRAQbjz4g_5_8"/>
      <w:bookmarkStart w:id="206" w:name="Tc_lASIwflGoUyDmVGtJW0Cmg_5_5"/>
      <w:bookmarkStart w:id="207" w:name="Tc_Rczado53e0uNWbHC9Cmnkg_5_2"/>
      <w:bookmarkStart w:id="208" w:name="Tc_FodHHBXLsUubgFeaMW-S8A_5_0"/>
      <w:bookmarkStart w:id="209" w:name="Tc_iKUpXAtX10eEaR2D3J1_Sw_4_0"/>
      <w:bookmarkStart w:id="210" w:name="Tc_JY6gPTe1dEK4RIi9GB8HJQ_3_11"/>
      <w:bookmarkStart w:id="211" w:name="Tc_tzc_tUgTdUaaJBdbcFu1Ig_3_8"/>
      <w:bookmarkStart w:id="212" w:name="Tc_EJcZ3nExG0i5iMiSnGDsFg_3_5"/>
      <w:bookmarkStart w:id="213" w:name="Tc_Ic28Gk49YkmQo043sxMwdA_3_2"/>
      <w:bookmarkStart w:id="214" w:name="Tc_nwVWKhB9XU-28ybTh2ZDqw_2_8"/>
      <w:bookmarkStart w:id="215" w:name="Tc_SM-3UdMwnUizYTQVM77sBw_2_2"/>
      <w:bookmarkStart w:id="216" w:name="Tc_Rti1zcWHL0CbZp72NM3KWA_1_8"/>
      <w:bookmarkStart w:id="217" w:name="Tc_xe3AdQ5OZkupBx8TxY2uKw_1_2"/>
      <w:bookmarkStart w:id="218" w:name="_419ae29e_2ba3_4e2c_bb44_7608597810fc"/>
      <w:bookmarkStart w:id="219" w:name="_319b9ccc_2cb3_4b81_b419_cb6d4b617547"/>
      <w:bookmarkStart w:id="220" w:name="Tc_U_yf-bwRLU6s8di4M_gvaA_27_0"/>
      <w:bookmarkStart w:id="221" w:name="Tc_4Kdg-PcRAUa7Gm2Rkvhy8Q_26_11"/>
      <w:bookmarkStart w:id="222" w:name="Tc_UsKfXBENUkyLL6vYHbZHfw_26_8"/>
      <w:bookmarkStart w:id="223" w:name="Tc_bh5yYH9cxkqBqr7vFfUjLQ_26_5"/>
      <w:bookmarkStart w:id="224" w:name="Tc_r7rPkxOUwEOFxR3fO6ozeg_26_2"/>
      <w:bookmarkStart w:id="225" w:name="Tc_oWxoRuSR6UqBQWVaYFSmiA_26_0"/>
      <w:bookmarkStart w:id="226" w:name="Tc_TBuEubi8HEuxK37TnI3zgg_25_5"/>
      <w:bookmarkStart w:id="227" w:name="Tc_8-PXHgfvjUC0_riJGqMJFQ_25_2"/>
      <w:bookmarkStart w:id="228" w:name="Tc_ff2feMPdAkWzldPcyZ8W6Q_25_0"/>
      <w:bookmarkStart w:id="229" w:name="Tc_y1oF6vlG5kCJeUWc2gPBJw_24_0"/>
      <w:bookmarkStart w:id="230" w:name="Tc_v75_wlaCP0-L_gF8WdFJ7g_23_11"/>
      <w:bookmarkStart w:id="231" w:name="Tc_5JHxl--MzE-3BfYTPyajjA_23_8"/>
      <w:bookmarkStart w:id="232" w:name="Tc_IfoRK5IC7k-aTFHxoogw-Q_23_5"/>
      <w:bookmarkStart w:id="233" w:name="Tc_O1bNR5wy60mgam_fr3tZrg_23_2"/>
      <w:bookmarkStart w:id="234" w:name="Tc_I2ehUZxDBUS_hSkMV8ZLlw_23_0"/>
      <w:bookmarkStart w:id="235" w:name="Tc_e7y1U1SdVkGit15fYVoy_A_22_0"/>
      <w:bookmarkStart w:id="236" w:name="Tc_UiI1zQFf5EeHb_eAIIgQdA_21_12"/>
      <w:bookmarkStart w:id="237" w:name="Tc_OsFA-UUgGUKiUdwz3hUJgA_21_6"/>
      <w:bookmarkStart w:id="238" w:name="Tc_m8nqNHZuekCmnCs-42_lmw_21_3"/>
      <w:bookmarkStart w:id="239" w:name="Tc_4LVUK7kOyEyw1BKIMt7_9Q_21_0"/>
      <w:bookmarkStart w:id="240" w:name="Tc_I_Ffe0VWskSvuKpQT2_MJQ_20_0"/>
      <w:bookmarkStart w:id="241" w:name="Tc_aWqYbojytEuKDgfTTumX8w_19_0"/>
      <w:bookmarkStart w:id="242" w:name="Tc_xE7UoqzQgEmYQLVzricp7A_18_0"/>
      <w:bookmarkStart w:id="243" w:name="Tc_jbM9kN2bR0OGBk7tqxo9VA_17_0"/>
      <w:bookmarkStart w:id="244" w:name="Tc_2lL1v4MxCkKmsxi9bkruTg_16_0"/>
      <w:bookmarkStart w:id="245" w:name="Tc_zjOLJysi9kKCsQtfiqxJ4w_15_0"/>
      <w:bookmarkStart w:id="246" w:name="Tc_dA5WPEWXOki3qPssUofu4Q_14_0"/>
      <w:bookmarkStart w:id="247" w:name="Tc_tze10U_yBEyIbaFKS4Sjkg_13_0"/>
      <w:bookmarkStart w:id="248" w:name="Tc_RnItYorSWkiv6FNKQijo8w_12_0"/>
      <w:bookmarkStart w:id="249" w:name="Tc_86X3jHew6kmuARIhl_EQKg_11_0"/>
      <w:bookmarkStart w:id="250" w:name="Tc_5ZeUZVsX_EKEd_lrWGIQ_Q_10_0"/>
      <w:bookmarkStart w:id="251" w:name="Tc_0TLU0Diln0W20G3UjruTcA_9_0"/>
      <w:bookmarkStart w:id="252" w:name="Tc_ILx3ZwHBk0OBtDEHFSIQ1g_8_0"/>
      <w:bookmarkStart w:id="253" w:name="Tc_DSNZm7tduU6DcG84VW2AMA_7_0"/>
      <w:bookmarkStart w:id="254" w:name="Tc_bGEAjzxS_U6OvcktiXu6Lw_6_0"/>
      <w:bookmarkStart w:id="255" w:name="Tc_LXDhGfu9O0-nyybA1SIiUw_5_11"/>
      <w:bookmarkStart w:id="256" w:name="Tc_2GjgImVr0kq4nKRAQbjz4g_5_8"/>
      <w:bookmarkStart w:id="257" w:name="Tc_lASIwflGoUyDmVGtJW0Cmg_5_5"/>
      <w:bookmarkStart w:id="258" w:name="Tc_Rczado53e0uNWbHC9Cmnkg_5_2"/>
      <w:bookmarkStart w:id="259" w:name="Tc_FodHHBXLsUubgFeaMW-S8A_5_0"/>
      <w:bookmarkStart w:id="260" w:name="Tc_iKUpXAtX10eEaR2D3J1_Sw_4_0"/>
      <w:bookmarkStart w:id="261" w:name="Tc_JY6gPTe1dEK4RIi9GB8HJQ_3_11"/>
      <w:bookmarkStart w:id="262" w:name="Tc_tzc_tUgTdUaaJBdbcFu1Ig_3_8"/>
      <w:bookmarkStart w:id="263" w:name="Tc_EJcZ3nExG0i5iMiSnGDsFg_3_5"/>
      <w:bookmarkStart w:id="264" w:name="Tc_Ic28Gk49YkmQo043sxMwdA_3_2"/>
      <w:bookmarkStart w:id="265" w:name="Tc_nwVWKhB9XU-28ybTh2ZDqw_2_8"/>
      <w:bookmarkStart w:id="266" w:name="Tc_SM-3UdMwnUizYTQVM77sBw_2_2"/>
      <w:bookmarkStart w:id="267" w:name="Tc_Rti1zcWHL0CbZp72NM3KWA_1_8"/>
      <w:bookmarkStart w:id="268" w:name="Tc_xe3AdQ5OZkupBx8TxY2uKw_1_2"/>
      <w:bookmarkStart w:id="269" w:name="_419ae29e_2ba3_4e2c_bb44_7608597810fc"/>
      <w:bookmarkStart w:id="270" w:name="_319b9ccc_2cb3_4b81_b419_cb6d4b617547"/>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tbl>
      <w:tblPr>
        <w:tblW w:w="10205" w:type="dxa"/>
        <w:jc w:val="left"/>
        <w:tblInd w:w="0" w:type="dxa"/>
        <w:tblLayout w:type="fixed"/>
        <w:tblCellMar>
          <w:top w:w="0" w:type="dxa"/>
          <w:left w:w="0" w:type="dxa"/>
          <w:bottom w:w="0" w:type="dxa"/>
          <w:right w:w="0" w:type="dxa"/>
        </w:tblCellMar>
      </w:tblPr>
      <w:tblGrid>
        <w:gridCol w:w="5135"/>
        <w:gridCol w:w="346"/>
        <w:gridCol w:w="211"/>
        <w:gridCol w:w="697"/>
        <w:gridCol w:w="346"/>
        <w:gridCol w:w="211"/>
        <w:gridCol w:w="778"/>
        <w:gridCol w:w="109"/>
        <w:gridCol w:w="211"/>
        <w:gridCol w:w="778"/>
        <w:gridCol w:w="346"/>
        <w:gridCol w:w="211"/>
        <w:gridCol w:w="826"/>
      </w:tblGrid>
      <w:tr>
        <w:trPr/>
        <w:tc>
          <w:tcPr>
            <w:tcW w:w="5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260725" cy="175260"/>
                      <wp:effectExtent l="0" t="0" r="0" b="0"/>
                      <wp:wrapNone/>
                      <wp:docPr id="11" name="Frame11"/>
                      <a:graphic xmlns:a="http://schemas.openxmlformats.org/drawingml/2006/main">
                        <a:graphicData uri="http://schemas.microsoft.com/office/word/2010/wordprocessingShape">
                          <wps:wsp>
                            <wps:cNvSpPr txBox="1"/>
                            <wps:spPr>
                              <a:xfrm>
                                <a:off x="0" y="0"/>
                                <a:ext cx="3260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42595" cy="175260"/>
                      <wp:effectExtent l="0" t="0" r="0" b="0"/>
                      <wp:wrapNone/>
                      <wp:docPr id="14" name="Frame14"/>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4030" cy="175260"/>
                      <wp:effectExtent l="0" t="0" r="0" b="0"/>
                      <wp:wrapNone/>
                      <wp:docPr id="17" name="Frame17"/>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94030" cy="175260"/>
                      <wp:effectExtent l="0" t="0" r="0" b="0"/>
                      <wp:wrapNone/>
                      <wp:docPr id="20" name="Frame20"/>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24510" cy="175260"/>
                      <wp:effectExtent l="0" t="0" r="0" b="0"/>
                      <wp:wrapNone/>
                      <wp:docPr id="23" name="Frame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43"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372"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51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37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51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center"/>
              <w:rPr/>
            </w:pPr>
            <w:r>
              <w:rPr/>
              <w:t>​</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09" w:type="dxa"/>
            <w:tcBorders/>
            <w:vAlign w:val="center"/>
          </w:tcPr>
          <w:p>
            <w:pPr>
              <w:pStyle w:val="TableContents"/>
              <w:bidi w:val="0"/>
              <w:spacing w:before="0" w:after="1"/>
              <w:ind w:left="0" w:right="0" w:hanging="0"/>
              <w:jc w:val="center"/>
              <w:rPr/>
            </w:pPr>
            <w:r>
              <w:rPr/>
              <w:t>​</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NeuroStar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15,084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28,400</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Greenbrook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41,683</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41,568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38,108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76,022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70,083</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NeuroStar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4,311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7,461</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Greenbrook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29,126</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cost of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20,350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38,645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36,587</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37,377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33,496</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23,867</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12,150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24,452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25,287</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3,414</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25,816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47,873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52,568</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(19,072)</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3,891</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on extinguishment of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(435)</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Net loss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(9,839)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(22,528)</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Net gain (loss) attributable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 attributable to Neuronetics stockholders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(10,120)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(22,795)</w:t>
            </w:r>
          </w:p>
        </w:tc>
      </w:tr>
      <w:tr>
        <w:trPr/>
        <w:tc>
          <w:tcPr>
            <w:tcW w:w="51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 per share of common stock outstanding, basic and diluted attributable to Neuronetics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(0.36)</w:t>
            </w:r>
          </w:p>
        </w:tc>
      </w:tr>
      <w:tr>
        <w:trPr/>
        <w:tc>
          <w:tcPr>
            <w:tcW w:w="51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common shares outstanding,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9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73,129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66,180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71,369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63,835</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consolidated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71" w:name="_e3221588_bf8b_4b87_ae7d_45039a450ccb"/>
      <w:bookmarkEnd w:id="271"/>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272" w:name="StatementofChangesinStockholders_240276"/>
      <w:bookmarkEnd w:id="272"/>
      <w:r>
        <w:rPr>
          <w:rFonts w:ascii="Arial;Helvetica;sans-serif" w:hAnsi="Arial;Helvetica;sans-serif"/>
          <w:b/>
          <w:sz w:val="20"/>
        </w:rPr>
        <w:t>Consolidated Statements of Changes in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73" w:name="Tc_2h3SxiT9DkS3LjmQXwGx1Q_27_16"/>
      <w:bookmarkStart w:id="274" w:name="Tc_e6Aw9KJOq0ux0k7vC0CqEA_27_13"/>
      <w:bookmarkStart w:id="275" w:name="Tc__d3NYUspMUudgx2JdHJ5nw_27_10"/>
      <w:bookmarkStart w:id="276" w:name="Tc_T2GCu329Hku36IziBRIAbw_27_7"/>
      <w:bookmarkStart w:id="277" w:name="Tc_CE-Ksk0P4UuCyc_8F146gw_27_4"/>
      <w:bookmarkStart w:id="278" w:name="Tc_pSxNXjbDcUSIn8pl4x6TqA_27_0"/>
      <w:bookmarkStart w:id="279" w:name="Tc__szgqJp3xk-NFIV77SFcKQ_26_0"/>
      <w:bookmarkStart w:id="280" w:name="Tc_tjxZEn1ZiUSyRdrsukXRRA_25_17"/>
      <w:bookmarkStart w:id="281" w:name="Tc_iGY5jfN9E0OCs-RJX1exzw_25_8"/>
      <w:bookmarkStart w:id="282" w:name="Tc_TUvOzVMDh0qb8GmMCm2iqg_25_5"/>
      <w:bookmarkStart w:id="283" w:name="Tc_Qos9Q4gYAkmeqFXKL7jjNA_25_2"/>
      <w:bookmarkStart w:id="284" w:name="Tc_AN7-stLtZ0e9YETUBtutcA_25_0"/>
      <w:bookmarkStart w:id="285" w:name="Tc_WlzmmhjdPkiCRQZXWwZXfw_24_8"/>
      <w:bookmarkStart w:id="286" w:name="Tc_tXvtYLVR2UGtVn5iDBosww_24_5"/>
      <w:bookmarkStart w:id="287" w:name="Tc_4VJmiVyDK02t7x-IJZ3dfA_24_2"/>
      <w:bookmarkStart w:id="288" w:name="Tc_FyA-OFpWK0Oohuu6A9bmfQ_24_0"/>
      <w:bookmarkStart w:id="289" w:name="Tc_l4n64Yzc8EacJjxS_kvWuw_23_11"/>
      <w:bookmarkStart w:id="290" w:name="Tc_6h79AT2Vikmh2ZuJtc0waQ_23_5"/>
      <w:bookmarkStart w:id="291" w:name="Tc_bszzVk8JhkKL1wNxURVkUg_23_2"/>
      <w:bookmarkStart w:id="292" w:name="Tc_AVgBGyeugUKTmadfixQK6Q_23_0"/>
      <w:bookmarkStart w:id="293" w:name="Tc_GldYPNgYvUmP0xaIBiyK4g_22_14"/>
      <w:bookmarkStart w:id="294" w:name="Tc_hHxLhrjJekquI9-lLscQAw_22_11"/>
      <w:bookmarkStart w:id="295" w:name="Tc_gG2y5xJSskqXvzoX_MyIpw_22_0"/>
      <w:bookmarkStart w:id="296" w:name="Tc_k8nLtUL1uE-H6ANlJxFuvQ_21_17"/>
      <w:bookmarkStart w:id="297" w:name="Tc_G1O2HXxElkeKF3DXB0c79Q_21_14"/>
      <w:bookmarkStart w:id="298" w:name="Tc_gCrRFIGFXkyCWMXqNy3jjw_21_11"/>
      <w:bookmarkStart w:id="299" w:name="Tc_irpzE5VGUkWfOBrkg01F0w_21_0"/>
      <w:bookmarkStart w:id="300" w:name="Tc_9JIKnTVQG0KXU9c4sMRIZw_20_16"/>
      <w:bookmarkStart w:id="301" w:name="Tc_dUfByuJXCk6a_9drdqRraQ_20_13"/>
      <w:bookmarkStart w:id="302" w:name="Tc_OkEgd_-2XkeiwdCVYs77UQ_20_10"/>
      <w:bookmarkStart w:id="303" w:name="Tc_1LQ4E7Hi-UiG5ts06un7Eg_20_7"/>
      <w:bookmarkStart w:id="304" w:name="Tc_o9vZd70-SUmaUQCdmbezyw_20_4"/>
      <w:bookmarkStart w:id="305" w:name="Tc_LmcoMcuEGEqQYNaf5KW_VQ_20_0"/>
      <w:bookmarkStart w:id="306" w:name="Tc_oVtNAtUu2U-MSqJNvBnrXw_19_11"/>
      <w:bookmarkStart w:id="307" w:name="Tc_hBX1Or3UR0uqXFkPAaYMHg_19_8"/>
      <w:bookmarkStart w:id="308" w:name="Tc_Q7N3pW9bjUWwjpxkmKkYiw_19_5"/>
      <w:bookmarkStart w:id="309" w:name="Tc_CLsrC-esKUixrjXXuQVQdQ_19_2"/>
      <w:bookmarkStart w:id="310" w:name="Tc_ibeJtA5RMU6rjP1EHVeUfA_19_0"/>
      <w:bookmarkStart w:id="311" w:name="Tc_b90dyI0ZiEOURIpLRwffWA_18_8"/>
      <w:bookmarkStart w:id="312" w:name="Tc_VN356UwQw0-5NTReuu21mA_18_5"/>
      <w:bookmarkStart w:id="313" w:name="Tc_kubQyRW8vUib1WmtKVK1yw_18_2"/>
      <w:bookmarkStart w:id="314" w:name="Tc_e9brnEFMSEKvFRkDK7CPvg_18_0"/>
      <w:bookmarkStart w:id="315" w:name="Tc_2AW4CqObXk-2lfMGsLtFRA_17_14"/>
      <w:bookmarkStart w:id="316" w:name="Tc_nHsU1qZwY0q4Rel04ZeYsg_17_11"/>
      <w:bookmarkStart w:id="317" w:name="Tc_G4Ksd0eXxk2hiejTzI1BUg_17_5"/>
      <w:bookmarkStart w:id="318" w:name="Tc_3Py4gwv8r0W8dtM2osPC9A_17_2"/>
      <w:bookmarkStart w:id="319" w:name="Tc_vk-GxYbTqkuosEerurB2ug_17_0"/>
      <w:bookmarkStart w:id="320" w:name="Tc_68zLWYfoE0W8X8xZ3GqMCQ_16_17"/>
      <w:bookmarkStart w:id="321" w:name="Tc_fdEE7t0q902tvlj9VK-btw_16_14"/>
      <w:bookmarkStart w:id="322" w:name="Tc_ClfeYZBc7kunHWWc0WP7hg_16_11"/>
      <w:bookmarkStart w:id="323" w:name="Tc_AgSOfDhfDkqjlfo6MAMb5Q_16_0"/>
      <w:bookmarkStart w:id="324" w:name="Tc_mFgY-QgwGky_tQpftBknmA_15_16"/>
      <w:bookmarkStart w:id="325" w:name="Tc_rffykB07l0KSNAJtaSvLqA_15_13"/>
      <w:bookmarkStart w:id="326" w:name="Tc_9dfIkgy9nUG3G3F_qLGX2w_15_10"/>
      <w:bookmarkStart w:id="327" w:name="Tc_CBosS5MG5E68j--54yn1-A_15_7"/>
      <w:bookmarkStart w:id="328" w:name="Tc_O1z7dYSk3kOG7aYumcn2kw_15_4"/>
      <w:bookmarkStart w:id="329" w:name="Tc_E0CGrE7uQUea1duWLuJZog_15_0"/>
      <w:bookmarkStart w:id="330" w:name="Tc_ObaLBN4VPUOCDjE0Q8AXsw_13_16"/>
      <w:bookmarkStart w:id="331" w:name="Tc_EDE4t3xfZkqoJ7gdrPItAg_13_13"/>
      <w:bookmarkStart w:id="332" w:name="Tc_ZkZEY4Fdr06nWRggE7nIgQ_13_10"/>
      <w:bookmarkStart w:id="333" w:name="Tc_zuVyERR5GEeEnALgsCQIgw_13_7"/>
      <w:bookmarkStart w:id="334" w:name="Tc_cADmf7NsXUCl1NHSzNL7ZA_13_4"/>
      <w:bookmarkStart w:id="335" w:name="Tc_5MahyKCMgk-NeKC5pZDRNw_13_0"/>
      <w:bookmarkStart w:id="336" w:name="Tc_2RnIVahVvUWGrc-DUkP33w_12_8"/>
      <w:bookmarkStart w:id="337" w:name="Tc_qLkIV1pgqEq8DBW7bopDvw_12_5"/>
      <w:bookmarkStart w:id="338" w:name="Tc_h70Wy7jk2EeSo_q4awgqAA_12_2"/>
      <w:bookmarkStart w:id="339" w:name="Tc_sc9o2Htn2ka4cSplMGOc1Q_12_0"/>
      <w:bookmarkStart w:id="340" w:name="Tc_ZZzJdc-DDUubAlR90bJloQ_11_14"/>
      <w:bookmarkStart w:id="341" w:name="Tc_fZmHsy8AbUKP_wPOJaL84A_11_11"/>
      <w:bookmarkStart w:id="342" w:name="Tc_48CYcDhWaUOF_oZ0PdJyWQ_11_5"/>
      <w:bookmarkStart w:id="343" w:name="Tc_R6f2WI9aWUixmSszcIGn5g_11_2"/>
      <w:bookmarkStart w:id="344" w:name="Tc_VscpaF_6l0iFok-vLwnWgA_11_0"/>
      <w:bookmarkStart w:id="345" w:name="Tc_-orActPe8Uee3-8OWyh-QA_10_14"/>
      <w:bookmarkStart w:id="346" w:name="Tc_50GG5VTFYUahjS_G1Qi4eQ_10_11"/>
      <w:bookmarkStart w:id="347" w:name="Tc_76TZ_LUGu0OgZqdW8etLUQ_10_0"/>
      <w:bookmarkStart w:id="348" w:name="Tc_gKSxEBToUU221GUhw525PQ_9_16"/>
      <w:bookmarkStart w:id="349" w:name="Tc_ImCrnlttkEaDdartywZfwg_9_13"/>
      <w:bookmarkStart w:id="350" w:name="Tc_KYtE7WM0QkilUp4xqr1Iew_9_10"/>
      <w:bookmarkStart w:id="351" w:name="Tc_5-KSg2WXd0u_OEoHON0ogg_9_7"/>
      <w:bookmarkStart w:id="352" w:name="Tc_ynmBPCMFtEWrkJXtREWFsA_9_4"/>
      <w:bookmarkStart w:id="353" w:name="Tc_QNb22gxmA06VX0x5ngdzwg_9_0"/>
      <w:bookmarkStart w:id="354" w:name="Tc_m7ICflGTGUKio1dMB2KefQ_8_8"/>
      <w:bookmarkStart w:id="355" w:name="Tc_c-q2Tpmq7Eiz-ghVtXC6Yg_8_5"/>
      <w:bookmarkStart w:id="356" w:name="Tc_AJi22aRzdUWR-0IQaTNxcg_8_2"/>
      <w:bookmarkStart w:id="357" w:name="Tc_sQpBcBnBOk-5x8u-JbOVrw_8_0"/>
      <w:bookmarkStart w:id="358" w:name="Tc_WbMecYNf-UeKhWvMtubc7Q_7_14"/>
      <w:bookmarkStart w:id="359" w:name="Tc_ZBT4AZPkUkyAuem06-aMcg_7_11"/>
      <w:bookmarkStart w:id="360" w:name="Tc_Phq_kS8n00KepFnN9Eh-ug_7_5"/>
      <w:bookmarkStart w:id="361" w:name="Tc_DYlaADAeckGAE6s-vGk68A_7_2"/>
      <w:bookmarkStart w:id="362" w:name="Tc_SQ_H3FwrjUulzFIlmnHYoA_7_0"/>
      <w:bookmarkStart w:id="363" w:name="Tc_lICxXWhEsk2Gz3SxvpD68A_6_14"/>
      <w:bookmarkStart w:id="364" w:name="Tc_7_yzvHOv8E6zHxycT0ayHg_6_11"/>
      <w:bookmarkStart w:id="365" w:name="Tc_f8N7Y3o0R02cDhel7jCRcg_6_0"/>
      <w:bookmarkStart w:id="366" w:name="Tc_iuG-WwGkA0mIjPPVWu0pIg_5_14"/>
      <w:bookmarkStart w:id="367" w:name="Tc_NprO893rxEeqjOKotv5M5Q_5_11"/>
      <w:bookmarkStart w:id="368" w:name="Tc_qGgoXljmgEuuQVAAw5lygA_5_0"/>
      <w:bookmarkStart w:id="369" w:name="Tc_aCPAjJvJrUqyUFa6npyXuQ_4_16"/>
      <w:bookmarkStart w:id="370" w:name="Tc_ccCn3uJGhUicx4t7BvO8iw_4_13"/>
      <w:bookmarkStart w:id="371" w:name="Tc_UAXIR5YrGkSAcF5uSZxbKw_4_10"/>
      <w:bookmarkStart w:id="372" w:name="Tc_kQsfcU6a70aP60qnaZuugg_4_7"/>
      <w:bookmarkStart w:id="373" w:name="Tc_qXbXc434fUGeVqy8V5NCAw_4_4"/>
      <w:bookmarkStart w:id="374" w:name="Tc_VlxmR8DmGk20Xfea4Zcv1w_4_0"/>
      <w:bookmarkStart w:id="375" w:name="Tc_Qsdbm69kPkyCScOOefDt1w_3_16"/>
      <w:bookmarkStart w:id="376" w:name="Tc_ryXEuHBRT0CmOeZXXaXQow_3_13"/>
      <w:bookmarkStart w:id="377" w:name="Tc_vQl4SCgKmUmysnqPHogXHw_3_10"/>
      <w:bookmarkStart w:id="378" w:name="Tc_z6gVdemR6UC6SNuSRmzOew_3_7"/>
      <w:bookmarkStart w:id="379" w:name="Tc_Xf_NDPMOh0mHZTNqa9rURw_3_4"/>
      <w:bookmarkStart w:id="380" w:name="Tc_6TOtg_29MUKQkErg2TpI2A_3_2"/>
      <w:bookmarkStart w:id="381" w:name="Tc_RsoDpvHo9EWMpcLodhiSwg_2_16"/>
      <w:bookmarkStart w:id="382" w:name="Tc_zceKflS3YEizGFXTeLKWug_2_13"/>
      <w:bookmarkStart w:id="383" w:name="Tc_TONixtRpTUOPou6vFyTl5Q_2_10"/>
      <w:bookmarkStart w:id="384" w:name="Tc_MoO62L38bUyUw8U5r14aow_2_7"/>
      <w:bookmarkStart w:id="385" w:name="Tc_WzrX7Vqc6UmrVgBxfHDAOA_2_2"/>
      <w:bookmarkStart w:id="386" w:name="Tc_ARmuFh7YikG5JXOlVrIsfQ_1_7"/>
      <w:bookmarkStart w:id="387" w:name="_5f2995f3_7ed9_4e1a_901d_f4d0ebf491ad"/>
      <w:bookmarkStart w:id="388" w:name="Tc_2h3SxiT9DkS3LjmQXwGx1Q_27_16"/>
      <w:bookmarkStart w:id="389" w:name="Tc_e6Aw9KJOq0ux0k7vC0CqEA_27_13"/>
      <w:bookmarkStart w:id="390" w:name="Tc__d3NYUspMUudgx2JdHJ5nw_27_10"/>
      <w:bookmarkStart w:id="391" w:name="Tc_T2GCu329Hku36IziBRIAbw_27_7"/>
      <w:bookmarkStart w:id="392" w:name="Tc_CE-Ksk0P4UuCyc_8F146gw_27_4"/>
      <w:bookmarkStart w:id="393" w:name="Tc_pSxNXjbDcUSIn8pl4x6TqA_27_0"/>
      <w:bookmarkStart w:id="394" w:name="Tc__szgqJp3xk-NFIV77SFcKQ_26_0"/>
      <w:bookmarkStart w:id="395" w:name="Tc_tjxZEn1ZiUSyRdrsukXRRA_25_17"/>
      <w:bookmarkStart w:id="396" w:name="Tc_iGY5jfN9E0OCs-RJX1exzw_25_8"/>
      <w:bookmarkStart w:id="397" w:name="Tc_TUvOzVMDh0qb8GmMCm2iqg_25_5"/>
      <w:bookmarkStart w:id="398" w:name="Tc_Qos9Q4gYAkmeqFXKL7jjNA_25_2"/>
      <w:bookmarkStart w:id="399" w:name="Tc_AN7-stLtZ0e9YETUBtutcA_25_0"/>
      <w:bookmarkStart w:id="400" w:name="Tc_WlzmmhjdPkiCRQZXWwZXfw_24_8"/>
      <w:bookmarkStart w:id="401" w:name="Tc_tXvtYLVR2UGtVn5iDBosww_24_5"/>
      <w:bookmarkStart w:id="402" w:name="Tc_4VJmiVyDK02t7x-IJZ3dfA_24_2"/>
      <w:bookmarkStart w:id="403" w:name="Tc_FyA-OFpWK0Oohuu6A9bmfQ_24_0"/>
      <w:bookmarkStart w:id="404" w:name="Tc_l4n64Yzc8EacJjxS_kvWuw_23_11"/>
      <w:bookmarkStart w:id="405" w:name="Tc_6h79AT2Vikmh2ZuJtc0waQ_23_5"/>
      <w:bookmarkStart w:id="406" w:name="Tc_bszzVk8JhkKL1wNxURVkUg_23_2"/>
      <w:bookmarkStart w:id="407" w:name="Tc_AVgBGyeugUKTmadfixQK6Q_23_0"/>
      <w:bookmarkStart w:id="408" w:name="Tc_GldYPNgYvUmP0xaIBiyK4g_22_14"/>
      <w:bookmarkStart w:id="409" w:name="Tc_hHxLhrjJekquI9-lLscQAw_22_11"/>
      <w:bookmarkStart w:id="410" w:name="Tc_gG2y5xJSskqXvzoX_MyIpw_22_0"/>
      <w:bookmarkStart w:id="411" w:name="Tc_k8nLtUL1uE-H6ANlJxFuvQ_21_17"/>
      <w:bookmarkStart w:id="412" w:name="Tc_G1O2HXxElkeKF3DXB0c79Q_21_14"/>
      <w:bookmarkStart w:id="413" w:name="Tc_gCrRFIGFXkyCWMXqNy3jjw_21_11"/>
      <w:bookmarkStart w:id="414" w:name="Tc_irpzE5VGUkWfOBrkg01F0w_21_0"/>
      <w:bookmarkStart w:id="415" w:name="Tc_9JIKnTVQG0KXU9c4sMRIZw_20_16"/>
      <w:bookmarkStart w:id="416" w:name="Tc_dUfByuJXCk6a_9drdqRraQ_20_13"/>
      <w:bookmarkStart w:id="417" w:name="Tc_OkEgd_-2XkeiwdCVYs77UQ_20_10"/>
      <w:bookmarkStart w:id="418" w:name="Tc_1LQ4E7Hi-UiG5ts06un7Eg_20_7"/>
      <w:bookmarkStart w:id="419" w:name="Tc_o9vZd70-SUmaUQCdmbezyw_20_4"/>
      <w:bookmarkStart w:id="420" w:name="Tc_LmcoMcuEGEqQYNaf5KW_VQ_20_0"/>
      <w:bookmarkStart w:id="421" w:name="Tc_oVtNAtUu2U-MSqJNvBnrXw_19_11"/>
      <w:bookmarkStart w:id="422" w:name="Tc_hBX1Or3UR0uqXFkPAaYMHg_19_8"/>
      <w:bookmarkStart w:id="423" w:name="Tc_Q7N3pW9bjUWwjpxkmKkYiw_19_5"/>
      <w:bookmarkStart w:id="424" w:name="Tc_CLsrC-esKUixrjXXuQVQdQ_19_2"/>
      <w:bookmarkStart w:id="425" w:name="Tc_ibeJtA5RMU6rjP1EHVeUfA_19_0"/>
      <w:bookmarkStart w:id="426" w:name="Tc_b90dyI0ZiEOURIpLRwffWA_18_8"/>
      <w:bookmarkStart w:id="427" w:name="Tc_VN356UwQw0-5NTReuu21mA_18_5"/>
      <w:bookmarkStart w:id="428" w:name="Tc_kubQyRW8vUib1WmtKVK1yw_18_2"/>
      <w:bookmarkStart w:id="429" w:name="Tc_e9brnEFMSEKvFRkDK7CPvg_18_0"/>
      <w:bookmarkStart w:id="430" w:name="Tc_2AW4CqObXk-2lfMGsLtFRA_17_14"/>
      <w:bookmarkStart w:id="431" w:name="Tc_nHsU1qZwY0q4Rel04ZeYsg_17_11"/>
      <w:bookmarkStart w:id="432" w:name="Tc_G4Ksd0eXxk2hiejTzI1BUg_17_5"/>
      <w:bookmarkStart w:id="433" w:name="Tc_3Py4gwv8r0W8dtM2osPC9A_17_2"/>
      <w:bookmarkStart w:id="434" w:name="Tc_vk-GxYbTqkuosEerurB2ug_17_0"/>
      <w:bookmarkStart w:id="435" w:name="Tc_68zLWYfoE0W8X8xZ3GqMCQ_16_17"/>
      <w:bookmarkStart w:id="436" w:name="Tc_fdEE7t0q902tvlj9VK-btw_16_14"/>
      <w:bookmarkStart w:id="437" w:name="Tc_ClfeYZBc7kunHWWc0WP7hg_16_11"/>
      <w:bookmarkStart w:id="438" w:name="Tc_AgSOfDhfDkqjlfo6MAMb5Q_16_0"/>
      <w:bookmarkStart w:id="439" w:name="Tc_mFgY-QgwGky_tQpftBknmA_15_16"/>
      <w:bookmarkStart w:id="440" w:name="Tc_rffykB07l0KSNAJtaSvLqA_15_13"/>
      <w:bookmarkStart w:id="441" w:name="Tc_9dfIkgy9nUG3G3F_qLGX2w_15_10"/>
      <w:bookmarkStart w:id="442" w:name="Tc_CBosS5MG5E68j--54yn1-A_15_7"/>
      <w:bookmarkStart w:id="443" w:name="Tc_O1z7dYSk3kOG7aYumcn2kw_15_4"/>
      <w:bookmarkStart w:id="444" w:name="Tc_E0CGrE7uQUea1duWLuJZog_15_0"/>
      <w:bookmarkStart w:id="445" w:name="Tc_ObaLBN4VPUOCDjE0Q8AXsw_13_16"/>
      <w:bookmarkStart w:id="446" w:name="Tc_EDE4t3xfZkqoJ7gdrPItAg_13_13"/>
      <w:bookmarkStart w:id="447" w:name="Tc_ZkZEY4Fdr06nWRggE7nIgQ_13_10"/>
      <w:bookmarkStart w:id="448" w:name="Tc_zuVyERR5GEeEnALgsCQIgw_13_7"/>
      <w:bookmarkStart w:id="449" w:name="Tc_cADmf7NsXUCl1NHSzNL7ZA_13_4"/>
      <w:bookmarkStart w:id="450" w:name="Tc_5MahyKCMgk-NeKC5pZDRNw_13_0"/>
      <w:bookmarkStart w:id="451" w:name="Tc_2RnIVahVvUWGrc-DUkP33w_12_8"/>
      <w:bookmarkStart w:id="452" w:name="Tc_qLkIV1pgqEq8DBW7bopDvw_12_5"/>
      <w:bookmarkStart w:id="453" w:name="Tc_h70Wy7jk2EeSo_q4awgqAA_12_2"/>
      <w:bookmarkStart w:id="454" w:name="Tc_sc9o2Htn2ka4cSplMGOc1Q_12_0"/>
      <w:bookmarkStart w:id="455" w:name="Tc_ZZzJdc-DDUubAlR90bJloQ_11_14"/>
      <w:bookmarkStart w:id="456" w:name="Tc_fZmHsy8AbUKP_wPOJaL84A_11_11"/>
      <w:bookmarkStart w:id="457" w:name="Tc_48CYcDhWaUOF_oZ0PdJyWQ_11_5"/>
      <w:bookmarkStart w:id="458" w:name="Tc_R6f2WI9aWUixmSszcIGn5g_11_2"/>
      <w:bookmarkStart w:id="459" w:name="Tc_VscpaF_6l0iFok-vLwnWgA_11_0"/>
      <w:bookmarkStart w:id="460" w:name="Tc_-orActPe8Uee3-8OWyh-QA_10_14"/>
      <w:bookmarkStart w:id="461" w:name="Tc_50GG5VTFYUahjS_G1Qi4eQ_10_11"/>
      <w:bookmarkStart w:id="462" w:name="Tc_76TZ_LUGu0OgZqdW8etLUQ_10_0"/>
      <w:bookmarkStart w:id="463" w:name="Tc_gKSxEBToUU221GUhw525PQ_9_16"/>
      <w:bookmarkStart w:id="464" w:name="Tc_ImCrnlttkEaDdartywZfwg_9_13"/>
      <w:bookmarkStart w:id="465" w:name="Tc_KYtE7WM0QkilUp4xqr1Iew_9_10"/>
      <w:bookmarkStart w:id="466" w:name="Tc_5-KSg2WXd0u_OEoHON0ogg_9_7"/>
      <w:bookmarkStart w:id="467" w:name="Tc_ynmBPCMFtEWrkJXtREWFsA_9_4"/>
      <w:bookmarkStart w:id="468" w:name="Tc_QNb22gxmA06VX0x5ngdzwg_9_0"/>
      <w:bookmarkStart w:id="469" w:name="Tc_m7ICflGTGUKio1dMB2KefQ_8_8"/>
      <w:bookmarkStart w:id="470" w:name="Tc_c-q2Tpmq7Eiz-ghVtXC6Yg_8_5"/>
      <w:bookmarkStart w:id="471" w:name="Tc_AJi22aRzdUWR-0IQaTNxcg_8_2"/>
      <w:bookmarkStart w:id="472" w:name="Tc_sQpBcBnBOk-5x8u-JbOVrw_8_0"/>
      <w:bookmarkStart w:id="473" w:name="Tc_WbMecYNf-UeKhWvMtubc7Q_7_14"/>
      <w:bookmarkStart w:id="474" w:name="Tc_ZBT4AZPkUkyAuem06-aMcg_7_11"/>
      <w:bookmarkStart w:id="475" w:name="Tc_Phq_kS8n00KepFnN9Eh-ug_7_5"/>
      <w:bookmarkStart w:id="476" w:name="Tc_DYlaADAeckGAE6s-vGk68A_7_2"/>
      <w:bookmarkStart w:id="477" w:name="Tc_SQ_H3FwrjUulzFIlmnHYoA_7_0"/>
      <w:bookmarkStart w:id="478" w:name="Tc_lICxXWhEsk2Gz3SxvpD68A_6_14"/>
      <w:bookmarkStart w:id="479" w:name="Tc_7_yzvHOv8E6zHxycT0ayHg_6_11"/>
      <w:bookmarkStart w:id="480" w:name="Tc_f8N7Y3o0R02cDhel7jCRcg_6_0"/>
      <w:bookmarkStart w:id="481" w:name="Tc_iuG-WwGkA0mIjPPVWu0pIg_5_14"/>
      <w:bookmarkStart w:id="482" w:name="Tc_NprO893rxEeqjOKotv5M5Q_5_11"/>
      <w:bookmarkStart w:id="483" w:name="Tc_qGgoXljmgEuuQVAAw5lygA_5_0"/>
      <w:bookmarkStart w:id="484" w:name="Tc_aCPAjJvJrUqyUFa6npyXuQ_4_16"/>
      <w:bookmarkStart w:id="485" w:name="Tc_ccCn3uJGhUicx4t7BvO8iw_4_13"/>
      <w:bookmarkStart w:id="486" w:name="Tc_UAXIR5YrGkSAcF5uSZxbKw_4_10"/>
      <w:bookmarkStart w:id="487" w:name="Tc_kQsfcU6a70aP60qnaZuugg_4_7"/>
      <w:bookmarkStart w:id="488" w:name="Tc_qXbXc434fUGeVqy8V5NCAw_4_4"/>
      <w:bookmarkStart w:id="489" w:name="Tc_VlxmR8DmGk20Xfea4Zcv1w_4_0"/>
      <w:bookmarkStart w:id="490" w:name="Tc_Qsdbm69kPkyCScOOefDt1w_3_16"/>
      <w:bookmarkStart w:id="491" w:name="Tc_ryXEuHBRT0CmOeZXXaXQow_3_13"/>
      <w:bookmarkStart w:id="492" w:name="Tc_vQl4SCgKmUmysnqPHogXHw_3_10"/>
      <w:bookmarkStart w:id="493" w:name="Tc_z6gVdemR6UC6SNuSRmzOew_3_7"/>
      <w:bookmarkStart w:id="494" w:name="Tc_Xf_NDPMOh0mHZTNqa9rURw_3_4"/>
      <w:bookmarkStart w:id="495" w:name="Tc_6TOtg_29MUKQkErg2TpI2A_3_2"/>
      <w:bookmarkStart w:id="496" w:name="Tc_RsoDpvHo9EWMpcLodhiSwg_2_16"/>
      <w:bookmarkStart w:id="497" w:name="Tc_zceKflS3YEizGFXTeLKWug_2_13"/>
      <w:bookmarkStart w:id="498" w:name="Tc_TONixtRpTUOPou6vFyTl5Q_2_10"/>
      <w:bookmarkStart w:id="499" w:name="Tc_MoO62L38bUyUw8U5r14aow_2_7"/>
      <w:bookmarkStart w:id="500" w:name="Tc_WzrX7Vqc6UmrVgBxfHDAOA_2_2"/>
      <w:bookmarkStart w:id="501" w:name="Tc_ARmuFh7YikG5JXOlVrIsfQ_1_7"/>
      <w:bookmarkStart w:id="502" w:name="_5f2995f3_7ed9_4e1a_901d_f4d0ebf491ad"/>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tbl>
      <w:tblPr>
        <w:tblW w:w="10205" w:type="dxa"/>
        <w:jc w:val="left"/>
        <w:tblInd w:w="0" w:type="dxa"/>
        <w:tblLayout w:type="fixed"/>
        <w:tblCellMar>
          <w:top w:w="0" w:type="dxa"/>
          <w:left w:w="0" w:type="dxa"/>
          <w:bottom w:w="0" w:type="dxa"/>
          <w:right w:w="0" w:type="dxa"/>
        </w:tblCellMar>
      </w:tblPr>
      <w:tblGrid>
        <w:gridCol w:w="2203"/>
        <w:gridCol w:w="346"/>
        <w:gridCol w:w="691"/>
        <w:gridCol w:w="346"/>
        <w:gridCol w:w="250"/>
        <w:gridCol w:w="501"/>
        <w:gridCol w:w="346"/>
        <w:gridCol w:w="211"/>
        <w:gridCol w:w="796"/>
        <w:gridCol w:w="346"/>
        <w:gridCol w:w="228"/>
        <w:gridCol w:w="928"/>
        <w:gridCol w:w="346"/>
        <w:gridCol w:w="345"/>
        <w:gridCol w:w="963"/>
        <w:gridCol w:w="346"/>
        <w:gridCol w:w="211"/>
        <w:gridCol w:w="802"/>
      </w:tblGrid>
      <w:tr>
        <w:trPr/>
        <w:tc>
          <w:tcPr>
            <w:tcW w:w="2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98905" cy="175260"/>
                      <wp:effectExtent l="0" t="0" r="0" b="0"/>
                      <wp:wrapNone/>
                      <wp:docPr id="24" name="Frame24"/>
                      <a:graphic xmlns:a="http://schemas.openxmlformats.org/drawingml/2006/main">
                        <a:graphicData uri="http://schemas.microsoft.com/office/word/2010/wordprocessingShape">
                          <wps:wsp>
                            <wps:cNvSpPr txBox="1"/>
                            <wps:spPr>
                              <a:xfrm>
                                <a:off x="0" y="0"/>
                                <a:ext cx="139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38785" cy="175260"/>
                      <wp:effectExtent l="0" t="0" r="0" b="0"/>
                      <wp:wrapNone/>
                      <wp:docPr id="26" name="Frame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8750" cy="175260"/>
                      <wp:effectExtent l="0" t="0" r="0" b="0"/>
                      <wp:wrapNone/>
                      <wp:docPr id="28" name="Frame2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18135" cy="175260"/>
                      <wp:effectExtent l="0" t="0" r="0" b="0"/>
                      <wp:wrapNone/>
                      <wp:docPr id="29" name="Frame29"/>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5460" cy="175260"/>
                      <wp:effectExtent l="0" t="0" r="0" b="0"/>
                      <wp:wrapNone/>
                      <wp:docPr id="32" name="Frame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4780" cy="175260"/>
                      <wp:effectExtent l="0" t="0" r="0" b="0"/>
                      <wp:wrapNone/>
                      <wp:docPr id="34" name="Frame3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89280" cy="175260"/>
                      <wp:effectExtent l="0" t="0" r="0" b="0"/>
                      <wp:wrapNone/>
                      <wp:docPr id="35" name="Frame35"/>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075" cy="175260"/>
                      <wp:effectExtent l="0" t="0" r="0" b="0"/>
                      <wp:wrapNone/>
                      <wp:docPr id="37" name="Frame37"/>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11505" cy="175260"/>
                      <wp:effectExtent l="0" t="0" r="0" b="0"/>
                      <wp:wrapNone/>
                      <wp:docPr id="38" name="Frame38"/>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09270" cy="175260"/>
                      <wp:effectExtent l="0" t="0" r="0" b="0"/>
                      <wp:wrapNone/>
                      <wp:docPr id="41" name="Frame41"/>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75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46" w:type="dxa"/>
            <w:tcBorders/>
            <w:vAlign w:val="center"/>
          </w:tcPr>
          <w:p>
            <w:pPr>
              <w:pStyle w:val="TableContents"/>
              <w:bidi w:val="0"/>
              <w:spacing w:before="0" w:after="1"/>
              <w:ind w:left="0" w:right="0" w:hanging="0"/>
              <w:jc w:val="center"/>
              <w:rPr/>
            </w:pPr>
            <w:r>
              <w:rPr/>
              <w:t>  ​ ​ ​</w:t>
            </w:r>
          </w:p>
        </w:tc>
        <w:tc>
          <w:tcPr>
            <w:tcW w:w="1156" w:type="dxa"/>
            <w:gridSpan w:val="2"/>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1308" w:type="dxa"/>
            <w:gridSpan w:val="2"/>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1013" w:type="dxa"/>
            <w:gridSpan w:val="2"/>
            <w:tcBorders/>
            <w:vAlign w:val="center"/>
          </w:tcPr>
          <w:p>
            <w:pPr>
              <w:pStyle w:val="TableContents"/>
              <w:bidi w:val="0"/>
              <w:spacing w:before="0" w:after="1"/>
              <w:ind w:left="0" w:right="0" w:hanging="0"/>
              <w:jc w:val="center"/>
              <w:rPr/>
            </w:pPr>
            <w:r>
              <w:rPr/>
              <w:t>​</w:t>
            </w:r>
          </w:p>
        </w:tc>
      </w:tr>
      <w:tr>
        <w:trPr/>
        <w:tc>
          <w:tcPr>
            <w:tcW w:w="22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8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1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308"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Noncontrolling </w:t>
            </w:r>
          </w:p>
        </w:tc>
        <w:tc>
          <w:tcPr>
            <w:tcW w:w="346" w:type="dxa"/>
            <w:tcBorders/>
            <w:vAlign w:val="center"/>
          </w:tcPr>
          <w:p>
            <w:pPr>
              <w:pStyle w:val="TableContents"/>
              <w:bidi w:val="0"/>
              <w:spacing w:before="0" w:after="1"/>
              <w:ind w:left="0" w:right="0" w:hanging="0"/>
              <w:jc w:val="center"/>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2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346" w:type="dxa"/>
            <w:tcBorders/>
            <w:vAlign w:val="center"/>
          </w:tcPr>
          <w:p>
            <w:pPr>
              <w:pStyle w:val="TableContents"/>
              <w:bidi w:val="0"/>
              <w:spacing w:before="0" w:after="1"/>
              <w:ind w:left="0" w:right="0" w:hanging="0"/>
              <w:jc w:val="center"/>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13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Interest</w:t>
            </w:r>
          </w:p>
        </w:tc>
        <w:tc>
          <w:tcPr>
            <w:tcW w:w="346" w:type="dxa"/>
            <w:tcBorders/>
            <w:vAlign w:val="center"/>
          </w:tcPr>
          <w:p>
            <w:pPr>
              <w:pStyle w:val="TableContents"/>
              <w:bidi w:val="0"/>
              <w:spacing w:before="0" w:after="1"/>
              <w:ind w:left="0" w:right="0" w:hanging="0"/>
              <w:jc w:val="center"/>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Equity </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55,679</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446,938</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(419,789)</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31,799</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 exercises</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941</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Issuance of common stock, net of issuance costs of $1,731</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9,200</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18,877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9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18,969</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1,444</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1,444</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(12,675)</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(12,689)</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2025</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65,820</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467,258</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(432,464)</w:t>
            </w:r>
          </w:p>
        </w:tc>
        <w:tc>
          <w:tcPr>
            <w:tcW w:w="346" w:type="dxa"/>
            <w:tcBorders/>
            <w:vAlign w:val="center"/>
          </w:tcPr>
          <w:p>
            <w:pPr>
              <w:pStyle w:val="TableContents"/>
              <w:bidi w:val="0"/>
              <w:spacing w:before="0" w:after="1"/>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39,531</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293</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 </w:t>
            </w:r>
          </w:p>
        </w:tc>
        <w:tc>
          <w:tcPr>
            <w:tcW w:w="9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1,814</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1,814</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(10,120)</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(9,839)</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June 30, 2025</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66,113</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469,070</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(442,584)</w:t>
            </w:r>
          </w:p>
        </w:tc>
        <w:tc>
          <w:tcPr>
            <w:tcW w:w="346" w:type="dxa"/>
            <w:tcBorders/>
            <w:vAlign w:val="center"/>
          </w:tcPr>
          <w:p>
            <w:pPr>
              <w:pStyle w:val="TableContents"/>
              <w:bidi w:val="0"/>
              <w:spacing w:before="0" w:after="1"/>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31,507</w:t>
            </w:r>
          </w:p>
        </w:tc>
      </w:tr>
      <w:tr>
        <w:trPr/>
        <w:tc>
          <w:tcPr>
            <w:tcW w:w="220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9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2025</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68,994</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480,475</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(458,787)</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26,240</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 exercises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589</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 </w:t>
            </w:r>
          </w:p>
        </w:tc>
        <w:tc>
          <w:tcPr>
            <w:tcW w:w="9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1,677</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(10,790)</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 </w:t>
            </w:r>
          </w:p>
        </w:tc>
        <w:tc>
          <w:tcPr>
            <w:tcW w:w="9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(10,780)</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Distribution to non-controlling interest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69,583</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482,146</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(469,577)</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17,060</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557</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Issuance of common stock under ATM offering, net of issuance costs of $483</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6,053</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7,411</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9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7,471</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688</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 </w:t>
            </w:r>
          </w:p>
        </w:tc>
        <w:tc>
          <w:tcPr>
            <w:tcW w:w="9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688</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(3,439)</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 </w:t>
            </w:r>
          </w:p>
        </w:tc>
        <w:tc>
          <w:tcPr>
            <w:tcW w:w="9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(3,464)</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Acquisition of subsidiary non-controlling interest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w:t>
            </w:r>
          </w:p>
        </w:tc>
        <w:tc>
          <w:tcPr>
            <w:tcW w:w="34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9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r>
      <w:tr>
        <w:trPr/>
        <w:tc>
          <w:tcPr>
            <w:tcW w:w="22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Distribution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w:t>
            </w:r>
          </w:p>
        </w:tc>
      </w:tr>
      <w:tr>
        <w:trPr/>
        <w:tc>
          <w:tcPr>
            <w:tcW w:w="22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June 30, 2026</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76,193</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490,239</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(473,151)</w:t>
            </w:r>
          </w:p>
        </w:tc>
        <w:tc>
          <w:tcPr>
            <w:tcW w:w="346" w:type="dxa"/>
            <w:tcBorders/>
            <w:vAlign w:val="center"/>
          </w:tcPr>
          <w:p>
            <w:pPr>
              <w:pStyle w:val="TableContents"/>
              <w:bidi w:val="0"/>
              <w:spacing w:before="0" w:after="1"/>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21,640</w:t>
            </w:r>
          </w:p>
        </w:tc>
      </w:tr>
    </w:tbl>
    <w:p>
      <w:pPr>
        <w:pStyle w:val="TextBody"/>
        <w:bidi w:val="0"/>
        <w:spacing w:before="0" w:after="200"/>
        <w:ind w:left="0" w:right="0" w:hanging="0"/>
        <w:jc w:val="center"/>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consolidated financial statements</w:t>
      </w:r>
      <w:r>
        <w:rPr>
          <w:rFonts w:ascii="Arial;Helvetica;sans-serif" w:hAnsi="Arial;Helvetica;sans-serif"/>
          <w:sz w:val="18"/>
        </w:rPr>
        <w:t>.</w:t>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bookmarkStart w:id="503" w:name="_2dfffece_cbab_4b32_86b4_2b608260851c"/>
      <w:bookmarkEnd w:id="503"/>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504" w:name="StatementsofCashFlows_296622"/>
      <w:bookmarkEnd w:id="504"/>
      <w:r>
        <w:rPr>
          <w:rFonts w:ascii="Arial;Helvetica;sans-serif" w:hAnsi="Arial;Helvetica;sans-serif"/>
          <w:b/>
          <w:sz w:val="20"/>
        </w:rPr>
        <w:t>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Normal"/>
        <w:bidi w:val="0"/>
        <w:spacing w:before="0" w:after="0"/>
        <w:jc w:val="left"/>
        <w:rPr>
          <w:sz w:val="4"/>
          <w:szCs w:val="4"/>
        </w:rPr>
      </w:pPr>
      <w:r>
        <w:rPr>
          <w:sz w:val="4"/>
          <w:szCs w:val="4"/>
        </w:rPr>
      </w:r>
      <w:bookmarkStart w:id="505" w:name="Tc_OFvBYLUjxUKob8Jt7kCjAQ_55_5"/>
      <w:bookmarkStart w:id="506" w:name="Tc_lzQF7ov_CkOTw-IiNz1xvg_55_2"/>
      <w:bookmarkStart w:id="507" w:name="Tc_rSkYGeoxGUeJaqwMUKvgiQ_55_0"/>
      <w:bookmarkStart w:id="508" w:name="Tc_dhVGe2MsJ0Kpn9x5aK5M3Q_54_0"/>
      <w:bookmarkStart w:id="509" w:name="Tc_rOX7N2E1ykyTwPsDT6ieVg_53_5"/>
      <w:bookmarkStart w:id="510" w:name="Tc_ItvVH9UPNEyo_qtSa4MIow_53_2"/>
      <w:bookmarkStart w:id="511" w:name="Tc_KYPcLRwJ1kiKvQ_ARDaamQ_53_0"/>
      <w:bookmarkStart w:id="512" w:name="Tc_DsCuefY5v0iWhbzxfOucZg_52_5"/>
      <w:bookmarkStart w:id="513" w:name="Tc_zEdA5RZxP0CBJiMqxjjtew_52_2"/>
      <w:bookmarkStart w:id="514" w:name="Tc_Amv083wHAki9N-dJaPD0ww_52_0"/>
      <w:bookmarkStart w:id="515" w:name="Tc_7O9fuH5oz06WiMLmQ6gpoA_51_0"/>
      <w:bookmarkStart w:id="516" w:name="Tc_vT7okD1_rES9AAaLsUTsQA_49_5"/>
      <w:bookmarkStart w:id="517" w:name="Tc_ADhVdUag_0qo4FRvSi2KPA_49_2"/>
      <w:bookmarkStart w:id="518" w:name="Tc_mIo4q--cIk64DaIzOucVSA_49_0"/>
      <w:bookmarkStart w:id="519" w:name="Tc_w-4lEl02g0K6mEpWShu-bw_48_0"/>
      <w:bookmarkStart w:id="520" w:name="Tc_t18lS5QxR0GfNe8TxxJckQ_47_0"/>
      <w:bookmarkStart w:id="521" w:name="Tc_pzFV-9g_wkS0zPacHFU5MA_46_0"/>
      <w:bookmarkStart w:id="522" w:name="Tc_O0Yy1882MkCmKIHpx5EDCQ_44_5"/>
      <w:bookmarkStart w:id="523" w:name="Tc_1U7XmPYXa060wiCCyJyhUQ_44_2"/>
      <w:bookmarkStart w:id="524" w:name="Tc_3BwIIO3z1UqOUrmZJ3pyIA_44_0"/>
      <w:bookmarkStart w:id="525" w:name="Tc_Tpq4LvJ-z0iAFyvG2fRyEQ_43_0"/>
      <w:bookmarkStart w:id="526" w:name="Tc_RNrEVm87fkydZwoaBpiBeg_42_0"/>
      <w:bookmarkStart w:id="527" w:name="Tc_twaIbMorikm_NPHMQOEJTQ_41_0"/>
      <w:bookmarkStart w:id="528" w:name="Tc_tEI8kGiRAEeZzAZtcJNpdA_40_3"/>
      <w:bookmarkStart w:id="529" w:name="Tc_BtBcP6XVskeOdamOWbfLqQ_40_0"/>
      <w:bookmarkStart w:id="530" w:name="Tc_gEk9u3V2y0uVbYDU0P7ITQ_39_6"/>
      <w:bookmarkStart w:id="531" w:name="Tc_DdhScLt4IUmQw2zBAjhlFQ_39_0"/>
      <w:bookmarkStart w:id="532" w:name="Tc_VKIDG2uxc0i-QwkkkivxkQ_38_6"/>
      <w:bookmarkStart w:id="533" w:name="Tc_9KX3IrzR4kmf5-FMFz4CFg_38_0"/>
      <w:bookmarkStart w:id="534" w:name="Tc_DGJkInI-sUG0GZ9O-r7n9Q_37_6"/>
      <w:bookmarkStart w:id="535" w:name="Tc_jNvXb5ZYskiFhgDcO8TXfw_37_0"/>
      <w:bookmarkStart w:id="536" w:name="Tc_hWYunPur80qBRYywnBJy7w_36_3"/>
      <w:bookmarkStart w:id="537" w:name="Tc_hFBXYKiH9U-ECFxx7_rCjA_36_0"/>
      <w:bookmarkStart w:id="538" w:name="Tc_OeAMlGQ8l0uNaTnqU10zeA_35_3"/>
      <w:bookmarkStart w:id="539" w:name="Tc_X5RYdaylcE-Jr5N3eeDKxA_35_0"/>
      <w:bookmarkStart w:id="540" w:name="Tc_alvFwkd6Ok-BhNt1nJVEzQ_34_6"/>
      <w:bookmarkStart w:id="541" w:name="Tc_0UW7TdsyCkuQkoqIstxoug_34_0"/>
      <w:bookmarkStart w:id="542" w:name="Tc_cByif1AteUW35BcV3JBrrA_33_6"/>
      <w:bookmarkStart w:id="543" w:name="Tc_oAa7D99y1U-DbqYJFk2A3w_33_0"/>
      <w:bookmarkStart w:id="544" w:name="Tc_jEqWrkSq9EK181o3-kVHAw_32_6"/>
      <w:bookmarkStart w:id="545" w:name="Tc_L0-my7FAAUOgIBEjutStnQ_32_0"/>
      <w:bookmarkStart w:id="546" w:name="Tc_6Y1fYu0aK0-7Fd6QJyXryg_31_6"/>
      <w:bookmarkStart w:id="547" w:name="Tc_eNrrAa8Db0uPKz-3CYOO_g_31_0"/>
      <w:bookmarkStart w:id="548" w:name="Tc_HHQH445sHU-RDKkxCe92Iw_30_0"/>
      <w:bookmarkStart w:id="549" w:name="Tc_NSWEt1I84ESJR9UOevd4rg_28_0"/>
      <w:bookmarkStart w:id="550" w:name="Tc_5Cli_xif7EGZB-n8uFsnZw_27_6"/>
      <w:bookmarkStart w:id="551" w:name="Tc_ZInlYHFH1UyMF8ozD3Ts0Q_27_0"/>
      <w:bookmarkStart w:id="552" w:name="Tc_y1rckD2v3EesO-piV8bcYg_26_0"/>
      <w:bookmarkStart w:id="553" w:name="Tc_E5s4fBHuSEaqqj6ZbNO1JQ_25_0"/>
      <w:bookmarkStart w:id="554" w:name="Tc_gD8ih59UKEOGKGSe1GOtoQ_23_0"/>
      <w:bookmarkStart w:id="555" w:name="Tc_4A8mwHaq5EKOIAU0OIbYkg_22_0"/>
      <w:bookmarkStart w:id="556" w:name="Tc_siXJqZt10UmJaQS8EoVQqQ_21_0"/>
      <w:bookmarkStart w:id="557" w:name="Tc_qDUKbpXSDkGVqKAWTy6PVQ_20_0"/>
      <w:bookmarkStart w:id="558" w:name="Tc_-ar4f7rlx0SnGb0ktgNDaA_19_0"/>
      <w:bookmarkStart w:id="559" w:name="Tc_MOMSax6YRUqH_XK17O6XOg_18_0"/>
      <w:bookmarkStart w:id="560" w:name="Tc_3iYI9DRUckyDc1Wvmhkyhg_17_0"/>
      <w:bookmarkStart w:id="561" w:name="Tc_vwCzltErQke_DsPXTdhzEg_16_0"/>
      <w:bookmarkStart w:id="562" w:name="Tc_AyZyRrrN6kqix9518RVrXg_15_0"/>
      <w:bookmarkStart w:id="563" w:name="Tc_yheERyzCdEO_lBh0qLBorg_14_0"/>
      <w:bookmarkStart w:id="564" w:name="Tc_rglv7DMAgkqRYI0vpTEFJQ_13_0"/>
      <w:bookmarkStart w:id="565" w:name="Tc_5-rHmYIMyUqk1yPPQE_9qQ_12_0"/>
      <w:bookmarkStart w:id="566" w:name="Tc_WTK_hFfx1UOnlvj9kHMhtw_11_6"/>
      <w:bookmarkStart w:id="567" w:name="Tc_grWeOlJGNUSyUnTlYWJnIw_11_0"/>
      <w:bookmarkStart w:id="568" w:name="Tc_sv6L5mPCckeTlGBv1iY8Ig_10_0"/>
      <w:bookmarkStart w:id="569" w:name="Tc_ujz3EXLV0kaZ6LCmeyLKeg_9_0"/>
      <w:bookmarkStart w:id="570" w:name="Tc_LBuC04cJ10qydN-f221Zqg_8_3"/>
      <w:bookmarkStart w:id="571" w:name="Tc_HPn92K2h70i1lR7TuYDD3g_8_0"/>
      <w:bookmarkStart w:id="572" w:name="Tc_NIJjSq9-Uk-P9Ov4aKZ5fA_7_0"/>
      <w:bookmarkStart w:id="573" w:name="Tc_VbRnJOiGmU2MoQtn3NhGZQ_6_0"/>
      <w:bookmarkStart w:id="574" w:name="Tc_UjjJzNvV1UqPqFUzEyTlWA_5_0"/>
      <w:bookmarkStart w:id="575" w:name="Tc_nbYa-6SSZ0ysQHgss7ATYA_4_5"/>
      <w:bookmarkStart w:id="576" w:name="Tc_xO0kwqk0PEai_VY8IrUiow_4_2"/>
      <w:bookmarkStart w:id="577" w:name="Tc_E31p5vNx2EKqepgXWoGJkQ_4_0"/>
      <w:bookmarkStart w:id="578" w:name="Tc_fwo26n1KLEmfa5PDk8msCg_3_0"/>
      <w:bookmarkStart w:id="579" w:name="Tc_gtX8qr0CjUS2Hf5lVDS47A_2_5"/>
      <w:bookmarkStart w:id="580" w:name="Tc_CSsXP2dP0k-vrGjZZfkluA_2_2"/>
      <w:bookmarkStart w:id="581" w:name="Tc_OPJ6IJGVakKgFsh77n1I4Q_1_2"/>
      <w:bookmarkStart w:id="582" w:name="_032d9c36_9d38_4e9d_988d_c2927b8070f6"/>
      <w:bookmarkStart w:id="583" w:name="Tc_OFvBYLUjxUKob8Jt7kCjAQ_55_5"/>
      <w:bookmarkStart w:id="584" w:name="Tc_lzQF7ov_CkOTw-IiNz1xvg_55_2"/>
      <w:bookmarkStart w:id="585" w:name="Tc_rSkYGeoxGUeJaqwMUKvgiQ_55_0"/>
      <w:bookmarkStart w:id="586" w:name="Tc_dhVGe2MsJ0Kpn9x5aK5M3Q_54_0"/>
      <w:bookmarkStart w:id="587" w:name="Tc_rOX7N2E1ykyTwPsDT6ieVg_53_5"/>
      <w:bookmarkStart w:id="588" w:name="Tc_ItvVH9UPNEyo_qtSa4MIow_53_2"/>
      <w:bookmarkStart w:id="589" w:name="Tc_KYPcLRwJ1kiKvQ_ARDaamQ_53_0"/>
      <w:bookmarkStart w:id="590" w:name="Tc_DsCuefY5v0iWhbzxfOucZg_52_5"/>
      <w:bookmarkStart w:id="591" w:name="Tc_zEdA5RZxP0CBJiMqxjjtew_52_2"/>
      <w:bookmarkStart w:id="592" w:name="Tc_Amv083wHAki9N-dJaPD0ww_52_0"/>
      <w:bookmarkStart w:id="593" w:name="Tc_7O9fuH5oz06WiMLmQ6gpoA_51_0"/>
      <w:bookmarkStart w:id="594" w:name="Tc_vT7okD1_rES9AAaLsUTsQA_49_5"/>
      <w:bookmarkStart w:id="595" w:name="Tc_ADhVdUag_0qo4FRvSi2KPA_49_2"/>
      <w:bookmarkStart w:id="596" w:name="Tc_mIo4q--cIk64DaIzOucVSA_49_0"/>
      <w:bookmarkStart w:id="597" w:name="Tc_w-4lEl02g0K6mEpWShu-bw_48_0"/>
      <w:bookmarkStart w:id="598" w:name="Tc_t18lS5QxR0GfNe8TxxJckQ_47_0"/>
      <w:bookmarkStart w:id="599" w:name="Tc_pzFV-9g_wkS0zPacHFU5MA_46_0"/>
      <w:bookmarkStart w:id="600" w:name="Tc_O0Yy1882MkCmKIHpx5EDCQ_44_5"/>
      <w:bookmarkStart w:id="601" w:name="Tc_1U7XmPYXa060wiCCyJyhUQ_44_2"/>
      <w:bookmarkStart w:id="602" w:name="Tc_3BwIIO3z1UqOUrmZJ3pyIA_44_0"/>
      <w:bookmarkStart w:id="603" w:name="Tc_Tpq4LvJ-z0iAFyvG2fRyEQ_43_0"/>
      <w:bookmarkStart w:id="604" w:name="Tc_RNrEVm87fkydZwoaBpiBeg_42_0"/>
      <w:bookmarkStart w:id="605" w:name="Tc_twaIbMorikm_NPHMQOEJTQ_41_0"/>
      <w:bookmarkStart w:id="606" w:name="Tc_tEI8kGiRAEeZzAZtcJNpdA_40_3"/>
      <w:bookmarkStart w:id="607" w:name="Tc_BtBcP6XVskeOdamOWbfLqQ_40_0"/>
      <w:bookmarkStart w:id="608" w:name="Tc_gEk9u3V2y0uVbYDU0P7ITQ_39_6"/>
      <w:bookmarkStart w:id="609" w:name="Tc_DdhScLt4IUmQw2zBAjhlFQ_39_0"/>
      <w:bookmarkStart w:id="610" w:name="Tc_VKIDG2uxc0i-QwkkkivxkQ_38_6"/>
      <w:bookmarkStart w:id="611" w:name="Tc_9KX3IrzR4kmf5-FMFz4CFg_38_0"/>
      <w:bookmarkStart w:id="612" w:name="Tc_DGJkInI-sUG0GZ9O-r7n9Q_37_6"/>
      <w:bookmarkStart w:id="613" w:name="Tc_jNvXb5ZYskiFhgDcO8TXfw_37_0"/>
      <w:bookmarkStart w:id="614" w:name="Tc_hWYunPur80qBRYywnBJy7w_36_3"/>
      <w:bookmarkStart w:id="615" w:name="Tc_hFBXYKiH9U-ECFxx7_rCjA_36_0"/>
      <w:bookmarkStart w:id="616" w:name="Tc_OeAMlGQ8l0uNaTnqU10zeA_35_3"/>
      <w:bookmarkStart w:id="617" w:name="Tc_X5RYdaylcE-Jr5N3eeDKxA_35_0"/>
      <w:bookmarkStart w:id="618" w:name="Tc_alvFwkd6Ok-BhNt1nJVEzQ_34_6"/>
      <w:bookmarkStart w:id="619" w:name="Tc_0UW7TdsyCkuQkoqIstxoug_34_0"/>
      <w:bookmarkStart w:id="620" w:name="Tc_cByif1AteUW35BcV3JBrrA_33_6"/>
      <w:bookmarkStart w:id="621" w:name="Tc_oAa7D99y1U-DbqYJFk2A3w_33_0"/>
      <w:bookmarkStart w:id="622" w:name="Tc_jEqWrkSq9EK181o3-kVHAw_32_6"/>
      <w:bookmarkStart w:id="623" w:name="Tc_L0-my7FAAUOgIBEjutStnQ_32_0"/>
      <w:bookmarkStart w:id="624" w:name="Tc_6Y1fYu0aK0-7Fd6QJyXryg_31_6"/>
      <w:bookmarkStart w:id="625" w:name="Tc_eNrrAa8Db0uPKz-3CYOO_g_31_0"/>
      <w:bookmarkStart w:id="626" w:name="Tc_HHQH445sHU-RDKkxCe92Iw_30_0"/>
      <w:bookmarkStart w:id="627" w:name="Tc_NSWEt1I84ESJR9UOevd4rg_28_0"/>
      <w:bookmarkStart w:id="628" w:name="Tc_5Cli_xif7EGZB-n8uFsnZw_27_6"/>
      <w:bookmarkStart w:id="629" w:name="Tc_ZInlYHFH1UyMF8ozD3Ts0Q_27_0"/>
      <w:bookmarkStart w:id="630" w:name="Tc_y1rckD2v3EesO-piV8bcYg_26_0"/>
      <w:bookmarkStart w:id="631" w:name="Tc_E5s4fBHuSEaqqj6ZbNO1JQ_25_0"/>
      <w:bookmarkStart w:id="632" w:name="Tc_gD8ih59UKEOGKGSe1GOtoQ_23_0"/>
      <w:bookmarkStart w:id="633" w:name="Tc_4A8mwHaq5EKOIAU0OIbYkg_22_0"/>
      <w:bookmarkStart w:id="634" w:name="Tc_siXJqZt10UmJaQS8EoVQqQ_21_0"/>
      <w:bookmarkStart w:id="635" w:name="Tc_qDUKbpXSDkGVqKAWTy6PVQ_20_0"/>
      <w:bookmarkStart w:id="636" w:name="Tc_-ar4f7rlx0SnGb0ktgNDaA_19_0"/>
      <w:bookmarkStart w:id="637" w:name="Tc_MOMSax6YRUqH_XK17O6XOg_18_0"/>
      <w:bookmarkStart w:id="638" w:name="Tc_3iYI9DRUckyDc1Wvmhkyhg_17_0"/>
      <w:bookmarkStart w:id="639" w:name="Tc_vwCzltErQke_DsPXTdhzEg_16_0"/>
      <w:bookmarkStart w:id="640" w:name="Tc_AyZyRrrN6kqix9518RVrXg_15_0"/>
      <w:bookmarkStart w:id="641" w:name="Tc_yheERyzCdEO_lBh0qLBorg_14_0"/>
      <w:bookmarkStart w:id="642" w:name="Tc_rglv7DMAgkqRYI0vpTEFJQ_13_0"/>
      <w:bookmarkStart w:id="643" w:name="Tc_5-rHmYIMyUqk1yPPQE_9qQ_12_0"/>
      <w:bookmarkStart w:id="644" w:name="Tc_WTK_hFfx1UOnlvj9kHMhtw_11_6"/>
      <w:bookmarkStart w:id="645" w:name="Tc_grWeOlJGNUSyUnTlYWJnIw_11_0"/>
      <w:bookmarkStart w:id="646" w:name="Tc_sv6L5mPCckeTlGBv1iY8Ig_10_0"/>
      <w:bookmarkStart w:id="647" w:name="Tc_ujz3EXLV0kaZ6LCmeyLKeg_9_0"/>
      <w:bookmarkStart w:id="648" w:name="Tc_LBuC04cJ10qydN-f221Zqg_8_3"/>
      <w:bookmarkStart w:id="649" w:name="Tc_HPn92K2h70i1lR7TuYDD3g_8_0"/>
      <w:bookmarkStart w:id="650" w:name="Tc_NIJjSq9-Uk-P9Ov4aKZ5fA_7_0"/>
      <w:bookmarkStart w:id="651" w:name="Tc_VbRnJOiGmU2MoQtn3NhGZQ_6_0"/>
      <w:bookmarkStart w:id="652" w:name="Tc_UjjJzNvV1UqPqFUzEyTlWA_5_0"/>
      <w:bookmarkStart w:id="653" w:name="Tc_nbYa-6SSZ0ysQHgss7ATYA_4_5"/>
      <w:bookmarkStart w:id="654" w:name="Tc_xO0kwqk0PEai_VY8IrUiow_4_2"/>
      <w:bookmarkStart w:id="655" w:name="Tc_E31p5vNx2EKqepgXWoGJkQ_4_0"/>
      <w:bookmarkStart w:id="656" w:name="Tc_fwo26n1KLEmfa5PDk8msCg_3_0"/>
      <w:bookmarkStart w:id="657" w:name="Tc_gtX8qr0CjUS2Hf5lVDS47A_2_5"/>
      <w:bookmarkStart w:id="658" w:name="Tc_CSsXP2dP0k-vrGjZZfkluA_2_2"/>
      <w:bookmarkStart w:id="659" w:name="Tc_OPJ6IJGVakKgFsh77n1I4Q_1_2"/>
      <w:bookmarkStart w:id="660" w:name="_032d9c36_9d38_4e9d_988d_c2927b8070f6"/>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tbl>
      <w:tblPr>
        <w:tblW w:w="10205" w:type="dxa"/>
        <w:jc w:val="left"/>
        <w:tblInd w:w="0" w:type="dxa"/>
        <w:tblLayout w:type="fixed"/>
        <w:tblCellMar>
          <w:top w:w="0" w:type="dxa"/>
          <w:left w:w="0" w:type="dxa"/>
          <w:bottom w:w="0" w:type="dxa"/>
          <w:right w:w="0" w:type="dxa"/>
        </w:tblCellMar>
      </w:tblPr>
      <w:tblGrid>
        <w:gridCol w:w="7682"/>
        <w:gridCol w:w="346"/>
        <w:gridCol w:w="197"/>
        <w:gridCol w:w="692"/>
        <w:gridCol w:w="349"/>
        <w:gridCol w:w="197"/>
        <w:gridCol w:w="742"/>
      </w:tblGrid>
      <w:tr>
        <w:trPr/>
        <w:tc>
          <w:tcPr>
            <w:tcW w:w="7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878070" cy="175260"/>
                      <wp:effectExtent l="0" t="0" r="0" b="0"/>
                      <wp:wrapNone/>
                      <wp:docPr id="42" name="Frame42"/>
                      <a:graphic xmlns:a="http://schemas.openxmlformats.org/drawingml/2006/main">
                        <a:graphicData uri="http://schemas.microsoft.com/office/word/2010/wordprocessingShape">
                          <wps:wsp>
                            <wps:cNvSpPr txBox="1"/>
                            <wps:spPr>
                              <a:xfrm>
                                <a:off x="0" y="0"/>
                                <a:ext cx="4878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5095" cy="175260"/>
                      <wp:effectExtent l="0" t="0" r="0" b="0"/>
                      <wp:wrapNone/>
                      <wp:docPr id="44" name="Frame44"/>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9420" cy="175260"/>
                      <wp:effectExtent l="0" t="0" r="0" b="0"/>
                      <wp:wrapNone/>
                      <wp:docPr id="45" name="Frame45"/>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21615" cy="175260"/>
                      <wp:effectExtent l="0" t="0" r="0" b="0"/>
                      <wp:wrapNone/>
                      <wp:docPr id="46" name="Frame4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5095" cy="175260"/>
                      <wp:effectExtent l="0" t="0" r="0" b="0"/>
                      <wp:wrapNone/>
                      <wp:docPr id="47" name="Frame47"/>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71170" cy="175260"/>
                      <wp:effectExtent l="0" t="0" r="0" b="0"/>
                      <wp:wrapNone/>
                      <wp:docPr id="48" name="Frame48"/>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7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5"/>
              </w:rPr>
            </w:pPr>
            <w:r>
              <w:rPr>
                <w:rFonts w:ascii="Arial;Helvetica;sans-serif" w:hAnsi="Arial;Helvetica;sans-serif"/>
                <w:b/>
                <w:sz w:val="15"/>
              </w:rPr>
              <w:t>Six Months Ended June 30, </w:t>
            </w:r>
          </w:p>
        </w:tc>
      </w:tr>
      <w:tr>
        <w:trPr/>
        <w:tc>
          <w:tcPr>
            <w:tcW w:w="76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5"/>
              </w:rPr>
            </w:pPr>
            <w:r>
              <w:rPr>
                <w:rFonts w:ascii="Arial;Helvetica;sans-serif" w:hAnsi="Arial;Helvetica;sans-serif"/>
                <w:b/>
                <w:sz w:val="15"/>
              </w:rPr>
              <w:t>2026</w:t>
            </w:r>
          </w:p>
        </w:tc>
        <w:tc>
          <w:tcPr>
            <w:tcW w:w="349" w:type="dxa"/>
            <w:tcBorders/>
            <w:vAlign w:val="center"/>
          </w:tcPr>
          <w:p>
            <w:pPr>
              <w:pStyle w:val="TableContents"/>
              <w:bidi w:val="0"/>
              <w:spacing w:before="0" w:after="1"/>
              <w:ind w:left="0" w:right="0" w:hanging="0"/>
              <w:jc w:val="center"/>
              <w:rPr/>
            </w:pPr>
            <w:r>
              <w:rPr/>
              <w:t>​</w:t>
            </w:r>
          </w:p>
        </w:tc>
        <w:tc>
          <w:tcPr>
            <w:tcW w:w="9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5"/>
              </w:rPr>
            </w:pPr>
            <w:r>
              <w:rPr>
                <w:rFonts w:ascii="Arial;Helvetica;sans-serif" w:hAnsi="Arial;Helvetica;sans-serif"/>
                <w:b/>
                <w:sz w:val="15"/>
              </w:rPr>
              <w:t>2025</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 ​ ​</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  ​ ​ ​</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pPr>
            <w:r>
              <w:rPr/>
              <w:t>  ​</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Net loss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(14,244)</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(22,528)</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pPr>
            <w:r>
              <w:rPr/>
              <w:t>  ​</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1,474</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1,812</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 xml:space="preserve">Allowance for credit losses </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(160)</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83</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Inventory impairment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177</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2,365</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3,258</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Non-cash interest expense</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478</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388</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Loss on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539</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pPr>
            <w:r>
              <w:rPr/>
              <w:t>—</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Loss on disposal of property and equipment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369</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43</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Changes in certain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pPr>
            <w:r>
              <w:rPr/>
              <w:t>  ​</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Accounts receivable, net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893</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(2,479)</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(1,289)</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(791)</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Net investments in sales-type leases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24</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12</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Prepaid commission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1,268</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613</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Prepaid expenses and other assets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(647)</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3,356</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1,572</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(1,803)</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Accrued expenses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(3,386)</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(2,236)</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(85)</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(320)</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Deferred revenue</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400</w:t>
            </w:r>
          </w:p>
        </w:tc>
        <w:tc>
          <w:tcPr>
            <w:tcW w:w="349"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(82)</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(10,429)</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(20,497)</w:t>
            </w:r>
          </w:p>
        </w:tc>
      </w:tr>
      <w:tr>
        <w:trPr/>
        <w:tc>
          <w:tcPr>
            <w:tcW w:w="76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pPr>
            <w:r>
              <w:rPr/>
              <w:t>​</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pPr>
            <w:r>
              <w:rPr/>
              <w:t>  ​</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Purchases of property and equipment and capitalized software</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(614)</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(471)</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Proceeds from the sale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25</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(589)</w:t>
            </w:r>
          </w:p>
        </w:tc>
        <w:tc>
          <w:tcPr>
            <w:tcW w:w="349"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(471)</w:t>
            </w:r>
          </w:p>
        </w:tc>
      </w:tr>
      <w:tr>
        <w:trPr/>
        <w:tc>
          <w:tcPr>
            <w:tcW w:w="768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pPr>
            <w:r>
              <w:rPr/>
              <w:t>​</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pPr>
            <w:r>
              <w:rPr/>
              <w:t>  ​</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pPr>
            <w:r>
              <w:rPr/>
              <w:t>  ​</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Payments of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(55)</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pPr>
            <w:r>
              <w:rPr/>
              <w:t>—</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Repayment of deferred and contingent consideration</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(250)</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pPr>
            <w:r>
              <w:rPr/>
              <w:t>—</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Repayment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(5,000)</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pPr>
            <w:r>
              <w:rPr/>
              <w:t>—</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Payment for debt extinguishment costs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(250)</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pPr>
            <w:r>
              <w:rPr/>
              <w:t>—</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Proceeds from the 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20,700</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Payments of common stock offering issuance costs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(1,731)</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Proceeds from issuance of common stock under ATM Program</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7,954</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pPr>
            <w:r>
              <w:rPr/>
              <w:t>—</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Payments of common stock offering issuance costs under ATM Program</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(376)</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pPr>
            <w:r>
              <w:rPr/>
              <w:t>—</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Distribution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(192)</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pPr>
            <w:r>
              <w:rPr/>
              <w:t>—</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Proceeds from exercises of stock options</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9</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1,831</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18,978</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Net decrease in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(9,187)</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(1,990)</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Cash and cash equivalents and restricted cash and cash equivalents,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34,134</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19,459</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Cash and cash equivalents and restricted cash and cash equivalents, end of period</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69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24,947</w:t>
            </w:r>
          </w:p>
        </w:tc>
        <w:tc>
          <w:tcPr>
            <w:tcW w:w="349" w:type="dxa"/>
            <w:tcBorders/>
            <w:vAlign w:val="center"/>
          </w:tcPr>
          <w:p>
            <w:pPr>
              <w:pStyle w:val="TableContents"/>
              <w:bidi w:val="0"/>
              <w:spacing w:before="0" w:after="1"/>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74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17,469</w:t>
            </w:r>
          </w:p>
        </w:tc>
      </w:tr>
      <w:tr>
        <w:trPr/>
        <w:tc>
          <w:tcPr>
            <w:tcW w:w="768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pPr>
            <w:r>
              <w:rPr/>
              <w:t>​</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Reconciliation of cash and cash equivalents and restricted cash and cash equivalents to the consolidated balance sheet: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pPr>
            <w:r>
              <w:rPr/>
              <w:t>​</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19,197</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4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10,969</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Restricted cash and cash equivalents</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5,750</w:t>
            </w:r>
          </w:p>
        </w:tc>
        <w:tc>
          <w:tcPr>
            <w:tcW w:w="349"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6,500</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Total cash and cash equivalents and restricted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6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24,947</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7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17,469</w:t>
            </w:r>
          </w:p>
        </w:tc>
      </w:tr>
      <w:tr>
        <w:trPr/>
        <w:tc>
          <w:tcPr>
            <w:tcW w:w="76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color w:val="FF0000"/>
              </w:rPr>
            </w:pPr>
            <w:r>
              <w:rPr>
                <w:color w:val="FF0000"/>
              </w:rPr>
              <w:t>​</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pPr>
            <w:r>
              <w:rPr/>
              <w:t>​</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Supplemental disclosure of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pPr>
            <w:r>
              <w:rPr/>
              <w:t>  ​</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Cash paid for interest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69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3,918</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742"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3,488</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Transfer of inventory to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114</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74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36</w:t>
            </w:r>
          </w:p>
        </w:tc>
      </w:tr>
      <w:tr>
        <w:trPr/>
        <w:tc>
          <w:tcPr>
            <w:tcW w:w="7682"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Supplemental disclosure of non-cash investing and financing activities: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  ​</w:t>
            </w:r>
          </w:p>
        </w:tc>
        <w:tc>
          <w:tcPr>
            <w:tcW w:w="34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42" w:type="dxa"/>
            <w:tcBorders/>
            <w:vAlign w:val="center"/>
          </w:tcPr>
          <w:p>
            <w:pPr>
              <w:pStyle w:val="TableContents"/>
              <w:bidi w:val="0"/>
              <w:spacing w:before="0" w:after="1"/>
              <w:ind w:left="0" w:right="0" w:hanging="0"/>
              <w:jc w:val="right"/>
              <w:rPr/>
            </w:pPr>
            <w:r>
              <w:rPr/>
              <w:t>​</w:t>
            </w:r>
          </w:p>
        </w:tc>
      </w:tr>
      <w:tr>
        <w:trPr/>
        <w:tc>
          <w:tcPr>
            <w:tcW w:w="7682"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Purchases of property and equipment and capitalized software in accounts payable and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692"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103</w:t>
            </w:r>
          </w:p>
        </w:tc>
        <w:tc>
          <w:tcPr>
            <w:tcW w:w="34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742" w:type="dxa"/>
            <w:tcBorders/>
            <w:shd w:fill="CCEEFF" w:val="clear"/>
            <w:vAlign w:val="center"/>
          </w:tcPr>
          <w:p>
            <w:pPr>
              <w:pStyle w:val="TableContents"/>
              <w:bidi w:val="0"/>
              <w:spacing w:before="0" w:after="1"/>
              <w:ind w:left="0" w:right="45" w:hanging="0"/>
              <w:jc w:val="right"/>
              <w:rPr>
                <w:rFonts w:ascii="Arial;Helvetica;sans-serif" w:hAnsi="Arial;Helvetica;sans-serif"/>
                <w:sz w:val="15"/>
              </w:rPr>
            </w:pPr>
            <w:r>
              <w:rPr>
                <w:rFonts w:ascii="Arial;Helvetica;sans-serif" w:hAnsi="Arial;Helvetica;sans-serif"/>
                <w:sz w:val="15"/>
              </w:rPr>
              <w:t>6</w:t>
            </w:r>
          </w:p>
        </w:tc>
      </w:tr>
    </w:tbl>
    <w:p>
      <w:pPr>
        <w:pStyle w:val="TextBody"/>
        <w:bidi w:val="0"/>
        <w:spacing w:before="0" w:after="200"/>
        <w:ind w:left="0" w:right="0" w:hanging="0"/>
        <w:jc w:val="center"/>
        <w:rPr/>
      </w:pPr>
      <w:r>
        <w:rPr/>
        <w:t>​</w:t>
      </w:r>
    </w:p>
    <w:p>
      <w:pPr>
        <w:pStyle w:val="TextBody"/>
        <w:bidi w:val="0"/>
        <w:spacing w:before="0" w:after="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consolidated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661" w:name="a1DESCRIPTIONOFBUSINESS_936106"/>
      <w:bookmarkEnd w:id="661"/>
      <w:r>
        <w:rPr>
          <w:rFonts w:ascii="Arial;Helvetica;sans-serif" w:hAnsi="Arial;Helvetica;sans-serif"/>
          <w:b/>
          <w:sz w:val="20"/>
        </w:rPr>
        <w:t>1.     DESCRIPTION OF BUSINESS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 xml:space="preserve">Neuronetics, Inc. (the “Company,” “Neuronetics,” “we,” and similar words) believes that mental health is as important as physical health. The Company’s first commercial product, the NeuroStar Advanced Therapy System (the “System”), is a non-invasive and non-systemic office-based treatment that uses transcranial magnetic stimulation (“TMS”) to create a pulsed, MRI-strength magnetic field that induces electrical currents designed to stimulate specific areas of the brain associated with mood. The System is cleared by the U.S. Food and Drug Administration (the “FDA”) to treat adult patients with major depressive disorder (“MDD”) who have failed to achieve satisfactory improvement from prior antidepressant medication in the current MDD episode. It is also cleared by the FDA as an adjunct for adults with obsessive-compulsive disorder (“OCD”) and for adolescent patients aged 15-21 with MDD. It is also cleared by the FDA to decrease anxiety symptoms in adult patients with MDD that may exhibit comorbid anxiety symptoms (anxious depression). In addition to selling the System and associated treatment sessions to customers, the Company operates Greenbrook TMS Inc. (“Greenbrook”) treatment centers (“Treatment Centers”) across the U.S., offering TMS treatment using the Systems. The Company acquired Greenbrook, a provider of mental healthcare services, pursuant to an Arrangement Agreement effective as of December 9, 2024 (the “Arrangement”). The System is safe, clinically effective, reproducible and precise, and the Company believes it is supported by the largest clinical data set of any competing TMS system. Treatment Centers also acquire SPRAVATO® to treat adults with treatment-resistant depression or depressive symptoms in adults suffering from MDD with acute suicidal ideation or behavior. </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The Company’s shares trade on the Nasdaq Global Market under the ticker “STIM.”</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 and Going concern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2026, the Company had cash and cash equivalents of $19.2 million and an accumulated deficit of $473.2 million. The Company incurred negative cash flows from operating activities of $10.4 million for the six months ended June 30, 2026 and $20.4 million for the year ended December 31, 2025. The Company has incurred operating losses since its inception, and management anticipates that its operating losses will continue in the near term as the Company continues to invest in sales and marketing and product development activities. The Company’s primary sources of capital to date have been from its initial public offering, borrowings under its credit facility, proceeds from its secondary public offerings of common stock (including, without limitation, the ATM Program (as defined below)), and revenues from NeuroStar and Greenbrook. As of June 30, 2026, the Company had $65.0 million of borrowings outstanding under its credit facility, which matures in July 2029.</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February 10, 2025, the Company completed a secondary public offering of its common stock in which the Company issued and sold 9,200,000 shares of its common stock, which included shares pursuant to an option granted to the underwriter to purchase additional shares, at a public offering price of $2.25 per share. The Company received net proceeds of $18.9 million after deducting underwriting discounts, commissions and estimated offering expenses.</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3, 2025, the Company entered into an Equity Distribution Agreement (the “Distribution Agreement”) with Canaccord Genuity LLC, pursuant to which the Company may offer and sell shares of its common stock having an aggregate offering price of up to $50.0 million from time to time through an at-the-market equity offering program (the “ATM Program”). Sales under the Distribution Agreement are made pursuant to the Company’s Registration Statement on Form S-3 (File No. 333-288526), and a related prospectus and prospectus supplement.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three and six months ended June 30, 2026, the Company sold an aggregate of 6,052,953 shares of its common stock under the ATM Program at an average price of $1.31 per share, generating gross proceeds of $8.0 million. The Company paid aggregate sales commissions of $0.2 million and incurred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 offering-related expenses of $0.2 million. As a result, net proceeds from the offering are $7.6 million. The Company also amortized $0.1 million of shelf related expenses for the ATM Program.</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2026, the Company had approximately $33.7 million remaining available for future issuance under the ATM Program.</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is subject to certain financial covenants under its credit facility, including a liquidity and quarterly trailing twelve-month minimum revenue covenants. On March 12, 2026, the Company amended the terms of its credit agreement to modify the required quarterly revenue covenants through December 31, 2026 and the liquidity covenants through September 30, 2027. As of June 30, 2026 the Company was in compliance with the financial covenants in this agreement.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currently projects trailing twelve-month revenue for the period ended March 31, 2027 to be below the minimum required revenue for that period as stated in the credit agreement. Should the Company not be able to meet its March 31, 2027 minimum revenue covenant, the lender may at that time and at its discretion, call the credit facility. Should the lender call the facility, the Company is not projected to have the liquidity required to meet its requirement to pay off the loan. Therefore, substantial doubt exists about the Company’s ability to continue as a going concern.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Actions within the Company's control to meet its minimum revenue covenant include improvements to its revenue cycle management, introducing new treatment options at its clinic locations and pursuing new strategies within its NeuroStar business to accelerate sales growth and optimize its product mix. The Company’s ability to meet its liquidity needs, including meeting future revenue and liquidity covenants, is dependent on growth in existing and acquired product and service lines and the realization of synergies related to its acquisition of Greenbrook. However, at this time, these actions do not fully mitigate the risk related to compliance with the revenue covenant for the March 31, 2027 period. The consolidated financial statements do not include any adjustments that might result from the outcome of this uncertainty.</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     BASIS OF PRESENTATION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accompanying consolidated financial statements have been prepared in accordance with U.S. generally accepted accounting principles (“GAAP”). Any reference in these notes to applicable guidance is meant to refer to U.S. GAAP as found in the Accounting Standards Codification (“ASC”) and Accounting Standards Updates (“ASUs”) promulgated by the Financial Accounting Standards Board (the “FASB”).</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Basis of Consolidation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consolidated financial statements of the Company are presented in U.S. dollars and include the accounts of the Company and its subsidiaries. All significant intercompany accounts and transactions have been eliminated in consolidation.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consolidates entities in which it has a controlling financial interest based on either the variable interest entity (“VIE”) or voting interest model (“VOE”). The Company is required to first apply the VIE model to determine whether it holds a variable interest in an entity, and if so, whether the entity is a VIE. ASC Topic 810, </w:t>
      </w:r>
      <w:r>
        <w:rPr>
          <w:rFonts w:ascii="Arial;Helvetica;sans-serif" w:hAnsi="Arial;Helvetica;sans-serif"/>
          <w:i/>
          <w:sz w:val="20"/>
        </w:rPr>
        <w:t>Consolidation</w:t>
      </w:r>
      <w:r>
        <w:rPr>
          <w:rFonts w:ascii="Arial;Helvetica;sans-serif" w:hAnsi="Arial;Helvetica;sans-serif"/>
          <w:sz w:val="20"/>
        </w:rPr>
        <w:t xml:space="preserve"> ("Topic 810") defines the criteria for determining the existence of VIEs and provides guidance for consolidation.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An entity is considered to be a VIE if (i) the entity does not have enough equity to finance its own activities without additional support, (ii) the entity's at-risk equity holders lack the characteristics of a controlling financial interest, or (iii) the entity is structured with non-substantive voting rights. The primary beneficiary of a VIE is the party that has the power to direct the activities that most significantly impact the performance of the entity and the obligation to absorb losses or the right to receive benefits that could potentially be significant to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entity. The primary beneficiary is required to consolidate the VIE for financial reporting purposes. A VIE can have only one primary beneficiary but may not have a primary beneficiary if no party meets the criteria described above.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If the Company determines it does not hold a variable interest in a VIE, the Company applies the VOE model. To the extent the entity does not meet the definition of a VIE, Topic 810 guidance for voting interest entities is applied. The usual condition for a controlling financial interest, and therefore consolidation by the Company, is ownership of a majority voting interest of a corporation or a majority of kick-out rights for a limited partnership. The Company has determined that all its subsidiaries are VOEs primarily because it holds a majority voting interest in the entities.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Interim Consolidated Financial Statements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accompanying unaudited interim consolidated financial statements have been prepared from the books and records of the Company in accordance with U.S. GAAP for interim financial information and Rule 10-01 of Regulation S-X promulgated by the U.S. Securities and Exchange Commission (the “SEC”), which permit reduced disclosures for interim periods. All adjustments, consisting only of normal recurring adjustments, necessary for a fair presentation of the accompanying consolidated balance sheets and consolidated statements of operations and stockholders’ equity and consolidated cash flows have been made. Although these interim consolidated financial statements do not include all of the information and footnotes required for complete annual consolidated financial statements, management believes the disclosures are adequate to make the information presented not misleading. Unaudited interim consolidated statements of operations for the three and six months ended June 30, 2026 and interim consolidated statements of cash flows for the six months ended June 30, 2026 are not necessarily indicative of the results that may be expected for the full year. Unaudited interim consolidated financial statements and footnotes should be read in conjunction with the audited consolidated financial statements and footnotes included in the Company’s Annual Report on Form 10-K filed with the SEC on March 17, 2026, wherein a more complete discussion of significant accounting policies and certain other information can be found.</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Reclassifications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Certain prior period amounts have been reclassified for comparative purposes.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Currency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Currency risk is the risk to the Company’s earnings that arises from fluctuations in foreign exchange rates and the degree of volatility of those rates. The Company has minimal exposure to currency risk as substantially all of the Company’s revenue, expenses, assets and liabilities are denominated in U.S. dollars. The Company pays certain vendors and payroll costs in Canadian dollars from time to time, but due to the limited size and nature of these payments, it does not give rise to significant currency risk.</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Use of Estimates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preparation of financial statements in accordance with U.S. GAAP and the rules and regulations of the SEC requires the use of estimates and assumptions, based on judgments considered reasonable, which affect the reported amounts of assets and liabilities and disclosure of contingent assets and liabilities at the date of the consolidated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conditions, and given the subjective element of the estimates and assumptions made, actual results may differ materially from estimated results.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3.     SUMMARY OF SIGNIFICANT ACCOUNTING POLICIES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complete summary of significant accounting policies can be found in “Summary of Significant Accounting Policies” in the audited consolidated financial statements included in the Company’s Annual Report on Form 10-K filed with the SEC on March 17, 2026.</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4.     RECENT ACCOUNTING PRONOUNCEMENTS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 December 2023, the FASB issued ASU 2023-09, </w:t>
      </w:r>
      <w:r>
        <w:rPr>
          <w:rFonts w:ascii="Arial;Helvetica;sans-serif" w:hAnsi="Arial;Helvetica;sans-serif"/>
          <w:i/>
          <w:sz w:val="20"/>
        </w:rPr>
        <w:t>Improvements to Income Tax Disclosures</w:t>
      </w:r>
      <w:r>
        <w:rPr>
          <w:rFonts w:ascii="Arial;Helvetica;sans-serif" w:hAnsi="Arial;Helvetica;sans-serif"/>
          <w:sz w:val="20"/>
        </w:rPr>
        <w:t xml:space="preserve"> (“ASU 2023-09”), which requires public business entities to disclose specific categories in the rate reconciliation and provide additional information for reconciling items that meet a quantitative threshold. ASU 2023-09 is effective for annual periods beginning after December 15, 2024. ASU 2023-09 was adopted in the annual period ended December 31, 2025 using the retrospective method. Accordingly, we have expanded our consolidated financial statement disclosures to comply with the guidance.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 November 2024, the FASB issued ASU 2024-03, </w:t>
      </w:r>
      <w:r>
        <w:rPr>
          <w:rFonts w:ascii="Arial;Helvetica;sans-serif" w:hAnsi="Arial;Helvetica;sans-serif"/>
          <w:i/>
          <w:sz w:val="20"/>
        </w:rPr>
        <w:t>Income Statements–Reporting Comprehensive Income–Expense Disaggregation Disclosures (Subtopic 220-40): Disaggregation of Income Statement Expenses</w:t>
      </w:r>
      <w:r>
        <w:rPr>
          <w:rFonts w:ascii="Arial;Helvetica;sans-serif" w:hAnsi="Arial;Helvetica;sans-serif"/>
          <w:sz w:val="20"/>
        </w:rPr>
        <w:t xml:space="preserve"> (“ASU 2024-03”),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on its consolidated financial statements and related disclosures.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 July 2025, the FASB issued ASU 2025-05, </w:t>
      </w:r>
      <w:r>
        <w:rPr>
          <w:rFonts w:ascii="Arial;Helvetica;sans-serif" w:hAnsi="Arial;Helvetica;sans-serif"/>
          <w:i/>
          <w:sz w:val="20"/>
        </w:rPr>
        <w:t>Measurement of Credit Losses for Accounts Receivable and Contract Assets</w:t>
      </w:r>
      <w:r>
        <w:rPr>
          <w:rFonts w:ascii="Arial;Helvetica;sans-serif" w:hAnsi="Arial;Helvetica;sans-serif"/>
          <w:sz w:val="20"/>
        </w:rPr>
        <w:t>. The guidance provides a practical expedient that an entity may assume that conditions as of the balance sheet date remain unchanged over the remaining life of the asset when estimating expected credit losses for current accounts receivable and current contract assets arising from revenue transactions from contracts with customers. The guidance is effective in the first quarter of 2026 with early adoption permitted, to be applied on a prospective basis. The Company adopted this guidance in the first quarter of 2026. The adoption did not have a material impact on the Company’s consolidated financial statements and related disclosures.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 September 2025, the FASB issued ASU 2025-06, </w:t>
      </w:r>
      <w:r>
        <w:rPr>
          <w:rFonts w:ascii="Arial;Helvetica;sans-serif" w:hAnsi="Arial;Helvetica;sans-serif"/>
          <w:i/>
          <w:sz w:val="20"/>
        </w:rPr>
        <w:t>Intangibles—Goodwill and Other—Internal-Use Software</w:t>
      </w:r>
      <w:r>
        <w:rPr>
          <w:rFonts w:ascii="Arial;Helvetica;sans-serif" w:hAnsi="Arial;Helvetica;sans-serif"/>
          <w:sz w:val="20"/>
        </w:rPr>
        <w:t xml:space="preserve"> </w:t>
      </w:r>
      <w:r>
        <w:rPr>
          <w:rFonts w:ascii="Arial;Helvetica;sans-serif" w:hAnsi="Arial;Helvetica;sans-serif"/>
          <w:i/>
          <w:sz w:val="20"/>
        </w:rPr>
        <w:t>Targeted Improvements to the Accounting for Internal-Use Software.</w:t>
      </w:r>
      <w:r>
        <w:rPr>
          <w:rFonts w:ascii="Arial;Helvetica;sans-serif" w:hAnsi="Arial;Helvetica;sans-serif"/>
          <w:sz w:val="20"/>
        </w:rPr>
        <w:t xml:space="preserve"> The amendments modify the accounting for internal-use software development costs by replacing the existing project stage framework with a principles-based model for determining when capitalization of development costs should begin. The guidance is effective for annual reporting periods beginning after December 15, 2027, including interim periods within those annual reporting periods. Early adoption is permitted. The Company is currently evaluating the impact that adoption of this guidance will have on its consolidated financial statements.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Other than the items noted above, there have been no new accounting pronouncements not yet effective or adopted in the current year that we believe have a material impact, or potential material impact, to our unaudited interim consolidated financial statements</w:t>
      </w:r>
      <w:r>
        <w:rPr>
          <w:rFonts w:ascii="Arial;Helvetica;sans-serif" w:hAnsi="Arial;Helvetica;sans-serif"/>
          <w:b/>
          <w:sz w:val="20"/>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pPr>
      <w:bookmarkStart w:id="662" w:name="Tc_-W7mGyumR0SfmQ5QN5eafg_8_2"/>
      <w:bookmarkStart w:id="663" w:name="Tc_O4c8SLYL_ECuIvK9Pph0jg_7_0"/>
      <w:bookmarkStart w:id="664" w:name="Tc_017CMdIpzkmsgSobiDA8xQ_6_0"/>
      <w:bookmarkStart w:id="665" w:name="Tc_dwmQZK3iXkCSPjOFS-InuA_5_0"/>
      <w:bookmarkStart w:id="666" w:name="Tc_NZBm6Er4w0-LRLTc59U-qQ_4_0"/>
      <w:bookmarkStart w:id="667" w:name="Tc_wMT5IC6o50mh252FjZXCag_3_0"/>
      <w:bookmarkStart w:id="668" w:name="Tc_jzWGPPt8Q0uQkkx7h1dxhw_2_2"/>
      <w:bookmarkStart w:id="669" w:name="Tc_Fmsz-a8yk0SIDfLct02aXA_2_0"/>
      <w:bookmarkStart w:id="670" w:name="Tc_J_zAZ29fqUy5XYcCRuTpZg_1_3"/>
      <w:bookmarkStart w:id="671" w:name="Tc_2erDBS80aE-z2yLEGGXrpQ_1_0"/>
      <w:bookmarkStart w:id="672" w:name="_2b4fa5fa_abda_4e7c_9685_3d4a976f6e93"/>
      <w:bookmarkStart w:id="673" w:name="Tc_ziIChd8tBE2pbmnvOKdzXQ_5_10"/>
      <w:bookmarkStart w:id="674" w:name="Tc_SnOu3mS6_kurZGHLXW_waA_5_7"/>
      <w:bookmarkStart w:id="675" w:name="Tc_IAbi9Re_ykeMl1ezz6ArsA_5_4"/>
      <w:bookmarkStart w:id="676" w:name="Tc_eiPuOxpVM0iCNrgDVNq8TA_4_0"/>
      <w:bookmarkStart w:id="677" w:name="Tc_SA_RwVtvuU6daS21dwIq1A_3_10"/>
      <w:bookmarkStart w:id="678" w:name="Tc_scV3eV-A-km5SrDZ7Jos9g_3_7"/>
      <w:bookmarkStart w:id="679" w:name="Tc_910dGNh2U0-iP1nHOwb8TA_3_4"/>
      <w:bookmarkStart w:id="680" w:name="Tc_-gpPqvAnG0y8L3AzsxQBzQ_3_2"/>
      <w:bookmarkStart w:id="681" w:name="Tc_KDBK9skwlUqo3vwNmk_6Tg_3_0"/>
      <w:bookmarkStart w:id="682" w:name="Tc_L-rUSirCKUOOtc8d-9sWGQ_2_13"/>
      <w:bookmarkStart w:id="683" w:name="Tc_IGUfJCsaW0-yq7w9Fr8EOw_2_10"/>
      <w:bookmarkStart w:id="684" w:name="Tc_7TKogC-6LkmkeFrxn4FI5w_2_7"/>
      <w:bookmarkStart w:id="685" w:name="Tc_-g76EsevtEKeY1QoW38BjA_2_4"/>
      <w:bookmarkStart w:id="686" w:name="Tc_CDXHNLW2x0SBJ-vmUr63zQ_2_2"/>
      <w:bookmarkStart w:id="687" w:name="Tc_UrosVNmPTkef4Zw3vfseRw_1_4"/>
      <w:bookmarkStart w:id="688" w:name="_89d4998f_3386_4337_b3a2_f151afb78105"/>
      <w:bookmarkStart w:id="689" w:name="Tc_3RIIVKiGakacmEKvIZSTgA_5_10"/>
      <w:bookmarkStart w:id="690" w:name="Tc_KS1jCLXD9EGFDR0WerEeAw_5_7"/>
      <w:bookmarkStart w:id="691" w:name="Tc_Q4ct7nI4FUi5AV1ouVmEhQ_5_4"/>
      <w:bookmarkStart w:id="692" w:name="Tc_m7SPwytsi0e2oqmYr7dnOA_4_13"/>
      <w:bookmarkStart w:id="693" w:name="Tc_AppxmAs8BUe7sDzhcesRxA_4_0"/>
      <w:bookmarkStart w:id="694" w:name="Tc_OuW1ChtwDk6fNqiqOXYG8g_3_13"/>
      <w:bookmarkStart w:id="695" w:name="Tc_jeh6-IyAOEOB2oFjBSK-tg_3_10"/>
      <w:bookmarkStart w:id="696" w:name="Tc_Qcgeu3PuhUiPm_o-XXi3mw_3_7"/>
      <w:bookmarkStart w:id="697" w:name="Tc_WqqU8zxbJE2sf2j4NDsHSw_3_4"/>
      <w:bookmarkStart w:id="698" w:name="Tc_G-nLrD7W10mLLVvsUfDttQ_3_2"/>
      <w:bookmarkStart w:id="699" w:name="Tc_DiHCfxak70WRC18Aekt7Uw_3_0"/>
      <w:bookmarkStart w:id="700" w:name="Tc_qyNNbRmeEUu7vPglBRJUOg_2_13"/>
      <w:bookmarkStart w:id="701" w:name="Tc_Pbd0cS3ccUmlqvcZsSNrlA_2_10"/>
      <w:bookmarkStart w:id="702" w:name="Tc_HcDpo793VEW2K148sDAeBw_2_7"/>
      <w:bookmarkStart w:id="703" w:name="Tc_1ukpuY-JDUKiqsg4UJ50lQ_2_4"/>
      <w:bookmarkStart w:id="704" w:name="Tc_Ezd_gRKgSkGb2HwFMIK-mg_2_2"/>
      <w:bookmarkStart w:id="705" w:name="Tc_5KiPy8ANaEyVinKpYBMzUA_1_4"/>
      <w:bookmarkStart w:id="706" w:name="_cc1fbc65_073a_4a5d_9bfb_1a1067e4dc08"/>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5.     INTANGIBLE ASSETS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Intangible assets consist of the following as of June 30, 2026 and December 31, 2025 (in thousands):</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56"/>
        <w:gridCol w:w="346"/>
        <w:gridCol w:w="882"/>
        <w:gridCol w:w="109"/>
        <w:gridCol w:w="231"/>
        <w:gridCol w:w="758"/>
        <w:gridCol w:w="109"/>
        <w:gridCol w:w="426"/>
        <w:gridCol w:w="1310"/>
        <w:gridCol w:w="109"/>
        <w:gridCol w:w="295"/>
        <w:gridCol w:w="969"/>
        <w:gridCol w:w="109"/>
        <w:gridCol w:w="2296"/>
      </w:tblGrid>
      <w:tr>
        <w:trPr/>
        <w:tc>
          <w:tcPr>
            <w:tcW w:w="2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13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6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96" w:type="dxa"/>
            <w:tcBorders/>
            <w:vAlign w:val="center"/>
          </w:tcPr>
          <w:p>
            <w:pPr>
              <w:pStyle w:val="TableContents"/>
              <w:bidi w:val="0"/>
              <w:spacing w:before="0" w:after="1"/>
              <w:ind w:left="0" w:right="0" w:hanging="0"/>
              <w:jc w:val="left"/>
              <w:rPr/>
            </w:pPr>
            <w:r>
              <w:rPr/>
              <w:t>​</w:t>
            </w:r>
          </w:p>
        </w:tc>
      </w:tr>
      <w:tr>
        <w:trPr/>
        <w:tc>
          <w:tcPr>
            <w:tcW w:w="2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12"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As of June 30, 2026</w:t>
            </w:r>
          </w:p>
        </w:tc>
      </w:tr>
      <w:tr>
        <w:trPr/>
        <w:tc>
          <w:tcPr>
            <w:tcW w:w="2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Useful Life</w:t>
            </w:r>
          </w:p>
        </w:tc>
        <w:tc>
          <w:tcPr>
            <w:tcW w:w="109" w:type="dxa"/>
            <w:tcBorders/>
            <w:vAlign w:val="center"/>
          </w:tcPr>
          <w:p>
            <w:pPr>
              <w:pStyle w:val="TableContents"/>
              <w:bidi w:val="0"/>
              <w:spacing w:before="0" w:after="1"/>
              <w:ind w:left="0" w:right="0" w:hanging="0"/>
              <w:jc w:val="center"/>
              <w:rPr/>
            </w:pPr>
            <w:r>
              <w:rPr/>
              <w:t>​</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Gross Value</w:t>
            </w:r>
          </w:p>
        </w:tc>
        <w:tc>
          <w:tcPr>
            <w:tcW w:w="109" w:type="dxa"/>
            <w:tcBorders/>
            <w:vAlign w:val="center"/>
          </w:tcPr>
          <w:p>
            <w:pPr>
              <w:pStyle w:val="TableContents"/>
              <w:bidi w:val="0"/>
              <w:spacing w:before="0" w:after="1"/>
              <w:ind w:left="0" w:right="0" w:hanging="0"/>
              <w:jc w:val="center"/>
              <w:rPr/>
            </w:pPr>
            <w:r>
              <w:rPr/>
              <w:t>​</w:t>
            </w:r>
          </w:p>
        </w:tc>
        <w:tc>
          <w:tcPr>
            <w:tcW w:w="1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 Amortization</w:t>
            </w:r>
          </w:p>
        </w:tc>
        <w:tc>
          <w:tcPr>
            <w:tcW w:w="109" w:type="dxa"/>
            <w:tcBorders/>
            <w:vAlign w:val="center"/>
          </w:tcPr>
          <w:p>
            <w:pPr>
              <w:pStyle w:val="TableContents"/>
              <w:bidi w:val="0"/>
              <w:spacing w:before="0" w:after="1"/>
              <w:ind w:left="0" w:right="0" w:hanging="0"/>
              <w:jc w:val="center"/>
              <w:rPr/>
            </w:pPr>
            <w:r>
              <w:rPr/>
              <w:t>​</w:t>
            </w:r>
          </w:p>
        </w:tc>
        <w:tc>
          <w:tcPr>
            <w:tcW w:w="12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Net Carrying Value</w:t>
            </w:r>
          </w:p>
        </w:tc>
        <w:tc>
          <w:tcPr>
            <w:tcW w:w="109" w:type="dxa"/>
            <w:tcBorders/>
            <w:vAlign w:val="center"/>
          </w:tcPr>
          <w:p>
            <w:pPr>
              <w:pStyle w:val="TableContents"/>
              <w:bidi w:val="0"/>
              <w:spacing w:before="0" w:after="1"/>
              <w:ind w:left="0" w:right="0" w:hanging="0"/>
              <w:jc w:val="left"/>
              <w:rPr/>
            </w:pPr>
            <w:r>
              <w:rPr/>
              <w:t>​</w:t>
            </w:r>
          </w:p>
        </w:tc>
        <w:tc>
          <w:tcPr>
            <w:tcW w:w="22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 Average Remaining Useful Life</w:t>
            </w:r>
          </w:p>
        </w:tc>
      </w:tr>
      <w:tr>
        <w:trPr/>
        <w:tc>
          <w:tcPr>
            <w:tcW w:w="22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Management services agreements</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Arial;Helvetica;sans-serif" w:hAnsi="Arial;Helvetica;sans-serif"/>
                <w:sz w:val="20"/>
              </w:rPr>
              <w:t>17-21</w:t>
            </w:r>
            <w:r>
              <w:rPr>
                <w:rFonts w:ascii="Times New Roman;Times;serif" w:hAnsi="Times New Roman;Times;serif"/>
                <w:sz w:val="20"/>
              </w:rPr>
              <w:t xml:space="preserve"> </w:t>
            </w:r>
            <w:r>
              <w:rPr>
                <w:rFonts w:ascii="Arial;Helvetica;sans-serif" w:hAnsi="Arial;Helvetica;sans-serif"/>
                <w:sz w:val="20"/>
              </w:rPr>
              <w:t>years</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17,100</w:t>
            </w:r>
          </w:p>
        </w:tc>
        <w:tc>
          <w:tcPr>
            <w:tcW w:w="109"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(1,463)</w:t>
            </w:r>
          </w:p>
        </w:tc>
        <w:tc>
          <w:tcPr>
            <w:tcW w:w="109"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15,637</w:t>
            </w:r>
          </w:p>
        </w:tc>
        <w:tc>
          <w:tcPr>
            <w:tcW w:w="109" w:type="dxa"/>
            <w:tcBorders/>
            <w:shd w:fill="CCEEFF" w:val="clear"/>
            <w:vAlign w:val="center"/>
          </w:tcPr>
          <w:p>
            <w:pPr>
              <w:pStyle w:val="TableContents"/>
              <w:bidi w:val="0"/>
              <w:spacing w:before="0" w:after="1"/>
              <w:ind w:left="0" w:right="0" w:hanging="0"/>
              <w:jc w:val="left"/>
              <w:rPr/>
            </w:pPr>
            <w:r>
              <w:rPr/>
              <w:t>​</w:t>
            </w:r>
          </w:p>
        </w:tc>
        <w:tc>
          <w:tcPr>
            <w:tcW w:w="22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Arial;Helvetica;sans-serif" w:hAnsi="Arial;Helvetica;sans-serif"/>
                <w:sz w:val="20"/>
              </w:rPr>
              <w:t>17.5</w:t>
            </w:r>
            <w:r>
              <w:rPr>
                <w:rFonts w:ascii="Times New Roman;Times;serif" w:hAnsi="Times New Roman;Times;serif"/>
                <w:sz w:val="20"/>
              </w:rPr>
              <w:t xml:space="preserve"> </w:t>
            </w:r>
            <w:r>
              <w:rPr>
                <w:rFonts w:ascii="Arial;Helvetica;sans-serif" w:hAnsi="Arial;Helvetica;sans-serif"/>
                <w:sz w:val="20"/>
              </w:rPr>
              <w:t>years</w:t>
            </w:r>
          </w:p>
        </w:tc>
      </w:tr>
      <w:tr>
        <w:trPr/>
        <w:tc>
          <w:tcPr>
            <w:tcW w:w="22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Trade name</w:t>
            </w:r>
          </w:p>
        </w:tc>
        <w:tc>
          <w:tcPr>
            <w:tcW w:w="34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5 years</w:t>
            </w:r>
          </w:p>
        </w:tc>
        <w:tc>
          <w:tcPr>
            <w:tcW w:w="109" w:type="dxa"/>
            <w:tcBorders/>
            <w:vAlign w:val="center"/>
          </w:tcPr>
          <w:p>
            <w:pPr>
              <w:pStyle w:val="TableContents"/>
              <w:bidi w:val="0"/>
              <w:spacing w:before="0" w:after="1"/>
              <w:ind w:left="0" w:right="0" w:hanging="0"/>
              <w:jc w:val="center"/>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2,590</w:t>
            </w:r>
          </w:p>
        </w:tc>
        <w:tc>
          <w:tcPr>
            <w:tcW w:w="109" w:type="dxa"/>
            <w:tcBorders/>
            <w:vAlign w:val="center"/>
          </w:tcPr>
          <w:p>
            <w:pPr>
              <w:pStyle w:val="TableContents"/>
              <w:bidi w:val="0"/>
              <w:spacing w:before="0" w:after="1"/>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(807)</w:t>
            </w:r>
          </w:p>
        </w:tc>
        <w:tc>
          <w:tcPr>
            <w:tcW w:w="109"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1,783</w:t>
            </w:r>
          </w:p>
        </w:tc>
        <w:tc>
          <w:tcPr>
            <w:tcW w:w="109" w:type="dxa"/>
            <w:tcBorders/>
            <w:vAlign w:val="center"/>
          </w:tcPr>
          <w:p>
            <w:pPr>
              <w:pStyle w:val="TableContents"/>
              <w:bidi w:val="0"/>
              <w:spacing w:before="0" w:after="1"/>
              <w:ind w:left="0" w:right="0" w:hanging="0"/>
              <w:jc w:val="left"/>
              <w:rPr/>
            </w:pPr>
            <w:r>
              <w:rPr/>
              <w:t>​</w:t>
            </w:r>
          </w:p>
        </w:tc>
        <w:tc>
          <w:tcPr>
            <w:tcW w:w="22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Arial;Helvetica;sans-serif" w:hAnsi="Arial;Helvetica;sans-serif"/>
                <w:sz w:val="20"/>
              </w:rPr>
              <w:t>3.5</w:t>
            </w:r>
            <w:r>
              <w:rPr>
                <w:rFonts w:ascii="Times New Roman;Times;serif" w:hAnsi="Times New Roman;Times;serif"/>
                <w:sz w:val="20"/>
              </w:rPr>
              <w:t xml:space="preserve"> </w:t>
            </w:r>
            <w:r>
              <w:rPr>
                <w:rFonts w:ascii="Arial;Helvetica;sans-serif" w:hAnsi="Arial;Helvetica;sans-serif"/>
                <w:sz w:val="20"/>
              </w:rPr>
              <w:t>years</w:t>
            </w:r>
          </w:p>
        </w:tc>
      </w:tr>
      <w:tr>
        <w:trPr/>
        <w:tc>
          <w:tcPr>
            <w:tcW w:w="22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19,690</w:t>
            </w:r>
          </w:p>
        </w:tc>
        <w:tc>
          <w:tcPr>
            <w:tcW w:w="109" w:type="dxa"/>
            <w:tcBorders/>
            <w:shd w:fill="CCEEFF" w:val="clear"/>
            <w:vAlign w:val="center"/>
          </w:tcPr>
          <w:p>
            <w:pPr>
              <w:pStyle w:val="TableContents"/>
              <w:bidi w:val="0"/>
              <w:spacing w:before="0" w:after="1"/>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(2,270)</w:t>
            </w:r>
          </w:p>
        </w:tc>
        <w:tc>
          <w:tcPr>
            <w:tcW w:w="109"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17,420</w:t>
            </w:r>
          </w:p>
        </w:tc>
        <w:tc>
          <w:tcPr>
            <w:tcW w:w="109" w:type="dxa"/>
            <w:tcBorders/>
            <w:shd w:fill="CCEEFF" w:val="clear"/>
            <w:vAlign w:val="center"/>
          </w:tcPr>
          <w:p>
            <w:pPr>
              <w:pStyle w:val="TableContents"/>
              <w:bidi w:val="0"/>
              <w:spacing w:before="0" w:after="1"/>
              <w:ind w:left="0" w:right="0" w:hanging="0"/>
              <w:jc w:val="left"/>
              <w:rPr/>
            </w:pPr>
            <w:r>
              <w:rPr/>
              <w:t>​</w:t>
            </w:r>
          </w:p>
        </w:tc>
        <w:tc>
          <w:tcPr>
            <w:tcW w:w="229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56"/>
        <w:gridCol w:w="346"/>
        <w:gridCol w:w="882"/>
        <w:gridCol w:w="109"/>
        <w:gridCol w:w="231"/>
        <w:gridCol w:w="758"/>
        <w:gridCol w:w="109"/>
        <w:gridCol w:w="426"/>
        <w:gridCol w:w="1310"/>
        <w:gridCol w:w="109"/>
        <w:gridCol w:w="295"/>
        <w:gridCol w:w="969"/>
        <w:gridCol w:w="109"/>
        <w:gridCol w:w="2296"/>
      </w:tblGrid>
      <w:tr>
        <w:trPr/>
        <w:tc>
          <w:tcPr>
            <w:tcW w:w="2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13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6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96" w:type="dxa"/>
            <w:tcBorders/>
            <w:vAlign w:val="center"/>
          </w:tcPr>
          <w:p>
            <w:pPr>
              <w:pStyle w:val="TableContents"/>
              <w:bidi w:val="0"/>
              <w:spacing w:before="0" w:after="1"/>
              <w:ind w:left="0" w:right="0" w:hanging="0"/>
              <w:jc w:val="left"/>
              <w:rPr/>
            </w:pPr>
            <w:r>
              <w:rPr/>
              <w:t>​</w:t>
            </w:r>
          </w:p>
        </w:tc>
      </w:tr>
      <w:tr>
        <w:trPr/>
        <w:tc>
          <w:tcPr>
            <w:tcW w:w="2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12"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As of December 31, 2025</w:t>
            </w:r>
          </w:p>
        </w:tc>
      </w:tr>
      <w:tr>
        <w:trPr/>
        <w:tc>
          <w:tcPr>
            <w:tcW w:w="2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Useful Life</w:t>
            </w:r>
          </w:p>
        </w:tc>
        <w:tc>
          <w:tcPr>
            <w:tcW w:w="109" w:type="dxa"/>
            <w:tcBorders/>
            <w:vAlign w:val="center"/>
          </w:tcPr>
          <w:p>
            <w:pPr>
              <w:pStyle w:val="TableContents"/>
              <w:bidi w:val="0"/>
              <w:spacing w:before="0" w:after="1"/>
              <w:ind w:left="0" w:right="0" w:hanging="0"/>
              <w:jc w:val="center"/>
              <w:rPr/>
            </w:pPr>
            <w:r>
              <w:rPr/>
              <w:t>​</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Gross Value</w:t>
            </w:r>
          </w:p>
        </w:tc>
        <w:tc>
          <w:tcPr>
            <w:tcW w:w="109" w:type="dxa"/>
            <w:tcBorders/>
            <w:vAlign w:val="center"/>
          </w:tcPr>
          <w:p>
            <w:pPr>
              <w:pStyle w:val="TableContents"/>
              <w:bidi w:val="0"/>
              <w:spacing w:before="0" w:after="1"/>
              <w:ind w:left="0" w:right="0" w:hanging="0"/>
              <w:jc w:val="center"/>
              <w:rPr/>
            </w:pPr>
            <w:r>
              <w:rPr/>
              <w:t>​</w:t>
            </w:r>
          </w:p>
        </w:tc>
        <w:tc>
          <w:tcPr>
            <w:tcW w:w="1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 Amortization</w:t>
            </w:r>
          </w:p>
        </w:tc>
        <w:tc>
          <w:tcPr>
            <w:tcW w:w="109" w:type="dxa"/>
            <w:tcBorders/>
            <w:vAlign w:val="center"/>
          </w:tcPr>
          <w:p>
            <w:pPr>
              <w:pStyle w:val="TableContents"/>
              <w:bidi w:val="0"/>
              <w:spacing w:before="0" w:after="1"/>
              <w:ind w:left="0" w:right="0" w:hanging="0"/>
              <w:jc w:val="center"/>
              <w:rPr/>
            </w:pPr>
            <w:r>
              <w:rPr/>
              <w:t>​</w:t>
            </w:r>
          </w:p>
        </w:tc>
        <w:tc>
          <w:tcPr>
            <w:tcW w:w="12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Net Carrying Value</w:t>
            </w:r>
          </w:p>
        </w:tc>
        <w:tc>
          <w:tcPr>
            <w:tcW w:w="109" w:type="dxa"/>
            <w:tcBorders/>
            <w:vAlign w:val="center"/>
          </w:tcPr>
          <w:p>
            <w:pPr>
              <w:pStyle w:val="TableContents"/>
              <w:bidi w:val="0"/>
              <w:spacing w:before="0" w:after="1"/>
              <w:ind w:left="0" w:right="0" w:hanging="0"/>
              <w:jc w:val="left"/>
              <w:rPr/>
            </w:pPr>
            <w:r>
              <w:rPr/>
              <w:t>​</w:t>
            </w:r>
          </w:p>
        </w:tc>
        <w:tc>
          <w:tcPr>
            <w:tcW w:w="22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 Average Remaining Useful Life</w:t>
            </w:r>
          </w:p>
        </w:tc>
      </w:tr>
      <w:tr>
        <w:trPr/>
        <w:tc>
          <w:tcPr>
            <w:tcW w:w="22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Management services agreements</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Arial;Helvetica;sans-serif" w:hAnsi="Arial;Helvetica;sans-serif"/>
                <w:sz w:val="20"/>
              </w:rPr>
              <w:t>17-21</w:t>
            </w:r>
            <w:r>
              <w:rPr>
                <w:rFonts w:ascii="Times New Roman;Times;serif" w:hAnsi="Times New Roman;Times;serif"/>
                <w:sz w:val="20"/>
              </w:rPr>
              <w:t xml:space="preserve"> </w:t>
            </w:r>
            <w:r>
              <w:rPr>
                <w:rFonts w:ascii="Arial;Helvetica;sans-serif" w:hAnsi="Arial;Helvetica;sans-serif"/>
                <w:sz w:val="20"/>
              </w:rPr>
              <w:t>years</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17,100</w:t>
            </w:r>
          </w:p>
        </w:tc>
        <w:tc>
          <w:tcPr>
            <w:tcW w:w="109"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(993)</w:t>
            </w:r>
          </w:p>
        </w:tc>
        <w:tc>
          <w:tcPr>
            <w:tcW w:w="109"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16,107</w:t>
            </w:r>
          </w:p>
        </w:tc>
        <w:tc>
          <w:tcPr>
            <w:tcW w:w="109" w:type="dxa"/>
            <w:tcBorders/>
            <w:shd w:fill="CCEEFF" w:val="clear"/>
            <w:vAlign w:val="center"/>
          </w:tcPr>
          <w:p>
            <w:pPr>
              <w:pStyle w:val="TableContents"/>
              <w:bidi w:val="0"/>
              <w:spacing w:before="0" w:after="1"/>
              <w:ind w:left="0" w:right="0" w:hanging="0"/>
              <w:jc w:val="left"/>
              <w:rPr/>
            </w:pPr>
            <w:r>
              <w:rPr/>
              <w:t>​</w:t>
            </w:r>
          </w:p>
        </w:tc>
        <w:tc>
          <w:tcPr>
            <w:tcW w:w="22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 years</w:t>
            </w:r>
          </w:p>
        </w:tc>
      </w:tr>
      <w:tr>
        <w:trPr/>
        <w:tc>
          <w:tcPr>
            <w:tcW w:w="22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Trade name</w:t>
            </w:r>
          </w:p>
        </w:tc>
        <w:tc>
          <w:tcPr>
            <w:tcW w:w="346"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5 years</w:t>
            </w:r>
          </w:p>
        </w:tc>
        <w:tc>
          <w:tcPr>
            <w:tcW w:w="109" w:type="dxa"/>
            <w:tcBorders/>
            <w:vAlign w:val="center"/>
          </w:tcPr>
          <w:p>
            <w:pPr>
              <w:pStyle w:val="TableContents"/>
              <w:bidi w:val="0"/>
              <w:spacing w:before="0" w:after="1"/>
              <w:ind w:left="0" w:right="0" w:hanging="0"/>
              <w:jc w:val="center"/>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2,590</w:t>
            </w:r>
          </w:p>
        </w:tc>
        <w:tc>
          <w:tcPr>
            <w:tcW w:w="109" w:type="dxa"/>
            <w:tcBorders/>
            <w:vAlign w:val="center"/>
          </w:tcPr>
          <w:p>
            <w:pPr>
              <w:pStyle w:val="TableContents"/>
              <w:bidi w:val="0"/>
              <w:spacing w:before="0" w:after="1"/>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(548)</w:t>
            </w:r>
          </w:p>
        </w:tc>
        <w:tc>
          <w:tcPr>
            <w:tcW w:w="109"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2,042</w:t>
            </w:r>
          </w:p>
        </w:tc>
        <w:tc>
          <w:tcPr>
            <w:tcW w:w="109" w:type="dxa"/>
            <w:tcBorders/>
            <w:vAlign w:val="center"/>
          </w:tcPr>
          <w:p>
            <w:pPr>
              <w:pStyle w:val="TableContents"/>
              <w:bidi w:val="0"/>
              <w:spacing w:before="0" w:after="1"/>
              <w:ind w:left="0" w:right="0" w:hanging="0"/>
              <w:jc w:val="left"/>
              <w:rPr/>
            </w:pPr>
            <w:r>
              <w:rPr/>
              <w:t>​</w:t>
            </w:r>
          </w:p>
        </w:tc>
        <w:tc>
          <w:tcPr>
            <w:tcW w:w="22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 years</w:t>
            </w:r>
          </w:p>
        </w:tc>
      </w:tr>
      <w:tr>
        <w:trPr/>
        <w:tc>
          <w:tcPr>
            <w:tcW w:w="22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19,690</w:t>
            </w:r>
          </w:p>
        </w:tc>
        <w:tc>
          <w:tcPr>
            <w:tcW w:w="109" w:type="dxa"/>
            <w:tcBorders/>
            <w:shd w:fill="CCEEFF" w:val="clear"/>
            <w:vAlign w:val="center"/>
          </w:tcPr>
          <w:p>
            <w:pPr>
              <w:pStyle w:val="TableContents"/>
              <w:bidi w:val="0"/>
              <w:spacing w:before="0" w:after="1"/>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(1,541)</w:t>
            </w:r>
          </w:p>
        </w:tc>
        <w:tc>
          <w:tcPr>
            <w:tcW w:w="109"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18,149</w:t>
            </w:r>
          </w:p>
        </w:tc>
        <w:tc>
          <w:tcPr>
            <w:tcW w:w="109" w:type="dxa"/>
            <w:tcBorders/>
            <w:shd w:fill="CCEEFF" w:val="clear"/>
            <w:vAlign w:val="center"/>
          </w:tcPr>
          <w:p>
            <w:pPr>
              <w:pStyle w:val="TableContents"/>
              <w:bidi w:val="0"/>
              <w:spacing w:before="0" w:after="1"/>
              <w:ind w:left="0" w:right="0" w:hanging="0"/>
              <w:jc w:val="left"/>
              <w:rPr/>
            </w:pPr>
            <w:r>
              <w:rPr/>
              <w:t>​</w:t>
            </w:r>
          </w:p>
        </w:tc>
        <w:tc>
          <w:tcPr>
            <w:tcW w:w="229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Amortization expense for intangible assets was $0.4 million for the three months ended June 30, 2026 and 2025, respectively.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Amortization expense for intangible assets was $0.7 million for the six months ended June 30, 2026 and 2025, respectively.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Amortization expense over the remaining life of the intangible assets will be recognized as follows (in thousands):</w:t>
      </w:r>
    </w:p>
    <w:tbl>
      <w:tblPr>
        <w:tblW w:w="4204" w:type="dxa"/>
        <w:jc w:val="left"/>
        <w:tblInd w:w="0" w:type="dxa"/>
        <w:tblLayout w:type="fixed"/>
        <w:tblCellMar>
          <w:top w:w="0" w:type="dxa"/>
          <w:left w:w="0" w:type="dxa"/>
          <w:bottom w:w="0" w:type="dxa"/>
          <w:right w:w="0" w:type="dxa"/>
        </w:tblCellMar>
      </w:tblPr>
      <w:tblGrid>
        <w:gridCol w:w="1756"/>
        <w:gridCol w:w="346"/>
        <w:gridCol w:w="211"/>
        <w:gridCol w:w="1891"/>
      </w:tblGrid>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left"/>
              <w:rPr/>
            </w:pPr>
            <w:r>
              <w:rPr/>
              <w:t>​</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Year</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Amortization expense</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Remainder of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728</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1,457</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1,457</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1,428</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11,411</w:t>
            </w:r>
          </w:p>
        </w:tc>
      </w:tr>
      <w:tr>
        <w:trPr/>
        <w:tc>
          <w:tcPr>
            <w:tcW w:w="17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8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17,420</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6.     FAIR VALUE MEASUREMENT AND FINANCIAL INSTRUMENTS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carrying values of cash equivalents, accounts receivable, prepaids and other current assets, and accounts payable on the Company’s balance sheets approximated their fair values as of June 30, 2026 and December 31, 2025 due to their short-term nature. The carrying values of the Perceptive Facility (as defined below) approximated its fair value as of June 30, 2026 and December 31, 2025 due to its variable interest rate. The carrying value of the Company’s notes receivable approximated its fair value as of June 30, 2026 and December 31, 2025 due to its variable interest rate.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sz w:val="20"/>
        </w:rPr>
      </w:pPr>
      <w:bookmarkStart w:id="707" w:name="Tc_9EqncD4C90KUkrZE1-99kg_10_15"/>
      <w:bookmarkStart w:id="708" w:name="Tc_JfRhTlTWIEKtQvIqt70G_g_10_14"/>
      <w:bookmarkStart w:id="709" w:name="Tc_-3vMjGEsIE-9t6XULeKUUw_10_12"/>
      <w:bookmarkStart w:id="710" w:name="Tc_xkMILJwiuEaPdFT7mmgQYg_10_11"/>
      <w:bookmarkStart w:id="711" w:name="Tc_tW-DXeEfx0u3XdM_JxhQSA_10_8"/>
      <w:bookmarkStart w:id="712" w:name="Tc_fCB2EORPwU-XOuiu9oUeCQ_10_5"/>
      <w:bookmarkStart w:id="713" w:name="Tc_u4zqmroK40utd31wfqhwnw_10_2"/>
      <w:bookmarkStart w:id="714" w:name="Tc_D05uRNeKG0GDNyWpBp2rxQ_10_0"/>
      <w:bookmarkStart w:id="715" w:name="Tc_Nhq41WILSUKUCpHG56XY1g_9_15"/>
      <w:bookmarkStart w:id="716" w:name="Tc_cNpLpcKEtkOJ9IIyHSUIGw_9_14"/>
      <w:bookmarkStart w:id="717" w:name="Tc_VRuokegt-U6k2QwOgsmzMQ_9_12"/>
      <w:bookmarkStart w:id="718" w:name="Tc_zFe_5LFcEU-8tg08XE6CXA_9_11"/>
      <w:bookmarkStart w:id="719" w:name="Tc_Z27Oc4UZk06KQ1-WV5nDgw_9_8"/>
      <w:bookmarkStart w:id="720" w:name="Tc_KPJVr2-86Ee9tMz7t6anJg_9_5"/>
      <w:bookmarkStart w:id="721" w:name="Tc_Xg6b4U9xTUyJLGvleh9Zbw_9_2"/>
      <w:bookmarkStart w:id="722" w:name="Tc_GxiM9tw1QUyqMsF53A_rwA_9_0"/>
      <w:bookmarkStart w:id="723" w:name="Tc_4WUJzFE5sUG7Sz5UnNVKNA_7_14"/>
      <w:bookmarkStart w:id="724" w:name="Tc_RNFQoLsVLEi9E8zkppVlVQ_7_11"/>
      <w:bookmarkStart w:id="725" w:name="Tc_Mzvog2APpUOfU6LLI7m58g_7_8"/>
      <w:bookmarkStart w:id="726" w:name="Tc_wkFB8YT1x02NXTJN_dHqqg_7_5"/>
      <w:bookmarkStart w:id="727" w:name="Tc_Pmosi9gg7k-UJu4xt4GTQg_7_2"/>
      <w:bookmarkStart w:id="728" w:name="Tc_DXmgJls8jkuAzodOyVb_ng_6_14"/>
      <w:bookmarkStart w:id="729" w:name="Tc_DLmZoDG-bU-lfDhNy7JRrg_6_11"/>
      <w:bookmarkStart w:id="730" w:name="Tc_m9OHm3pqJkSm3MIxE9b4Cw_6_8"/>
      <w:bookmarkStart w:id="731" w:name="Tc_KQMuJtGJKEGGMMB1I5k-mg_6_2"/>
      <w:bookmarkStart w:id="732" w:name="Tc_L6PUNoKZTkiB7PNqSNHXCg_5_14"/>
      <w:bookmarkStart w:id="733" w:name="Tc_uPBI-0uxwkiVA0F3J4xyjw_5_11"/>
      <w:bookmarkStart w:id="734" w:name="Tc_ARdZISx9VkaJHbFKBPVLWQ_5_8"/>
      <w:bookmarkStart w:id="735" w:name="Tc_aDkd0_67iUmeLJMeVnkpyA_4_14"/>
      <w:bookmarkStart w:id="736" w:name="Tc_gYOUEt30-0qmd0c0pB9pgw_4_11"/>
      <w:bookmarkStart w:id="737" w:name="Tc_G_Rg3wF330GkW7iTOUBC9A_4_8"/>
      <w:bookmarkStart w:id="738" w:name="Tc_6nQJEcBfs0Og58KqXLk3ug_3_11"/>
      <w:bookmarkStart w:id="739" w:name="Tc_u3ArXlXiUUSHrfBzmkoYcQ_3_8"/>
      <w:bookmarkStart w:id="740" w:name="Tc_uM4KdSK96EiwY4ya6Hh5wg_2_8"/>
      <w:bookmarkStart w:id="741" w:name="Tc_hE5ie337LkOzC6m3gcNVDg_1_2"/>
      <w:bookmarkStart w:id="742" w:name="_b82ae891_4d6e_4f26_981a_1deb4a5bf31c"/>
      <w:bookmarkStart w:id="743" w:name="Tc_M0kvamV6ZkuSD4UKouzjmw_10_15"/>
      <w:bookmarkStart w:id="744" w:name="Tc_39epxZqokUaAtmbp9LpbAw_10_14"/>
      <w:bookmarkStart w:id="745" w:name="Tc_SsBZGWZ0T0SEJNd12ZBZSw_10_12"/>
      <w:bookmarkStart w:id="746" w:name="Tc_eMNTBy--eEqtPSUNOfGaBQ_10_11"/>
      <w:bookmarkStart w:id="747" w:name="Tc_CCQsSERnEUyat5qfq0g9Eg_10_8"/>
      <w:bookmarkStart w:id="748" w:name="Tc_VgO9WmSLpke2M7-SpZA7pQ_10_5"/>
      <w:bookmarkStart w:id="749" w:name="Tc_WHrEngCPIUWXClppAU0U2w_10_2"/>
      <w:bookmarkStart w:id="750" w:name="Tc_LOmIzoBLa06R3GPXGR46fw_10_0"/>
      <w:bookmarkStart w:id="751" w:name="Tc_P2Uvm8dlrka4MlrzqP-gGQ_9_15"/>
      <w:bookmarkStart w:id="752" w:name="Tc_f6JiC2-aTESZgAon5yHrGQ_9_14"/>
      <w:bookmarkStart w:id="753" w:name="Tc_MoRdtqZiq0Weyo9HjFiEbw_9_12"/>
      <w:bookmarkStart w:id="754" w:name="Tc_woDfk5kMqECHX9rZK_HQ8A_9_11"/>
      <w:bookmarkStart w:id="755" w:name="Tc_jIYoHgQB70q0M_sAVPcl5Q_9_8"/>
      <w:bookmarkStart w:id="756" w:name="Tc_bTXhhUDT6kOQBjwJ-Mj79g_9_5"/>
      <w:bookmarkStart w:id="757" w:name="Tc_F4Oyc3DTWUytUP_UQRyD0A_9_2"/>
      <w:bookmarkStart w:id="758" w:name="Tc_USNBo1A9GEKk8yILq9kCSQ_9_0"/>
      <w:bookmarkStart w:id="759" w:name="Tc_lvluMIc0R02hw7GjoQddwA_7_14"/>
      <w:bookmarkStart w:id="760" w:name="Tc_8CJIMKgUykiHmijpd8zMew_7_11"/>
      <w:bookmarkStart w:id="761" w:name="Tc_T3BE1OBNNUaehLUwAv5chQ_7_8"/>
      <w:bookmarkStart w:id="762" w:name="Tc_Vg31uxf9KESzsYVrpoN9cw_7_5"/>
      <w:bookmarkStart w:id="763" w:name="Tc_jxFubQYr6kGXbHkS4_Bhnw_7_2"/>
      <w:bookmarkStart w:id="764" w:name="Tc_T3YbbpkZKUaNwK-64sLjSA_6_14"/>
      <w:bookmarkStart w:id="765" w:name="Tc_eWb09IYssUeRtRtI7lfR2w_6_11"/>
      <w:bookmarkStart w:id="766" w:name="Tc_kt3OHv08vESXaepmpm637w_6_8"/>
      <w:bookmarkStart w:id="767" w:name="Tc_JLZi1ybtsEClQzmxjCHhYg_6_2"/>
      <w:bookmarkStart w:id="768" w:name="Tc_SYNQfNj6UE2lIkA6kTC_LA_5_14"/>
      <w:bookmarkStart w:id="769" w:name="Tc_IajeflWC-EGhbl91EahTsA_5_11"/>
      <w:bookmarkStart w:id="770" w:name="Tc_kUszvgJZBEWb9P3v9AF_sQ_5_8"/>
      <w:bookmarkStart w:id="771" w:name="Tc_6q5O2Cb32Ey0cfp_rEtVgw_4_14"/>
      <w:bookmarkStart w:id="772" w:name="Tc_7LK-FJ5dFki70Odekhxenw_4_11"/>
      <w:bookmarkStart w:id="773" w:name="Tc_zmkiqG1VD0mtdQgmGpef1w_4_8"/>
      <w:bookmarkStart w:id="774" w:name="Tc_8u1jWyFJn0emLfxhD_nclQ_3_11"/>
      <w:bookmarkStart w:id="775" w:name="Tc__MIn4cjMo0KixFjfoTh0yA_3_8"/>
      <w:bookmarkStart w:id="776" w:name="Tc_-FCO7EHYekGhiiAiemIqyQ_2_8"/>
      <w:bookmarkStart w:id="777" w:name="Tc_7uaBQS8pU0yhfVKatzkXsA_1_2"/>
      <w:bookmarkStart w:id="778" w:name="_0c84d513_3be3_46c4_916b_bc83755fc680"/>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rFonts w:ascii="Arial;Helvetica;sans-serif" w:hAnsi="Arial;Helvetica;sans-serif"/>
          <w:sz w:val="20"/>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tbl>
      <w:tblPr>
        <w:tblW w:w="6827" w:type="dxa"/>
        <w:jc w:val="left"/>
        <w:tblInd w:w="0" w:type="dxa"/>
        <w:tblLayout w:type="fixed"/>
        <w:tblCellMar>
          <w:top w:w="0" w:type="dxa"/>
          <w:left w:w="0" w:type="dxa"/>
          <w:bottom w:w="0" w:type="dxa"/>
          <w:right w:w="0" w:type="dxa"/>
        </w:tblCellMar>
      </w:tblPr>
      <w:tblGrid>
        <w:gridCol w:w="811"/>
        <w:gridCol w:w="6016"/>
      </w:tblGrid>
      <w:tr>
        <w:trPr/>
        <w:tc>
          <w:tcPr>
            <w:tcW w:w="81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1:</w:t>
            </w:r>
          </w:p>
        </w:tc>
        <w:tc>
          <w:tcPr>
            <w:tcW w:w="601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quoted prices for identical instruments in active markets.</w:t>
            </w:r>
          </w:p>
        </w:tc>
      </w:tr>
    </w:tbl>
    <w:tbl>
      <w:tblPr>
        <w:tblW w:w="10205" w:type="dxa"/>
        <w:jc w:val="left"/>
        <w:tblInd w:w="0" w:type="dxa"/>
        <w:tblLayout w:type="fixed"/>
        <w:tblCellMar>
          <w:top w:w="0" w:type="dxa"/>
          <w:left w:w="0" w:type="dxa"/>
          <w:bottom w:w="0" w:type="dxa"/>
          <w:right w:w="0" w:type="dxa"/>
        </w:tblCellMar>
      </w:tblPr>
      <w:tblGrid>
        <w:gridCol w:w="674"/>
        <w:gridCol w:w="9531"/>
      </w:tblGrid>
      <w:tr>
        <w:trPr/>
        <w:tc>
          <w:tcPr>
            <w:tcW w:w="67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2:</w:t>
            </w:r>
          </w:p>
        </w:tc>
        <w:tc>
          <w:tcPr>
            <w:tcW w:w="953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quoted prices for similar instruments in active markets; quoted prices for identical or similar instruments in markets that are not active; or model-derived valuations whose inputs are observable or whose significant value drivers are observable.</w:t>
            </w:r>
          </w:p>
        </w:tc>
      </w:tr>
    </w:tbl>
    <w:tbl>
      <w:tblPr>
        <w:tblW w:w="10205" w:type="dxa"/>
        <w:jc w:val="left"/>
        <w:tblInd w:w="0" w:type="dxa"/>
        <w:tblLayout w:type="fixed"/>
        <w:tblCellMar>
          <w:top w:w="0" w:type="dxa"/>
          <w:left w:w="0" w:type="dxa"/>
          <w:bottom w:w="0" w:type="dxa"/>
          <w:right w:w="0" w:type="dxa"/>
        </w:tblCellMar>
      </w:tblPr>
      <w:tblGrid>
        <w:gridCol w:w="745"/>
        <w:gridCol w:w="9460"/>
      </w:tblGrid>
      <w:tr>
        <w:trPr/>
        <w:tc>
          <w:tcPr>
            <w:tcW w:w="74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3:</w:t>
            </w:r>
          </w:p>
        </w:tc>
        <w:tc>
          <w:tcPr>
            <w:tcW w:w="946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unobservable and reflect the Company’s own assumptions, based on the best information available, including the Company’s own data</w:t>
            </w:r>
            <w:r>
              <w:rPr>
                <w:rFonts w:ascii="Arial;Helvetica;sans-serif" w:hAnsi="Arial;Helvetica;sans-serif"/>
                <w:sz w:val="18"/>
              </w:rPr>
              <w: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tables set forth the carrying amounts and fair values of the Company’s financial instruments as of June 30, 2026 and December 31, 2025 (in thousands):</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75"/>
        <w:gridCol w:w="346"/>
        <w:gridCol w:w="211"/>
        <w:gridCol w:w="586"/>
        <w:gridCol w:w="346"/>
        <w:gridCol w:w="234"/>
        <w:gridCol w:w="652"/>
        <w:gridCol w:w="346"/>
        <w:gridCol w:w="220"/>
        <w:gridCol w:w="613"/>
        <w:gridCol w:w="362"/>
        <w:gridCol w:w="379"/>
        <w:gridCol w:w="627"/>
        <w:gridCol w:w="362"/>
        <w:gridCol w:w="392"/>
        <w:gridCol w:w="854"/>
      </w:tblGrid>
      <w:tr>
        <w:trPr/>
        <w:tc>
          <w:tcPr>
            <w:tcW w:w="3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33625" cy="175260"/>
                      <wp:effectExtent l="0" t="0" r="0" b="0"/>
                      <wp:wrapNone/>
                      <wp:docPr id="49" name="Frame49"/>
                      <a:graphic xmlns:a="http://schemas.openxmlformats.org/drawingml/2006/main">
                        <a:graphicData uri="http://schemas.microsoft.com/office/word/2010/wordprocessingShape">
                          <wps:wsp>
                            <wps:cNvSpPr txBox="1"/>
                            <wps:spPr>
                              <a:xfrm>
                                <a:off x="0" y="0"/>
                                <a:ext cx="2333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8590" cy="175260"/>
                      <wp:effectExtent l="0" t="0" r="0" b="0"/>
                      <wp:wrapNone/>
                      <wp:docPr id="54" name="Frame5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14020" cy="175260"/>
                      <wp:effectExtent l="0" t="0" r="0" b="0"/>
                      <wp:wrapNone/>
                      <wp:docPr id="55" name="Frame55"/>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9700" cy="175260"/>
                      <wp:effectExtent l="0" t="0" r="0" b="0"/>
                      <wp:wrapNone/>
                      <wp:docPr id="57" name="Frame5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89255" cy="175260"/>
                      <wp:effectExtent l="0" t="0" r="0" b="0"/>
                      <wp:wrapNone/>
                      <wp:docPr id="58" name="Frame58"/>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9870" cy="175260"/>
                      <wp:effectExtent l="0" t="0" r="0" b="0"/>
                      <wp:wrapNone/>
                      <wp:docPr id="59" name="Frame5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40665" cy="175260"/>
                      <wp:effectExtent l="0" t="0" r="0" b="0"/>
                      <wp:wrapNone/>
                      <wp:docPr id="60" name="Frame6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98145" cy="175260"/>
                      <wp:effectExtent l="0" t="0" r="0" b="0"/>
                      <wp:wrapNone/>
                      <wp:docPr id="61" name="Frame61"/>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29870" cy="175260"/>
                      <wp:effectExtent l="0" t="0" r="0" b="0"/>
                      <wp:wrapNone/>
                      <wp:docPr id="62" name="Frame62"/>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8920" cy="175260"/>
                      <wp:effectExtent l="0" t="0" r="0" b="0"/>
                      <wp:wrapNone/>
                      <wp:docPr id="63" name="Frame6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42290" cy="175260"/>
                      <wp:effectExtent l="0" t="0" r="0" b="0"/>
                      <wp:wrapNone/>
                      <wp:docPr id="64" name="Frame6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18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2026</w:t>
            </w:r>
          </w:p>
        </w:tc>
      </w:tr>
      <w:tr>
        <w:trPr/>
        <w:tc>
          <w:tcPr>
            <w:tcW w:w="36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80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6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62"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62"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854" w:type="dxa"/>
            <w:tcBorders/>
            <w:vAlign w:val="center"/>
          </w:tcPr>
          <w:p>
            <w:pPr>
              <w:pStyle w:val="TableContents"/>
              <w:bidi w:val="0"/>
              <w:spacing w:before="0" w:after="1"/>
              <w:ind w:left="0" w:right="0" w:hanging="0"/>
              <w:jc w:val="center"/>
              <w:rPr/>
            </w:pPr>
            <w:r>
              <w:rPr/>
              <w:t>​</w:t>
            </w:r>
          </w:p>
        </w:tc>
      </w:tr>
      <w:tr>
        <w:trPr/>
        <w:tc>
          <w:tcPr>
            <w:tcW w:w="36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62"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62"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6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62"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62"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6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62"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62"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6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8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62"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62" w:type="dxa"/>
            <w:tcBorders/>
            <w:vAlign w:val="center"/>
          </w:tcPr>
          <w:p>
            <w:pPr>
              <w:pStyle w:val="TableContents"/>
              <w:bidi w:val="0"/>
              <w:spacing w:before="0" w:after="1"/>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7"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left"/>
              <w:rPr/>
            </w:pPr>
            <w:r>
              <w:rPr/>
              <w:t>​</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432</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5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432</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432</w:t>
            </w:r>
          </w:p>
        </w:tc>
        <w:tc>
          <w:tcPr>
            <w:tcW w:w="362"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pPr>
            <w:r>
              <w:rPr/>
              <w:t>—</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(restricted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5,500</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5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5,500</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5,500</w:t>
            </w:r>
          </w:p>
        </w:tc>
        <w:tc>
          <w:tcPr>
            <w:tcW w:w="362"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38"/>
        <w:gridCol w:w="346"/>
        <w:gridCol w:w="211"/>
        <w:gridCol w:w="622"/>
        <w:gridCol w:w="346"/>
        <w:gridCol w:w="234"/>
        <w:gridCol w:w="652"/>
        <w:gridCol w:w="346"/>
        <w:gridCol w:w="220"/>
        <w:gridCol w:w="613"/>
        <w:gridCol w:w="362"/>
        <w:gridCol w:w="379"/>
        <w:gridCol w:w="627"/>
        <w:gridCol w:w="362"/>
        <w:gridCol w:w="392"/>
        <w:gridCol w:w="855"/>
      </w:tblGrid>
      <w:tr>
        <w:trPr/>
        <w:tc>
          <w:tcPr>
            <w:tcW w:w="3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310130" cy="175260"/>
                      <wp:effectExtent l="0" t="0" r="0" b="0"/>
                      <wp:wrapNone/>
                      <wp:docPr id="65" name="Frame65"/>
                      <a:graphic xmlns:a="http://schemas.openxmlformats.org/drawingml/2006/main">
                        <a:graphicData uri="http://schemas.microsoft.com/office/word/2010/wordprocessingShape">
                          <wps:wsp>
                            <wps:cNvSpPr txBox="1"/>
                            <wps:spPr>
                              <a:xfrm>
                                <a:off x="0" y="0"/>
                                <a:ext cx="2310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94970" cy="175260"/>
                      <wp:effectExtent l="0" t="0" r="0" b="0"/>
                      <wp:wrapNone/>
                      <wp:docPr id="68" name="Frame68"/>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8590" cy="175260"/>
                      <wp:effectExtent l="0" t="0" r="0" b="0"/>
                      <wp:wrapNone/>
                      <wp:docPr id="70" name="Frame7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14020" cy="175260"/>
                      <wp:effectExtent l="0" t="0" r="0" b="0"/>
                      <wp:wrapNone/>
                      <wp:docPr id="71" name="Frame71"/>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9700" cy="175260"/>
                      <wp:effectExtent l="0" t="0" r="0" b="0"/>
                      <wp:wrapNone/>
                      <wp:docPr id="73" name="Frame7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89255" cy="175260"/>
                      <wp:effectExtent l="0" t="0" r="0" b="0"/>
                      <wp:wrapNone/>
                      <wp:docPr id="74" name="Frame74"/>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9870" cy="175260"/>
                      <wp:effectExtent l="0" t="0" r="0" b="0"/>
                      <wp:wrapNone/>
                      <wp:docPr id="75" name="Frame7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40665" cy="175260"/>
                      <wp:effectExtent l="0" t="0" r="0" b="0"/>
                      <wp:wrapNone/>
                      <wp:docPr id="76" name="Frame7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98145" cy="175260"/>
                      <wp:effectExtent l="0" t="0" r="0" b="0"/>
                      <wp:wrapNone/>
                      <wp:docPr id="77" name="Frame77"/>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9870" cy="175260"/>
                      <wp:effectExtent l="0" t="0" r="0" b="0"/>
                      <wp:wrapNone/>
                      <wp:docPr id="78" name="Frame78"/>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48920" cy="175260"/>
                      <wp:effectExtent l="0" t="0" r="0" b="0"/>
                      <wp:wrapNone/>
                      <wp:docPr id="79" name="Frame7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2925" cy="175260"/>
                      <wp:effectExtent l="0" t="0" r="0" b="0"/>
                      <wp:wrapNone/>
                      <wp:docPr id="80" name="Frame80"/>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22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2025</w:t>
            </w:r>
          </w:p>
        </w:tc>
      </w:tr>
      <w:tr>
        <w:trPr/>
        <w:tc>
          <w:tcPr>
            <w:tcW w:w="36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81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6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62"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62"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855" w:type="dxa"/>
            <w:tcBorders/>
            <w:vAlign w:val="center"/>
          </w:tcPr>
          <w:p>
            <w:pPr>
              <w:pStyle w:val="TableContents"/>
              <w:bidi w:val="0"/>
              <w:spacing w:before="0" w:after="1"/>
              <w:ind w:left="0" w:right="0" w:hanging="0"/>
              <w:jc w:val="center"/>
              <w:rPr/>
            </w:pPr>
            <w:r>
              <w:rPr/>
              <w:t>​</w:t>
            </w:r>
          </w:p>
        </w:tc>
      </w:tr>
      <w:tr>
        <w:trPr/>
        <w:tc>
          <w:tcPr>
            <w:tcW w:w="36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62"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62"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6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62"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62"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6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62"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62"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6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46" w:type="dxa"/>
            <w:tcBorders/>
            <w:vAlign w:val="center"/>
          </w:tcPr>
          <w:p>
            <w:pPr>
              <w:pStyle w:val="TableContents"/>
              <w:bidi w:val="0"/>
              <w:spacing w:before="0" w:after="1"/>
              <w:ind w:left="0" w:right="0" w:hanging="0"/>
              <w:jc w:val="left"/>
              <w:rPr/>
            </w:pPr>
            <w:r>
              <w:rPr/>
              <w:t>​</w:t>
            </w:r>
          </w:p>
        </w:tc>
        <w:tc>
          <w:tcPr>
            <w:tcW w:w="8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62" w:type="dxa"/>
            <w:tcBorders/>
            <w:vAlign w:val="center"/>
          </w:tcPr>
          <w:p>
            <w:pPr>
              <w:pStyle w:val="TableContents"/>
              <w:bidi w:val="0"/>
              <w:spacing w:before="0" w:after="1"/>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62"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638" w:type="dxa"/>
            <w:tcBorders/>
            <w:vAlign w:val="center"/>
          </w:tcPr>
          <w:p>
            <w:pPr>
              <w:pStyle w:val="TableContents"/>
              <w:bidi w:val="0"/>
              <w:spacing w:before="0" w:after="1"/>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Assets</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 ​ ​</w:t>
            </w:r>
          </w:p>
        </w:tc>
        <w:tc>
          <w:tcPr>
            <w:tcW w:w="234"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 ​ ​</w:t>
            </w:r>
          </w:p>
        </w:tc>
        <w:tc>
          <w:tcPr>
            <w:tcW w:w="220"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pPr>
            <w:r>
              <w:rPr/>
              <w:t>  ​</w:t>
            </w:r>
          </w:p>
        </w:tc>
        <w:tc>
          <w:tcPr>
            <w:tcW w:w="362" w:type="dxa"/>
            <w:tcBorders/>
            <w:vAlign w:val="center"/>
          </w:tcPr>
          <w:p>
            <w:pPr>
              <w:pStyle w:val="TableContents"/>
              <w:bidi w:val="0"/>
              <w:spacing w:before="0" w:after="1"/>
              <w:ind w:left="0" w:right="0" w:hanging="0"/>
              <w:jc w:val="left"/>
              <w:rPr/>
            </w:pPr>
            <w:r>
              <w:rPr/>
              <w:t>  ​ ​ ​</w:t>
            </w:r>
          </w:p>
        </w:tc>
        <w:tc>
          <w:tcPr>
            <w:tcW w:w="379" w:type="dxa"/>
            <w:tcBorders/>
            <w:vAlign w:val="center"/>
          </w:tcPr>
          <w:p>
            <w:pPr>
              <w:pStyle w:val="TableContents"/>
              <w:bidi w:val="0"/>
              <w:spacing w:before="0" w:after="1"/>
              <w:ind w:left="0" w:right="0" w:hanging="0"/>
              <w:jc w:val="left"/>
              <w:rPr/>
            </w:pPr>
            <w:r>
              <w:rPr/>
              <w:t>​</w:t>
            </w:r>
          </w:p>
        </w:tc>
        <w:tc>
          <w:tcPr>
            <w:tcW w:w="627" w:type="dxa"/>
            <w:tcBorders/>
            <w:vAlign w:val="center"/>
          </w:tcPr>
          <w:p>
            <w:pPr>
              <w:pStyle w:val="TableContents"/>
              <w:bidi w:val="0"/>
              <w:spacing w:before="0" w:after="1"/>
              <w:ind w:left="0" w:right="0" w:hanging="0"/>
              <w:jc w:val="right"/>
              <w:rPr/>
            </w:pPr>
            <w:r>
              <w:rPr/>
              <w:t>  ​</w:t>
            </w:r>
          </w:p>
        </w:tc>
        <w:tc>
          <w:tcPr>
            <w:tcW w:w="362" w:type="dxa"/>
            <w:tcBorders/>
            <w:vAlign w:val="center"/>
          </w:tcPr>
          <w:p>
            <w:pPr>
              <w:pStyle w:val="TableContents"/>
              <w:bidi w:val="0"/>
              <w:spacing w:before="0" w:after="1"/>
              <w:ind w:left="0" w:right="0" w:hanging="0"/>
              <w:jc w:val="left"/>
              <w:rPr/>
            </w:pPr>
            <w:r>
              <w:rPr/>
              <w:t>  ​ ​ ​</w:t>
            </w:r>
          </w:p>
        </w:tc>
        <w:tc>
          <w:tcPr>
            <w:tcW w:w="392" w:type="dxa"/>
            <w:tcBorders/>
            <w:vAlign w:val="center"/>
          </w:tcPr>
          <w:p>
            <w:pPr>
              <w:pStyle w:val="TableContents"/>
              <w:bidi w:val="0"/>
              <w:spacing w:before="0" w:after="1"/>
              <w:ind w:left="0" w:right="0" w:hanging="0"/>
              <w:jc w:val="left"/>
              <w:rPr/>
            </w:pPr>
            <w:r>
              <w:rPr/>
              <w:t>​</w:t>
            </w:r>
          </w:p>
        </w:tc>
        <w:tc>
          <w:tcPr>
            <w:tcW w:w="855" w:type="dxa"/>
            <w:tcBorders/>
            <w:vAlign w:val="center"/>
          </w:tcPr>
          <w:p>
            <w:pPr>
              <w:pStyle w:val="TableContents"/>
              <w:bidi w:val="0"/>
              <w:spacing w:before="0" w:after="1"/>
              <w:ind w:left="0" w:right="0" w:hanging="0"/>
              <w:jc w:val="right"/>
              <w:rPr/>
            </w:pPr>
            <w:r>
              <w:rPr/>
              <w:t>  ​</w:t>
            </w:r>
          </w:p>
        </w:tc>
      </w:tr>
      <w:tr>
        <w:trPr/>
        <w:tc>
          <w:tcPr>
            <w:tcW w:w="36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436</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5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436</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436</w:t>
            </w:r>
          </w:p>
        </w:tc>
        <w:tc>
          <w:tcPr>
            <w:tcW w:w="362"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5" w:type="dxa"/>
            <w:tcBorders/>
            <w:shd w:fill="CCEEFF" w:val="clear"/>
            <w:vAlign w:val="center"/>
          </w:tcPr>
          <w:p>
            <w:pPr>
              <w:pStyle w:val="TableContents"/>
              <w:bidi w:val="0"/>
              <w:spacing w:before="0" w:after="1"/>
              <w:ind w:left="0" w:right="0" w:hanging="0"/>
              <w:jc w:val="right"/>
              <w:rPr/>
            </w:pPr>
            <w:r>
              <w:rPr/>
              <w:t>—</w:t>
            </w:r>
          </w:p>
        </w:tc>
      </w:tr>
      <w:tr>
        <w:trPr/>
        <w:tc>
          <w:tcPr>
            <w:tcW w:w="36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(restricted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 xml:space="preserve">5,500 </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5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5,500</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5,500</w:t>
            </w:r>
          </w:p>
        </w:tc>
        <w:tc>
          <w:tcPr>
            <w:tcW w:w="362"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5" w:type="dxa"/>
            <w:tcBorders/>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779" w:name="Tc_Wm46aY_goUWZSfA6yypufQ_5_9"/>
      <w:bookmarkStart w:id="780" w:name="Tc_X_0GvYav-UWQureGYlsMVQ_5_2"/>
      <w:bookmarkStart w:id="781" w:name="Tc_0T5M7W-Yn0C5rOYrdBfE9w_5_0"/>
      <w:bookmarkStart w:id="782" w:name="Tc_YuMKou8vr0u-RhslNI19tQ_4_9"/>
      <w:bookmarkStart w:id="783" w:name="Tc_KbQ_S2v8Jky_cOOi-TVzJA_4_2"/>
      <w:bookmarkStart w:id="784" w:name="Tc_I1I9tLYDskKBiqryc9nG4g_4_0"/>
      <w:bookmarkStart w:id="785" w:name="Tc__zf6w3XAlEGxOKvfbPlJdQ_3_9"/>
      <w:bookmarkStart w:id="786" w:name="Tc_g_FuiDvD1k6KFJC19eumRw_3_7"/>
      <w:bookmarkStart w:id="787" w:name="Tc_UnA5S81lOUugVMlXZC9RBA_3_5"/>
      <w:bookmarkStart w:id="788" w:name="Tc_szkPn8pRW0eCRkrOZpgKag_3_2"/>
      <w:bookmarkStart w:id="789" w:name="Tc_I1BXT-5p7EyLF0P_i1ak8w_2_9"/>
      <w:bookmarkStart w:id="790" w:name="Tc_fKqyegEsKkSTGJiXLtMAWA_2_7"/>
      <w:bookmarkStart w:id="791" w:name="Tc_ScQAHnBkQ0a88IK8vsoNUg_2_5"/>
      <w:bookmarkStart w:id="792" w:name="Tc_A-0GoFu-7U-iz3lkcGbiSA_2_2"/>
      <w:bookmarkStart w:id="793" w:name="Tc_F7zVFqf1A0Sza4B9t3VOhg_1_9"/>
      <w:bookmarkStart w:id="794" w:name="Tc_iqcBimn2Ckusc8CMIfoW1A_1_7"/>
      <w:bookmarkStart w:id="795" w:name="Tc_8KOBqLvGXESlR_JYrspYCA_1_5"/>
      <w:bookmarkStart w:id="796" w:name="Tc_p6trw-RWP02wxX_LRVa9hg_1_2"/>
      <w:bookmarkStart w:id="797" w:name="_19ad8feb_0a6d_44b7_866f_da01294a140d"/>
      <w:bookmarkStart w:id="798" w:name="Tc_ePLnSolzhk2DaiUi834-aQ_5_5"/>
      <w:bookmarkStart w:id="799" w:name="Tc_D8QMCvVnE0ezgDv7NaUQRA_5_2"/>
      <w:bookmarkStart w:id="800" w:name="Tc_0Kgcn1KQP0q5safjGwe8KQ_5_0"/>
      <w:bookmarkStart w:id="801" w:name="Tc_cNIZYuwhSEysvn6P2JDwjA_4_0"/>
      <w:bookmarkStart w:id="802" w:name="Tc_mSImGkScTUu9YDZu4f1sYw_3_5"/>
      <w:bookmarkStart w:id="803" w:name="Tc_3RWHH0g-5EOK3m0Sbe1a1g_3_2"/>
      <w:bookmarkStart w:id="804" w:name="Tc_a2KcplrX50OIKKFY6dtr5Q_3_0"/>
      <w:bookmarkStart w:id="805" w:name="Tc_Q8p-cuJoSUer6ZEacdAryw_2_5"/>
      <w:bookmarkStart w:id="806" w:name="Tc_g3mfiIHCFUyc_Nq5_DvtRQ_2_2"/>
      <w:bookmarkStart w:id="807" w:name="Tc_Z9iwsMGFk0evB0yY6R7oZg_1_5"/>
      <w:bookmarkStart w:id="808" w:name="Tc_UxdjuPZoZEiruX2sSHIciw_1_2"/>
      <w:bookmarkStart w:id="809" w:name="_159c742b_c9da_4e3f_a506_19914c5cfde6"/>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r>
        <w:rPr>
          <w:rFonts w:ascii="Arial;Helvetica;sans-serif" w:hAnsi="Arial;Helvetica;sans-serif"/>
          <w:b/>
          <w:sz w:val="20"/>
        </w:rPr>
        <w:t>7.     ACCOUNTS RECEIVABLE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accounts receivable, net, as of June 30, 2026 and December 31, 2025 (in thousands):</w:t>
      </w:r>
    </w:p>
    <w:p>
      <w:pPr>
        <w:pStyle w:val="TextBody"/>
        <w:bidi w:val="0"/>
        <w:spacing w:before="0" w:after="200"/>
        <w:ind w:left="0" w:right="0" w:hanging="0"/>
        <w:jc w:val="left"/>
        <w:rPr/>
      </w:pPr>
      <w:r>
        <w:rPr/>
        <w:t>​</w:t>
      </w:r>
    </w:p>
    <w:tbl>
      <w:tblPr>
        <w:tblW w:w="6069" w:type="dxa"/>
        <w:jc w:val="left"/>
        <w:tblInd w:w="0" w:type="dxa"/>
        <w:tblLayout w:type="fixed"/>
        <w:tblCellMar>
          <w:top w:w="0" w:type="dxa"/>
          <w:left w:w="0" w:type="dxa"/>
          <w:bottom w:w="0" w:type="dxa"/>
          <w:right w:w="0" w:type="dxa"/>
        </w:tblCellMar>
      </w:tblPr>
      <w:tblGrid>
        <w:gridCol w:w="3106"/>
        <w:gridCol w:w="346"/>
        <w:gridCol w:w="211"/>
        <w:gridCol w:w="691"/>
        <w:gridCol w:w="346"/>
        <w:gridCol w:w="284"/>
        <w:gridCol w:w="931"/>
        <w:gridCol w:w="154"/>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972310" cy="175260"/>
                      <wp:effectExtent l="0" t="0" r="0" b="0"/>
                      <wp:wrapNone/>
                      <wp:docPr id="81" name="Frame81"/>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8785" cy="175260"/>
                      <wp:effectExtent l="0" t="0" r="0" b="0"/>
                      <wp:wrapNone/>
                      <wp:docPr id="84" name="Frame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80340" cy="175260"/>
                      <wp:effectExtent l="0" t="0" r="0" b="0"/>
                      <wp:wrapNone/>
                      <wp:docPr id="86" name="Frame86"/>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87"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7790" cy="175260"/>
                      <wp:effectExtent l="0" t="0" r="0" b="0"/>
                      <wp:wrapNone/>
                      <wp:docPr id="88" name="Frame8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1"/>
              <w:ind w:left="0" w:right="0" w:hanging="0"/>
              <w:jc w:val="center"/>
              <w:rPr/>
            </w:pPr>
            <w:r>
              <w:rPr/>
              <w:t>​</w: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accounts receivable - trade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16,508</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17,512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Allowances for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(553)</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(1,043)</w:t>
            </w:r>
          </w:p>
        </w:tc>
        <w:tc>
          <w:tcPr>
            <w:tcW w:w="154"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15,955</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16,469</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a roll forward of the allowance for credit losses related to accounts receivable and notes receivable (in thousands):</w:t>
      </w:r>
    </w:p>
    <w:tbl>
      <w:tblPr>
        <w:tblW w:w="8574" w:type="dxa"/>
        <w:jc w:val="left"/>
        <w:tblInd w:w="0" w:type="dxa"/>
        <w:tblLayout w:type="fixed"/>
        <w:tblCellMar>
          <w:top w:w="0" w:type="dxa"/>
          <w:left w:w="0" w:type="dxa"/>
          <w:bottom w:w="0" w:type="dxa"/>
          <w:right w:w="0" w:type="dxa"/>
        </w:tblCellMar>
      </w:tblPr>
      <w:tblGrid>
        <w:gridCol w:w="2986"/>
        <w:gridCol w:w="346"/>
        <w:gridCol w:w="280"/>
        <w:gridCol w:w="861"/>
        <w:gridCol w:w="346"/>
        <w:gridCol w:w="946"/>
        <w:gridCol w:w="346"/>
        <w:gridCol w:w="1141"/>
        <w:gridCol w:w="346"/>
        <w:gridCol w:w="279"/>
        <w:gridCol w:w="697"/>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896110" cy="175260"/>
                      <wp:effectExtent l="0" t="0" r="0" b="0"/>
                      <wp:wrapNone/>
                      <wp:docPr id="89" name="Frame89"/>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7800" cy="175260"/>
                      <wp:effectExtent l="0" t="0" r="0" b="0"/>
                      <wp:wrapNone/>
                      <wp:docPr id="91" name="Frame9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46735" cy="175260"/>
                      <wp:effectExtent l="0" t="0" r="0" b="0"/>
                      <wp:wrapNone/>
                      <wp:docPr id="92" name="Frame9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00710" cy="175260"/>
                      <wp:effectExtent l="0" t="0" r="0" b="0"/>
                      <wp:wrapNone/>
                      <wp:docPr id="94" name="Frame9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24535" cy="175260"/>
                      <wp:effectExtent l="0" t="0" r="0" b="0"/>
                      <wp:wrapNone/>
                      <wp:docPr id="96" name="Frame9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7165" cy="175260"/>
                      <wp:effectExtent l="0" t="0" r="0" b="0"/>
                      <wp:wrapNone/>
                      <wp:docPr id="98" name="Frame9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42595" cy="175260"/>
                      <wp:effectExtent l="0" t="0" r="0" b="0"/>
                      <wp:wrapNone/>
                      <wp:docPr id="99" name="Frame99"/>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Balance at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Bad Debt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Write-offs of</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Balance at</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Beginning of</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(Expense)/</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Uncollectible</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End of</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Period</w:t>
            </w:r>
          </w:p>
        </w:tc>
        <w:tc>
          <w:tcPr>
            <w:tcW w:w="346" w:type="dxa"/>
            <w:tcBorders/>
            <w:vAlign w:val="center"/>
          </w:tcPr>
          <w:p>
            <w:pPr>
              <w:pStyle w:val="TableContents"/>
              <w:bidi w:val="0"/>
              <w:spacing w:before="0" w:after="1"/>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Reversal</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Balances</w:t>
            </w:r>
          </w:p>
        </w:tc>
        <w:tc>
          <w:tcPr>
            <w:tcW w:w="346" w:type="dxa"/>
            <w:tcBorders/>
            <w:vAlign w:val="center"/>
          </w:tcPr>
          <w:p>
            <w:pPr>
              <w:pStyle w:val="TableContents"/>
              <w:bidi w:val="0"/>
              <w:spacing w:before="0" w:after="1"/>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Period</w:t>
            </w:r>
          </w:p>
        </w:tc>
      </w:tr>
      <w:tr>
        <w:trPr/>
        <w:tc>
          <w:tcPr>
            <w:tcW w:w="29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Six months ended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(1,930)</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1,093</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(920)</w:t>
            </w:r>
          </w:p>
        </w:tc>
      </w:tr>
      <w:tr>
        <w:trPr/>
        <w:tc>
          <w:tcPr>
            <w:tcW w:w="29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Six months ended June 30, 2026</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(1,043)</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330</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(553)</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8.     INVENTORY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Inventory is stated at the lower of cost and net realizable value, with cost being determined on a first in, first out basis. The Company’s inventory is primarily comprised of finished goods and work-in-process.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10" w:name="Tc_RNYZa3aqjUWfYyMRkzgSOw_14_5"/>
      <w:bookmarkStart w:id="811" w:name="Tc_YFV7w_p0pk2ejVUX6LcDjw_14_2"/>
      <w:bookmarkStart w:id="812" w:name="Tc_A0jkX3HVqE2-I8PzaZs7ug_14_0"/>
      <w:bookmarkStart w:id="813" w:name="Tc_romqBPfzw0uz6BE5OBXpiA_13_0"/>
      <w:bookmarkStart w:id="814" w:name="Tc_n2M7rCplok2n-7vW5n5yuQ_12_0"/>
      <w:bookmarkStart w:id="815" w:name="Tc__0TxiERsAkGBanYwJ5QFuQ_11_0"/>
      <w:bookmarkStart w:id="816" w:name="Tc_tQ1TBq5X0EuK3Kg74yfAqA_10_0"/>
      <w:bookmarkStart w:id="817" w:name="Tc_igvZ3wNOMEOqmOC0Zl5LDQ_9_0"/>
      <w:bookmarkStart w:id="818" w:name="Tc_eCoTonaoZEWGn2uKeyphaQ_8_0"/>
      <w:bookmarkStart w:id="819" w:name="Tc_TWnsBuifoEOW72vpcolOLQ_7_0"/>
      <w:bookmarkStart w:id="820" w:name="Tc_OwklKk2TnEO4295DIPvIrg_6_0"/>
      <w:bookmarkStart w:id="821" w:name="Tc_R2MXUFoIrUqIpRAm28t9Ow_5_3"/>
      <w:bookmarkStart w:id="822" w:name="Tc__ZlRvOOh9km1dg_kI6QmCA_5_0"/>
      <w:bookmarkStart w:id="823" w:name="Tc_mQySDyGkpESsPPMipYzxcw_4_0"/>
      <w:bookmarkStart w:id="824" w:name="Tc_XPB0DQI6nUGjFN6hH6epFA_3_5"/>
      <w:bookmarkStart w:id="825" w:name="Tc_56PuOrA5nEOAHrduG8JfjQ_3_2"/>
      <w:bookmarkStart w:id="826" w:name="Tc_XUJagTJcQk-m72waUtNwTA_3_0"/>
      <w:bookmarkStart w:id="827" w:name="Tc_9tRctcFt2E6AEI_Xe6eu3Q_2_5"/>
      <w:bookmarkStart w:id="828" w:name="Tc_dXG6UpcZQU67S4qmSgYs7A_2_2"/>
      <w:bookmarkStart w:id="829" w:name="Tc_Abd7WEM6mUmVA7B_L4Tqhw_1_5"/>
      <w:bookmarkStart w:id="830" w:name="Tc_OblEis6-C0SpakF0Bwbnug_1_2"/>
      <w:bookmarkStart w:id="831" w:name="_d1f7bafa_0780_4173_9516_2a93f0b670a5"/>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Pr>
          <w:rFonts w:ascii="Arial;Helvetica;sans-serif" w:hAnsi="Arial;Helvetica;sans-serif"/>
          <w:b/>
          <w:sz w:val="20"/>
        </w:rPr>
        <w:t>9.     PROPERTY AND EQUIPMENT AND CAPITALIZED SOFTWARE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property and equipment, net, as of June 30, 2026 and December 31, 2025 (in thousands):</w:t>
      </w:r>
    </w:p>
    <w:p>
      <w:pPr>
        <w:pStyle w:val="TextBody"/>
        <w:bidi w:val="0"/>
        <w:spacing w:before="0" w:after="200"/>
        <w:ind w:left="0" w:right="0" w:hanging="0"/>
        <w:jc w:val="left"/>
        <w:rPr/>
      </w:pPr>
      <w:r>
        <w:rPr/>
        <w:t>​</w:t>
      </w:r>
    </w:p>
    <w:tbl>
      <w:tblPr>
        <w:tblW w:w="6069" w:type="dxa"/>
        <w:jc w:val="left"/>
        <w:tblInd w:w="0" w:type="dxa"/>
        <w:tblLayout w:type="fixed"/>
        <w:tblCellMar>
          <w:top w:w="0" w:type="dxa"/>
          <w:left w:w="0" w:type="dxa"/>
          <w:bottom w:w="0" w:type="dxa"/>
          <w:right w:w="0" w:type="dxa"/>
        </w:tblCellMar>
      </w:tblPr>
      <w:tblGrid>
        <w:gridCol w:w="3091"/>
        <w:gridCol w:w="346"/>
        <w:gridCol w:w="211"/>
        <w:gridCol w:w="706"/>
        <w:gridCol w:w="346"/>
        <w:gridCol w:w="299"/>
        <w:gridCol w:w="916"/>
        <w:gridCol w:w="15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62785" cy="175260"/>
                      <wp:effectExtent l="0" t="0" r="0" b="0"/>
                      <wp:wrapNone/>
                      <wp:docPr id="100" name="Frame10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48310" cy="175260"/>
                      <wp:effectExtent l="0" t="0" r="0" b="0"/>
                      <wp:wrapNone/>
                      <wp:docPr id="103" name="Frame10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9865" cy="175260"/>
                      <wp:effectExtent l="0" t="0" r="0" b="0"/>
                      <wp:wrapNone/>
                      <wp:docPr id="105" name="Frame10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81660" cy="175260"/>
                      <wp:effectExtent l="0" t="0" r="0" b="0"/>
                      <wp:wrapNone/>
                      <wp:docPr id="106" name="Frame10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7790" cy="175260"/>
                      <wp:effectExtent l="0" t="0" r="0" b="0"/>
                      <wp:wrapNone/>
                      <wp:docPr id="107" name="Frame1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Laboratory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680</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Office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495</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495</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Auto</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Computer equipment and software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873</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Manufacturing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618</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Clinical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1,490</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TMS devices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2,796</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3,790</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Rental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213</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gross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7,466</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8,518</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(4,002)</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(4,052)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3,464</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4,466</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June 30, 2026 and December 31, 2025, the Company had capitalized software costs, net, of $1.5 million and $0.8 million, respectively, which are included in “Prepaid expenses and other current assets” and “Other assets” on the consolidated balance sheets.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disposed of $1.2 million of rental equipment, TMS devices, leasehold improvements and auto with a net book value of $0.4 million during the six months ended June 30, 2026. For the six months ended June 30, 2025, the Company had not disposed of any property and equipment.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 expense related to property and equipment and capitalized software costs was $0.4 million and $0.5 million for the three months ended June 30, 2026 and 2025, respectively and $0.8 million and $1.1 million for the six months ended June 30, 2026 and 2025, respectively.</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32" w:name="Tc_r4SXwBDLaEWpRVLD5SEEbQ_4_5"/>
      <w:bookmarkStart w:id="833" w:name="Tc_PKzfLLC0NEqvp6S9yWURjw_4_2"/>
      <w:bookmarkStart w:id="834" w:name="Tc_UFeXkP97P06FCFcK_Ms03A_4_0"/>
      <w:bookmarkStart w:id="835" w:name="Tc_3mtFIsLDtkGgamhD7dZm2w_3_0"/>
      <w:bookmarkStart w:id="836" w:name="Tc_4Szt5Jyywkup3KK9h0LhqQ_2_5"/>
      <w:bookmarkStart w:id="837" w:name="Tc_FTa5-116Q06diXihcjLENA_2_2"/>
      <w:bookmarkStart w:id="838" w:name="Tc_s6Ykcf2GAkGlP9rUTHxCXg_1_2"/>
      <w:bookmarkStart w:id="839" w:name="_3dff9feb_117b_4020_9eb4_0d66512982a7"/>
      <w:bookmarkEnd w:id="832"/>
      <w:bookmarkEnd w:id="833"/>
      <w:bookmarkEnd w:id="834"/>
      <w:bookmarkEnd w:id="835"/>
      <w:bookmarkEnd w:id="836"/>
      <w:bookmarkEnd w:id="837"/>
      <w:bookmarkEnd w:id="838"/>
      <w:bookmarkEnd w:id="839"/>
      <w:r>
        <w:rPr>
          <w:rFonts w:ascii="Arial;Helvetica;sans-serif" w:hAnsi="Arial;Helvetica;sans-serif"/>
          <w:b/>
          <w:sz w:val="20"/>
        </w:rPr>
        <w:t>10.     LEASES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Lessee: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operating leases for its corporate headquarters, Treatment Centers, a training facility, and office equipment. The corporate headquarters is located in Malvern, Pennsylvania, where the Company leases an approximately 32,000 square foot facility comprising office and warehouse space.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 2025, the Company executed a lease modification for its Malvern, Pennsylvania facility, extending the lease term through </w:t>
      </w:r>
      <w:r>
        <w:rPr>
          <w:rFonts w:ascii="Arial;Helvetica;sans-serif" w:hAnsi="Arial;Helvetica;sans-serif"/>
          <w:b w:val="false"/>
          <w:i w:val="false"/>
          <w:caps w:val="false"/>
          <w:smallCaps w:val="false"/>
          <w:sz w:val="20"/>
        </w:rPr>
        <w:t>June 2033</w:t>
      </w:r>
      <w:r>
        <w:rPr>
          <w:rFonts w:ascii="Arial;Helvetica;sans-serif" w:hAnsi="Arial;Helvetica;sans-serif"/>
          <w:sz w:val="20"/>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leases an approximately 9,600 square foot facility in Charlotte, North Carolina as a training facility for the Systems. The lease ends in September 2027. The Company has an option to extend the lease on its training facility for an additional one-year term; however, the Company has determined it is not reasonably certain to exercise the option at this time after assessing contract, asset, entity and market conditions present upon lease commencement.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lease agreements related to its Treatment Centers. These lease agreements range from month-to-month to six years in length.</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Operating lease rent expense was $2.4 million and $2.1 million for the three months ended June 30, 2026 and 2025, respectively and $4.9 million and $4.4 million for the six months ended June 30, 2026 and 2025, respectively. As of June 30, 2026, the weighted average remaining lease term of operating leases was 6.0 years, and the weighted average discount rate was 12.0%.</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supplemental cash flow information as a lessee related to leases (in thousands):</w:t>
      </w:r>
    </w:p>
    <w:p>
      <w:pPr>
        <w:pStyle w:val="TextBody"/>
        <w:bidi w:val="0"/>
        <w:spacing w:before="0" w:after="200"/>
        <w:ind w:left="0" w:right="0" w:hanging="0"/>
        <w:jc w:val="left"/>
        <w:rPr/>
      </w:pPr>
      <w:r>
        <w:rPr/>
        <w:t>​</w:t>
      </w:r>
    </w:p>
    <w:tbl>
      <w:tblPr>
        <w:tblW w:w="9459" w:type="dxa"/>
        <w:jc w:val="left"/>
        <w:tblInd w:w="0" w:type="dxa"/>
        <w:tblLayout w:type="fixed"/>
        <w:tblCellMar>
          <w:top w:w="0" w:type="dxa"/>
          <w:left w:w="0" w:type="dxa"/>
          <w:bottom w:w="0" w:type="dxa"/>
          <w:right w:w="0" w:type="dxa"/>
        </w:tblCellMar>
      </w:tblPr>
      <w:tblGrid>
        <w:gridCol w:w="6271"/>
        <w:gridCol w:w="346"/>
        <w:gridCol w:w="310"/>
        <w:gridCol w:w="861"/>
        <w:gridCol w:w="346"/>
        <w:gridCol w:w="310"/>
        <w:gridCol w:w="861"/>
        <w:gridCol w:w="154"/>
      </w:tblGrid>
      <w:tr>
        <w:trPr/>
        <w:tc>
          <w:tcPr>
            <w:tcW w:w="6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982085" cy="175260"/>
                      <wp:effectExtent l="0" t="0" r="0" b="0"/>
                      <wp:wrapNone/>
                      <wp:docPr id="108" name="Frame108"/>
                      <a:graphic xmlns:a="http://schemas.openxmlformats.org/drawingml/2006/main">
                        <a:graphicData uri="http://schemas.microsoft.com/office/word/2010/wordprocessingShape">
                          <wps:wsp>
                            <wps:cNvSpPr txBox="1"/>
                            <wps:spPr>
                              <a:xfrm>
                                <a:off x="0" y="0"/>
                                <a:ext cx="398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96850" cy="175260"/>
                      <wp:effectExtent l="0" t="0" r="0" b="0"/>
                      <wp:wrapNone/>
                      <wp:docPr id="110" name="Frame11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46735" cy="175260"/>
                      <wp:effectExtent l="0" t="0" r="0" b="0"/>
                      <wp:wrapNone/>
                      <wp:docPr id="111" name="Frame111"/>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96850" cy="175260"/>
                      <wp:effectExtent l="0" t="0" r="0" b="0"/>
                      <wp:wrapNone/>
                      <wp:docPr id="113" name="Frame11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46735" cy="175260"/>
                      <wp:effectExtent l="0" t="0" r="0" b="0"/>
                      <wp:wrapNone/>
                      <wp:docPr id="114" name="Frame114"/>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7790" cy="175260"/>
                      <wp:effectExtent l="0" t="0" r="0" b="0"/>
                      <wp:wrapNone/>
                      <wp:docPr id="115" name="Frame11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6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154" w:type="dxa"/>
            <w:tcBorders/>
            <w:vAlign w:val="center"/>
          </w:tcPr>
          <w:p>
            <w:pPr>
              <w:pStyle w:val="TableContents"/>
              <w:bidi w:val="0"/>
              <w:spacing w:before="0" w:after="1"/>
              <w:ind w:left="0" w:right="0" w:hanging="0"/>
              <w:jc w:val="left"/>
              <w:rPr/>
            </w:pPr>
            <w:r>
              <w:rPr/>
              <w:t>​</w:t>
            </w:r>
          </w:p>
        </w:tc>
      </w:tr>
      <w:tr>
        <w:trPr/>
        <w:tc>
          <w:tcPr>
            <w:tcW w:w="6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2025</w:t>
            </w:r>
          </w:p>
        </w:tc>
        <w:tc>
          <w:tcPr>
            <w:tcW w:w="154" w:type="dxa"/>
            <w:tcBorders/>
            <w:vAlign w:val="center"/>
          </w:tcPr>
          <w:p>
            <w:pPr>
              <w:pStyle w:val="TableContents"/>
              <w:bidi w:val="0"/>
              <w:spacing w:before="0" w:after="1"/>
              <w:ind w:left="0" w:right="0" w:hanging="0"/>
              <w:jc w:val="left"/>
              <w:rPr/>
            </w:pPr>
            <w:r>
              <w:rPr/>
              <w:t>​</w:t>
            </w:r>
          </w:p>
        </w:tc>
      </w:tr>
      <w:tr>
        <w:trPr/>
        <w:tc>
          <w:tcPr>
            <w:tcW w:w="6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amounts included in the measurement of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310"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10"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4,551</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3,983</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Arial;Helvetica;sans-serif" w:hAnsi="Arial;Helvetica;sans-serif"/>
          <w:sz w:val="20"/>
        </w:rPr>
      </w:pPr>
      <w:bookmarkStart w:id="840" w:name="Tc_CVV9HF1f90aPPOX0Cwgvag_4_2"/>
      <w:bookmarkStart w:id="841" w:name="Tc_047Qby4XIEKhcwpS-iToTw_4_0"/>
      <w:bookmarkStart w:id="842" w:name="Tc_MzclzZg-XkWa-8qbX6DHXw_3_0"/>
      <w:bookmarkStart w:id="843" w:name="Tc_g5VXZfLRrkS_EV1SXa5jTw_2_2"/>
      <w:bookmarkStart w:id="844" w:name="Tc_bw0qEMiYaE6xFvC-1z38IA_2_0"/>
      <w:bookmarkStart w:id="845" w:name="Tc_SUJkd2QS50ue4JzfjSxsYQ_1_2"/>
      <w:bookmarkStart w:id="846" w:name="_1ba2c954_ed3a_4156_984d_6b631395e577"/>
      <w:bookmarkStart w:id="847" w:name="Tc_RjkKJagVh0yKDU-5r7gSHQ_11_2"/>
      <w:bookmarkStart w:id="848" w:name="Tc_VNMGNTppJkKAKsfCE7iVGA_11_0"/>
      <w:bookmarkStart w:id="849" w:name="Tc_xeoaiT6JRUuWnrjAEDgyQA_10_0"/>
      <w:bookmarkStart w:id="850" w:name="Tc_LvjpBAnMTUKyylpXKUWMbg_9_0"/>
      <w:bookmarkStart w:id="851" w:name="Tc_AiGmL8e5akmzGRAYkxTivA_8_0"/>
      <w:bookmarkStart w:id="852" w:name="Tc_1XI9tBWKMECk3-lVyz4RVg_7_0"/>
      <w:bookmarkStart w:id="853" w:name="Tc_1i_sjWI2FkaqiKXPhd-UDg_6_0"/>
      <w:bookmarkStart w:id="854" w:name="Tc_GU11FNAv9E2L7wmhKzNesA_5_0"/>
      <w:bookmarkStart w:id="855" w:name="Tc_4AKh4SL5h0aNaC579KdAvw_4_0"/>
      <w:bookmarkStart w:id="856" w:name="Tc_MfXc4vm7PkCPg8Ps7Ksb2Q_3_2"/>
      <w:bookmarkStart w:id="857" w:name="Tc_WWxJH4Vn9kizQfT2LMF9zA_3_0"/>
      <w:bookmarkStart w:id="858" w:name="Tc_OEto6NYmxUiBDDA7SKUnGg_2_2"/>
      <w:bookmarkStart w:id="859" w:name="_208590b4_ed86_44d2_8c8a_52340f1e7114"/>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rFonts w:ascii="Arial;Helvetica;sans-serif" w:hAnsi="Arial;Helvetica;sans-serif"/>
          <w:sz w:val="20"/>
        </w:rPr>
        <w:t>The following table sets forth by year the required future payments of operating lease liabilities as of June 30, 2026 (in thousands):</w:t>
      </w:r>
    </w:p>
    <w:p>
      <w:pPr>
        <w:pStyle w:val="TextBody"/>
        <w:bidi w:val="0"/>
        <w:spacing w:before="0" w:after="200"/>
        <w:ind w:left="0" w:right="0" w:hanging="0"/>
        <w:jc w:val="left"/>
        <w:rPr/>
      </w:pPr>
      <w:r>
        <w:rPr/>
        <w:t>​</w:t>
      </w:r>
    </w:p>
    <w:tbl>
      <w:tblPr>
        <w:tblW w:w="5258" w:type="dxa"/>
        <w:jc w:val="left"/>
        <w:tblInd w:w="0" w:type="dxa"/>
        <w:tblLayout w:type="fixed"/>
        <w:tblCellMar>
          <w:top w:w="0" w:type="dxa"/>
          <w:left w:w="0" w:type="dxa"/>
          <w:bottom w:w="0" w:type="dxa"/>
          <w:right w:w="0" w:type="dxa"/>
        </w:tblCellMar>
      </w:tblPr>
      <w:tblGrid>
        <w:gridCol w:w="3736"/>
        <w:gridCol w:w="346"/>
        <w:gridCol w:w="211"/>
        <w:gridCol w:w="811"/>
        <w:gridCol w:w="154"/>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372360" cy="175260"/>
                      <wp:effectExtent l="0" t="0" r="0" b="0"/>
                      <wp:wrapNone/>
                      <wp:docPr id="116" name="Frame116"/>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14985" cy="175260"/>
                      <wp:effectExtent l="0" t="0" r="0" b="0"/>
                      <wp:wrapNone/>
                      <wp:docPr id="119" name="Frame11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7790" cy="175260"/>
                      <wp:effectExtent l="0" t="0" r="0" b="0"/>
                      <wp:wrapNone/>
                      <wp:docPr id="120" name="Frame12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Remainder of 2026</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4,813</w:t>
            </w:r>
          </w:p>
        </w:tc>
        <w:tc>
          <w:tcPr>
            <w:tcW w:w="154" w:type="dxa"/>
            <w:tcBorders/>
            <w:shd w:fill="CCEEFF" w:val="clear"/>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7,022</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5,617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5,056</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4,121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10,973</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37,602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(12,598)</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Present value of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25,004</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Lessor sales-type leases: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Certain customers have purchased the Systems on a rent-to-own basis. The lease term is </w:t>
      </w:r>
      <w:r>
        <w:rPr>
          <w:rFonts w:ascii="Arial;Helvetica;sans-serif" w:hAnsi="Arial;Helvetica;sans-serif"/>
          <w:b w:val="false"/>
          <w:i w:val="false"/>
          <w:caps w:val="false"/>
          <w:smallCaps w:val="false"/>
          <w:sz w:val="20"/>
        </w:rPr>
        <w:t>two</w:t>
      </w:r>
      <w:r>
        <w:rPr>
          <w:rFonts w:ascii="Arial;Helvetica;sans-serif" w:hAnsi="Arial;Helvetica;sans-serif"/>
          <w:sz w:val="20"/>
        </w:rPr>
        <w:t xml:space="preserve"> to four years with a customer option to purchase the System at the end of the lease or automatic transfer of ownership of the System at the end of the lease.</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a maturity analysis of the undiscounted lease receivables related to sales-type leases (in thousands):</w:t>
      </w:r>
    </w:p>
    <w:p>
      <w:pPr>
        <w:pStyle w:val="TextBody"/>
        <w:bidi w:val="0"/>
        <w:spacing w:before="0" w:after="200"/>
        <w:ind w:left="0" w:right="0" w:hanging="0"/>
        <w:jc w:val="left"/>
        <w:rPr/>
      </w:pPr>
      <w:r>
        <w:rPr/>
        <w:t>​</w:t>
      </w:r>
    </w:p>
    <w:tbl>
      <w:tblPr>
        <w:tblW w:w="4762" w:type="dxa"/>
        <w:jc w:val="left"/>
        <w:tblInd w:w="0" w:type="dxa"/>
        <w:tblLayout w:type="fixed"/>
        <w:tblCellMar>
          <w:top w:w="0" w:type="dxa"/>
          <w:left w:w="0" w:type="dxa"/>
          <w:bottom w:w="0" w:type="dxa"/>
          <w:right w:w="0" w:type="dxa"/>
        </w:tblCellMar>
      </w:tblPr>
      <w:tblGrid>
        <w:gridCol w:w="3091"/>
        <w:gridCol w:w="346"/>
        <w:gridCol w:w="390"/>
        <w:gridCol w:w="781"/>
        <w:gridCol w:w="15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962785" cy="175260"/>
                      <wp:effectExtent l="0" t="0" r="0" b="0"/>
                      <wp:wrapNone/>
                      <wp:docPr id="121" name="Frame12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47650" cy="175260"/>
                      <wp:effectExtent l="0" t="0" r="0" b="0"/>
                      <wp:wrapNone/>
                      <wp:docPr id="123" name="Frame123"/>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95935" cy="175260"/>
                      <wp:effectExtent l="0" t="0" r="0" b="0"/>
                      <wp:wrapNone/>
                      <wp:docPr id="124" name="Frame1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7790" cy="175260"/>
                      <wp:effectExtent l="0" t="0" r="0" b="0"/>
                      <wp:wrapNone/>
                      <wp:docPr id="125" name="Frame12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2026</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Remainder of 2026</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1"/>
              <w:ind w:left="0" w:right="0" w:hanging="0"/>
              <w:jc w:val="left"/>
              <w:rPr/>
            </w:pPr>
            <w:r>
              <w:rPr/>
              <w:t>​</w:t>
            </w:r>
          </w:p>
        </w:tc>
        <w:tc>
          <w:tcPr>
            <w:tcW w:w="3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sales-type lease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3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June 30, 2026 and December 31, 2025 the carrying amount of the lease receivables was $0.3 million, for both periods. The Company does not have any unguaranteed residual assets.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Lessor operating leases: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Systems leased to customers subsequent to January 1, 2019 for which collection is not probable are accounted for as operating leases. For the three months ended June 30, 2026 and 2025, the Company recognized operating lease income of $0.06 million and $0.05 million, respectively. For the six months ended June 30, 2026 and 2025, the Company recognized operating lease income of $0.1 million, for both periods.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maintained rental equipment, net, of $0.1 million for both June 30, 2026 and December 31, 2025, which are included in property and equipment, net on the consolidated balance sheets. Rental equipment depreciation expense was $0.01 million and $0.14 million for the three months ended June 30, 2026 and 2025, respectively and $0.03 million and $0.16 million for the six months ended June 30, 2026 and 2025, respectively.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11.     PREPAID COMMISSION EXPENSE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pays a commission on both System sales and treatment session sales. Since the commission paid for the System sales is not commensurate with the commission paid for treatment sessions, the Company capitalizes commission expense associated with the System commissions paid that is incremental to specifically anticipated future treatment session orders. In developing this estimate, the Company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considered its historical treatment session sales and customer retention rates, as well as technology development life cycles and other industry factors. These costs are periodically reviewed for impairment.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System commissions are deferred and amortized on a straight-line basis over a seven year period equal to the average customer term, which the Company deems to be the expected period of benefit for these costs.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the Company’s consolidated balance sheets, the current portion of capitalized contract costs is presented in current portion of prepaid commission expense, while the long-term portion is included in prepaid commission expense. Amortization expense was $0.8 million for both of the three months ended June 30, 2026 and 2025 and $1.6 million for both of the six months ended June 30, 2026 and 2025.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60" w:name="Tc_p9ZpT2ozi0CALIhm8Uu38w_10_5"/>
      <w:bookmarkStart w:id="861" w:name="Tc_E1MmZjoO3UuRC1Gq3ArNPQ_10_2"/>
      <w:bookmarkStart w:id="862" w:name="Tc_aFXIjw59CUOoHuQUEd50WQ_10_0"/>
      <w:bookmarkStart w:id="863" w:name="Tc_elKo4wymEkOt_s2Rd0OTNw_9_0"/>
      <w:bookmarkStart w:id="864" w:name="Tc_nA89iyVr5UeeknNQUgZ-aw_8_0"/>
      <w:bookmarkStart w:id="865" w:name="Tc_hpGlfiTP10CfAMNeCxzPLg_7_0"/>
      <w:bookmarkStart w:id="866" w:name="Tc_ucTiF3iMuUGZe4oFhO1iOg_6_0"/>
      <w:bookmarkStart w:id="867" w:name="Tc_hgDTKkXRGUiXNKmrJFtCxg_5_0"/>
      <w:bookmarkStart w:id="868" w:name="Tc_J5R0-ypP40uWPkiqn9gEQg_4_0"/>
      <w:bookmarkStart w:id="869" w:name="Tc_pPb3tV1asEKalupH3jgQ6Q_3_5"/>
      <w:bookmarkStart w:id="870" w:name="Tc_rl8fgRZe70GbEOTTGgXY1A_3_2"/>
      <w:bookmarkStart w:id="871" w:name="Tc_QrHo9d8mDUSpvSLWE2VH6A_3_0"/>
      <w:bookmarkStart w:id="872" w:name="Tc_jfPoLkQt-ECgdChFwTydhQ_2_5"/>
      <w:bookmarkStart w:id="873" w:name="Tc_12X9drbk7EK2e36frXqpJg_2_2"/>
      <w:bookmarkStart w:id="874" w:name="Tc_RPkMocrCSkGDqt_Vb4A1KA_1_5"/>
      <w:bookmarkStart w:id="875" w:name="Tc_mQjuHPbj-kO-MMCE-Es_gQ_1_2"/>
      <w:bookmarkStart w:id="876" w:name="_c67efad9_b4b3_4eb5_bf4e_304674e20f64"/>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Arial;Helvetica;sans-serif" w:hAnsi="Arial;Helvetica;sans-serif"/>
          <w:b/>
          <w:sz w:val="20"/>
        </w:rPr>
        <w:t>12.     ACCRUED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accrued expenses as of June 30, 2026 and December 31, 2025 (in thousands):</w:t>
      </w:r>
    </w:p>
    <w:tbl>
      <w:tblPr>
        <w:tblW w:w="6153" w:type="dxa"/>
        <w:jc w:val="left"/>
        <w:tblInd w:w="0" w:type="dxa"/>
        <w:tblLayout w:type="fixed"/>
        <w:tblCellMar>
          <w:top w:w="0" w:type="dxa"/>
          <w:left w:w="0" w:type="dxa"/>
          <w:bottom w:w="0" w:type="dxa"/>
          <w:right w:w="0" w:type="dxa"/>
        </w:tblCellMar>
      </w:tblPr>
      <w:tblGrid>
        <w:gridCol w:w="3391"/>
        <w:gridCol w:w="346"/>
        <w:gridCol w:w="214"/>
        <w:gridCol w:w="596"/>
        <w:gridCol w:w="346"/>
        <w:gridCol w:w="263"/>
        <w:gridCol w:w="997"/>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53285" cy="175260"/>
                      <wp:effectExtent l="0" t="0" r="0" b="0"/>
                      <wp:wrapNone/>
                      <wp:docPr id="126" name="Frame126"/>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5890" cy="175260"/>
                      <wp:effectExtent l="0" t="0" r="0" b="0"/>
                      <wp:wrapNone/>
                      <wp:docPr id="128" name="Frame12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78460" cy="175260"/>
                      <wp:effectExtent l="0" t="0" r="0" b="0"/>
                      <wp:wrapNone/>
                      <wp:docPr id="129" name="Frame129"/>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67005" cy="175260"/>
                      <wp:effectExtent l="0" t="0" r="0" b="0"/>
                      <wp:wrapNone/>
                      <wp:docPr id="131" name="Frame13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33095" cy="175260"/>
                      <wp:effectExtent l="0" t="0" r="0" b="0"/>
                      <wp:wrapNone/>
                      <wp:docPr id="132" name="Frame132"/>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1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3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Compensation and related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5,158</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8,610</w:t>
            </w:r>
          </w:p>
        </w:tc>
      </w:tr>
      <w:tr>
        <w:trPr/>
        <w:tc>
          <w:tcPr>
            <w:tcW w:w="33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Consulting and professional fees</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1,001</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9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1,122</w:t>
            </w:r>
          </w:p>
        </w:tc>
      </w:tr>
      <w:tr>
        <w:trPr/>
        <w:tc>
          <w:tcPr>
            <w:tcW w:w="33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 </w:t>
            </w:r>
          </w:p>
        </w:tc>
        <w:tc>
          <w:tcPr>
            <w:tcW w:w="9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w:t>
            </w:r>
          </w:p>
        </w:tc>
      </w:tr>
      <w:tr>
        <w:trPr/>
        <w:tc>
          <w:tcPr>
            <w:tcW w:w="33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 expenses</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972</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9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724</w:t>
            </w:r>
          </w:p>
        </w:tc>
      </w:tr>
      <w:tr>
        <w:trPr/>
        <w:tc>
          <w:tcPr>
            <w:tcW w:w="33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Warranty</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197</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 </w:t>
            </w:r>
          </w:p>
        </w:tc>
        <w:tc>
          <w:tcPr>
            <w:tcW w:w="9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w:t>
            </w:r>
          </w:p>
        </w:tc>
      </w:tr>
      <w:tr>
        <w:trPr/>
        <w:tc>
          <w:tcPr>
            <w:tcW w:w="33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other taxes payable</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595</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99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611</w:t>
            </w:r>
          </w:p>
        </w:tc>
      </w:tr>
      <w:tr>
        <w:trPr/>
        <w:tc>
          <w:tcPr>
            <w:tcW w:w="33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650</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914</w:t>
            </w:r>
          </w:p>
        </w:tc>
      </w:tr>
      <w:tr>
        <w:trPr/>
        <w:tc>
          <w:tcPr>
            <w:tcW w:w="33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8,929</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12,316</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77" w:name="Tc_QOWu2xnq1EKXSz9uxqhXJQ_7_3"/>
      <w:bookmarkStart w:id="878" w:name="Tc_B8NYBmx1tU-CHjX84DuiNQ_7_0"/>
      <w:bookmarkStart w:id="879" w:name="Tc_qkZpHG_r0kO5ajmDrheMZw_6_3"/>
      <w:bookmarkStart w:id="880" w:name="Tc_swU75tnK90arkP9DINnL-A_5_3"/>
      <w:bookmarkStart w:id="881" w:name="Tc_1T4Uecws0UWEL0hUv-Bywg_5_2"/>
      <w:bookmarkStart w:id="882" w:name="Tc_1ijG115HLUG_C3ixLPe-Qw_4_3"/>
      <w:bookmarkStart w:id="883" w:name="Tc_7X44NRwyjkmM1CUDWjyKZQ_3_3"/>
      <w:bookmarkStart w:id="884" w:name="Tc_1pGwKJV1NEmMYibeeXilKA_2_2"/>
      <w:bookmarkStart w:id="885" w:name="Tc_Od4Rf_tWNEiyd67XVsSGFg_2_0"/>
      <w:bookmarkStart w:id="886" w:name="Tc_CogxdFGnIkSuKFI-hLbWIA_1_2"/>
      <w:bookmarkStart w:id="887" w:name="_0df6d93c_fe67_4e32_83c3_2b7dcd836ba5"/>
      <w:bookmarkEnd w:id="877"/>
      <w:bookmarkEnd w:id="878"/>
      <w:bookmarkEnd w:id="879"/>
      <w:bookmarkEnd w:id="880"/>
      <w:bookmarkEnd w:id="881"/>
      <w:bookmarkEnd w:id="882"/>
      <w:bookmarkEnd w:id="883"/>
      <w:bookmarkEnd w:id="884"/>
      <w:bookmarkEnd w:id="885"/>
      <w:bookmarkEnd w:id="886"/>
      <w:bookmarkEnd w:id="887"/>
      <w:r>
        <w:rPr>
          <w:rFonts w:ascii="Arial;Helvetica;sans-serif" w:hAnsi="Arial;Helvetica;sans-serif"/>
          <w:b/>
          <w:sz w:val="20"/>
        </w:rPr>
        <w:t>13.     REVENUE AND DEFERRED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Contract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may be required for certain customers and are recorded as contract liabilities (deferred revenue). For multi-year agreements, the Company generally invoices customers annually at the beginning of each annual coverage period and recognizes revenue over the term of the coverage period. Deferred revenue also includes amounts received in advance of the Company completing performance obligations in relation to the research collaboration agreement with Compass Pathways on COMP360 psilocybin for treatment resistant depression.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2026, the Company expects to recognize approximately the following percentages of deferred revenue by year:</w:t>
      </w:r>
    </w:p>
    <w:tbl>
      <w:tblPr>
        <w:tblW w:w="3514" w:type="dxa"/>
        <w:jc w:val="left"/>
        <w:tblInd w:w="0" w:type="dxa"/>
        <w:tblLayout w:type="fixed"/>
        <w:tblCellMar>
          <w:top w:w="0" w:type="dxa"/>
          <w:left w:w="0" w:type="dxa"/>
          <w:bottom w:w="0" w:type="dxa"/>
          <w:right w:w="0" w:type="dxa"/>
        </w:tblCellMar>
      </w:tblPr>
      <w:tblGrid>
        <w:gridCol w:w="1756"/>
        <w:gridCol w:w="346"/>
        <w:gridCol w:w="1081"/>
        <w:gridCol w:w="33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115060" cy="175260"/>
                      <wp:effectExtent l="0" t="0" r="0" b="0"/>
                      <wp:wrapNone/>
                      <wp:docPr id="133" name="Frame13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86435" cy="175260"/>
                      <wp:effectExtent l="0" t="0" r="0" b="0"/>
                      <wp:wrapNone/>
                      <wp:docPr id="135" name="Frame135"/>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0185" cy="175260"/>
                      <wp:effectExtent l="0" t="0" r="0" b="0"/>
                      <wp:wrapNone/>
                      <wp:docPr id="136" name="Frame13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w:t>
            </w:r>
          </w:p>
        </w:tc>
        <w:tc>
          <w:tcPr>
            <w:tcW w:w="331" w:type="dxa"/>
            <w:tcBorders/>
            <w:vAlign w:val="center"/>
          </w:tcPr>
          <w:p>
            <w:pPr>
              <w:pStyle w:val="TableContents"/>
              <w:bidi w:val="0"/>
              <w:spacing w:before="0" w:after="1"/>
              <w:ind w:left="0" w:right="0" w:hanging="0"/>
              <w:jc w:val="center"/>
              <w:rPr/>
            </w:pPr>
            <w:r>
              <w:rPr/>
              <w:t> </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Year:</w:t>
            </w:r>
          </w:p>
        </w:tc>
        <w:tc>
          <w:tcPr>
            <w:tcW w:w="346"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Recognition</w:t>
            </w:r>
          </w:p>
        </w:tc>
        <w:tc>
          <w:tcPr>
            <w:tcW w:w="331" w:type="dxa"/>
            <w:tcBorders/>
            <w:vAlign w:val="center"/>
          </w:tcPr>
          <w:p>
            <w:pPr>
              <w:pStyle w:val="TableContents"/>
              <w:bidi w:val="0"/>
              <w:spacing w:before="0" w:after="1"/>
              <w:ind w:left="0" w:right="0" w:hanging="0"/>
              <w:jc w:val="center"/>
              <w:rPr/>
            </w:pPr>
            <w:r>
              <w:rPr/>
              <w:t> </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Remainder of 2026</w:t>
            </w:r>
          </w:p>
        </w:tc>
        <w:tc>
          <w:tcPr>
            <w:tcW w:w="346"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2027</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2029</w:t>
            </w:r>
          </w:p>
        </w:tc>
        <w:tc>
          <w:tcPr>
            <w:tcW w:w="346" w:type="dxa"/>
            <w:tcBorders/>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Revenue recognized during both the three months ended June 30, 2026 and 2025 that was included in the contract liability balance at the beginning of the year was $0.3 million. Revenue recognized for the six months ended June 30, 2026 and 2025 that was included in the contract liability balance at the beginning of the year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was $0.7 million and $0.9 million, respectively, and, in each case, primarily represented revenue earned from separately priced extended warranties, customer deposits, milestone revenue, and clinical training.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Geographical information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Revenues generated to customers outside of the United States were $1.0 million and $0.5 million for the three months ended June 30, 2026 and 2025, respectively, and $1.2 million and $0.9 million for the six months ended June 30, 2026 and 2025, respectively.</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888" w:name="Tc_0lzpXnT7dEScI2tDTEOUXQ_7_5"/>
      <w:bookmarkStart w:id="889" w:name="Tc_98li5wLXr0mIT7eHGv-X5Q_7_2"/>
      <w:bookmarkStart w:id="890" w:name="Tc_uMIzkZ3NcE-GgTPDiGPuOg_7_0"/>
      <w:bookmarkStart w:id="891" w:name="Tc_II_O5IOdPkmjv7VxJFCB_w_6_6"/>
      <w:bookmarkStart w:id="892" w:name="Tc_tpPXtMGLc0ieh2kOgx66RQ_6_3"/>
      <w:bookmarkStart w:id="893" w:name="Tc_LvGwz149rUOiR-SZzykd8w_6_0"/>
      <w:bookmarkStart w:id="894" w:name="Tc_UA-45MBEu0ehofpyabErDQ_5_0"/>
      <w:bookmarkStart w:id="895" w:name="Tc_RO4K9fcz-U-8KGYKPLqX1A_4_0"/>
      <w:bookmarkStart w:id="896" w:name="Tc_-12PjeCJ6E23wOolJHnnng_3_5"/>
      <w:bookmarkStart w:id="897" w:name="Tc_GZMT4RIETUSIUTvmNm4C7A_3_2"/>
      <w:bookmarkStart w:id="898" w:name="Tc_Rf8pTsDwskySjRI84NcfXQ_3_0"/>
      <w:bookmarkStart w:id="899" w:name="Tc_bfmZwRnZQ0610JqOqLBDrg_2_5"/>
      <w:bookmarkStart w:id="900" w:name="Tc_2FpnaexLK0qrzlQ7xgxSOA_2_2"/>
      <w:bookmarkStart w:id="901" w:name="Tc_-_EmhNXtG0uFfcOazzlHKw_1_5"/>
      <w:bookmarkStart w:id="902" w:name="Tc_n9quILa0DkaLClySP8uAgw_1_2"/>
      <w:bookmarkStart w:id="903" w:name="_dd8b08ed_c158_4187_851f_b843f73976c2"/>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rFonts w:ascii="Arial;Helvetica;sans-serif" w:hAnsi="Arial;Helvetica;sans-serif"/>
          <w:b/>
          <w:sz w:val="20"/>
        </w:rPr>
        <w:t>14.     DEBT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debt as of June 30, 2026 and December 31, 2025 (in thousands):</w:t>
      </w:r>
    </w:p>
    <w:p>
      <w:pPr>
        <w:pStyle w:val="TextBody"/>
        <w:bidi w:val="0"/>
        <w:spacing w:before="0" w:after="200"/>
        <w:ind w:left="0" w:right="0" w:hanging="0"/>
        <w:jc w:val="left"/>
        <w:rPr/>
      </w:pPr>
      <w:r>
        <w:rPr/>
        <w:t>​</w:t>
      </w:r>
    </w:p>
    <w:tbl>
      <w:tblPr>
        <w:tblW w:w="4929" w:type="dxa"/>
        <w:jc w:val="left"/>
        <w:tblInd w:w="0" w:type="dxa"/>
        <w:tblLayout w:type="fixed"/>
        <w:tblCellMar>
          <w:top w:w="0" w:type="dxa"/>
          <w:left w:w="0" w:type="dxa"/>
          <w:bottom w:w="0" w:type="dxa"/>
          <w:right w:w="0" w:type="dxa"/>
        </w:tblCellMar>
      </w:tblPr>
      <w:tblGrid>
        <w:gridCol w:w="1951"/>
        <w:gridCol w:w="346"/>
        <w:gridCol w:w="211"/>
        <w:gridCol w:w="706"/>
        <w:gridCol w:w="346"/>
        <w:gridCol w:w="284"/>
        <w:gridCol w:w="931"/>
        <w:gridCol w:w="154"/>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38885" cy="175260"/>
                      <wp:effectExtent l="0" t="0" r="0" b="0"/>
                      <wp:wrapNone/>
                      <wp:docPr id="137" name="Frame137"/>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48310" cy="175260"/>
                      <wp:effectExtent l="0" t="0" r="0" b="0"/>
                      <wp:wrapNone/>
                      <wp:docPr id="140" name="Frame14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0340" cy="175260"/>
                      <wp:effectExtent l="0" t="0" r="0" b="0"/>
                      <wp:wrapNone/>
                      <wp:docPr id="142" name="Frame14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1185" cy="175260"/>
                      <wp:effectExtent l="0" t="0" r="0" b="0"/>
                      <wp:wrapNone/>
                      <wp:docPr id="143" name="Frame1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7790" cy="175260"/>
                      <wp:effectExtent l="0" t="0" r="0" b="0"/>
                      <wp:wrapNone/>
                      <wp:docPr id="144" name="Frame1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1"/>
              <w:ind w:left="0" w:right="0" w:hanging="0"/>
              <w:jc w:val="center"/>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19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principal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65,000</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9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debt discounts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(3,481)</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(4,193)</w:t>
            </w:r>
          </w:p>
        </w:tc>
        <w:tc>
          <w:tcPr>
            <w:tcW w:w="154" w:type="dxa"/>
            <w:tcBorders/>
            <w:vAlign w:val="center"/>
          </w:tcPr>
          <w:p>
            <w:pPr>
              <w:pStyle w:val="TableContents"/>
              <w:bidi w:val="0"/>
              <w:spacing w:before="0" w:after="1"/>
              <w:ind w:left="0" w:right="0" w:hanging="0"/>
              <w:jc w:val="left"/>
              <w:rPr/>
            </w:pPr>
            <w:r>
              <w:rPr/>
              <w:t>​</w:t>
            </w:r>
          </w:p>
        </w:tc>
      </w:tr>
      <w:tr>
        <w:trPr/>
        <w:tc>
          <w:tcPr>
            <w:tcW w:w="19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61,519</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65,807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9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current portion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9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61,519</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65,807</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For the three months ended June 30, 2026, the Company recognized interest expense of $2.1 million, of which $1.9 million was cash and $0.2 million was non-cash interest expense related to the amortization of deferred debt issuance costs and accrual of final payment fees. For the three months ended June 30, 2025, the Company recognized interest expense of $2.0 million, of which $1.8 million was cash and $0.2 million was non-cash interest expense related to the amortization of deferred debt issuance costs and accrual of final payment fees.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six months ended June 30, 2026, the Company recognized interest expense of $4.4 million, of which $3.9 million was cash and $0.5 million was non-cash interest expense related to the amortization of deferred debt issuance costs and accrual of final payment fees. For the six months ended June 30, 2025, the Company recognized interest expense of $3.9 million, of which $3.5 million was cash and $0.4 million was non-cash interest expense related to the amortization of deferred debt issuance costs and accrual of final payment fees.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Perceptive Credit Facility</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July 25, 2024, the Company entered into a Credit Agreement and Guaranty with Perceptive Credit Holding IV, LP (“Perceptive”) as collateral agent and other lenders defined in the agreement (the “Perceptive Facility”) which was used to partially repay the Company’s previous $60.0</w:t>
      </w:r>
      <w:r>
        <w:rPr>
          <w:rFonts w:ascii="Times New Roman;Times;serif" w:hAnsi="Times New Roman;Times;serif"/>
          <w:sz w:val="20"/>
        </w:rPr>
        <w:t xml:space="preserve"> </w:t>
      </w:r>
      <w:r>
        <w:rPr>
          <w:rFonts w:ascii="Arial;Helvetica;sans-serif" w:hAnsi="Arial;Helvetica;sans-serif"/>
          <w:sz w:val="20"/>
        </w:rPr>
        <w:t xml:space="preserve">million credit facility with SLR Investment Corp. (formerly known as Solar Capital Ltd.).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The Perceptive Facility permits the Company to borrow up to an aggregate amount of $90.0</w:t>
      </w:r>
      <w:r>
        <w:rPr>
          <w:rFonts w:ascii="Arial;Helvetica;sans-serif" w:hAnsi="Arial;Helvetica;sans-serif"/>
          <w:b/>
          <w:sz w:val="20"/>
        </w:rPr>
        <w:t xml:space="preserve"> </w:t>
      </w:r>
      <w:r>
        <w:rPr>
          <w:rFonts w:ascii="Arial;Helvetica;sans-serif" w:hAnsi="Arial;Helvetica;sans-serif"/>
          <w:b w:val="false"/>
          <w:sz w:val="20"/>
        </w:rPr>
        <w:t>million in three</w:t>
      </w:r>
      <w:r>
        <w:rPr>
          <w:rFonts w:ascii="Arial;Helvetica;sans-serif" w:hAnsi="Arial;Helvetica;sans-serif"/>
          <w:b/>
          <w:sz w:val="20"/>
        </w:rPr>
        <w:t xml:space="preserve"> </w:t>
      </w:r>
      <w:r>
        <w:rPr>
          <w:rFonts w:ascii="Arial;Helvetica;sans-serif" w:hAnsi="Arial;Helvetica;sans-serif"/>
          <w:b w:val="false"/>
          <w:sz w:val="20"/>
        </w:rPr>
        <w:t>tranches of term loans, a “Tranche 1 Loan”, a “Tranche 2 Loan” and a “Tranche 3 Loan.” On July 25, 2024, the Company borrowed an aggregate amount of $50.0</w:t>
      </w:r>
      <w:r>
        <w:rPr>
          <w:rFonts w:ascii="Arial;Helvetica;sans-serif" w:hAnsi="Arial;Helvetica;sans-serif"/>
          <w:b/>
          <w:sz w:val="20"/>
        </w:rPr>
        <w:t xml:space="preserve"> </w:t>
      </w:r>
      <w:r>
        <w:rPr>
          <w:rFonts w:ascii="Arial;Helvetica;sans-serif" w:hAnsi="Arial;Helvetica;sans-serif"/>
          <w:b w:val="false"/>
          <w:sz w:val="20"/>
        </w:rPr>
        <w:t>million, which was the aggregate amount available under the Tranche 1 Loan. Under the Tranche 2 Loan, the Company was permitted to borrow, at its election, up to an aggregate amount of $15.0</w:t>
      </w:r>
      <w:r>
        <w:rPr>
          <w:rFonts w:ascii="Arial;Helvetica;sans-serif" w:hAnsi="Arial;Helvetica;sans-serif"/>
          <w:b/>
          <w:sz w:val="20"/>
        </w:rPr>
        <w:t xml:space="preserve"> </w:t>
      </w:r>
      <w:r>
        <w:rPr>
          <w:rFonts w:ascii="Arial;Helvetica;sans-serif" w:hAnsi="Arial;Helvetica;sans-serif"/>
          <w:b w:val="false"/>
          <w:sz w:val="20"/>
        </w:rPr>
        <w:t>million (i) upon the Company achieving a specified amount of trailing twelve months net revenue, and (ii) assuming there had been no event of default under the Perceptive Facility prior to such election. The Tranche 2 Loan was available until January 31, 2026. Under the Tranche 3 Loan, the Company was permitted to borrow, at the consent of the Majority Lenders (as defined in the Perceptive Facility), up to an aggregate amount of $25.0</w:t>
      </w:r>
      <w:r>
        <w:rPr>
          <w:rFonts w:ascii="Arial;Helvetica;sans-serif" w:hAnsi="Arial;Helvetica;sans-serif"/>
          <w:b/>
          <w:sz w:val="20"/>
        </w:rPr>
        <w:t xml:space="preserve"> </w:t>
      </w:r>
      <w:r>
        <w:rPr>
          <w:rFonts w:ascii="Arial;Helvetica;sans-serif" w:hAnsi="Arial;Helvetica;sans-serif"/>
          <w:b w:val="false"/>
          <w:sz w:val="20"/>
        </w:rPr>
        <w:t>million. The Tranche 3 Loan was available until June 30, 2026. There are no scheduled repayments of the principal on the Tranche 1 Loan, the Tranche 2 Loan or the Tranche 3 Loan prior to the maturity date. All amounts borrowed under the Perceptive Facility are due on July 25, 2029.</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Each of the Tranche 1 Loan, the Tranche 2 Loan and the Tranche 3 Loan accrues interest from the date of borrowing through the date of repayment at a floating per annum rate of interest equal to the sum of 7.00%</w:t>
      </w:r>
      <w:r>
        <w:rPr>
          <w:rFonts w:ascii="Times New Roman;Times;serif" w:hAnsi="Times New Roman;Times;serif"/>
          <w:sz w:val="20"/>
        </w:rPr>
        <w:t xml:space="preserve"> </w:t>
      </w:r>
      <w:r>
        <w:rPr>
          <w:rFonts w:ascii="Arial;Helvetica;sans-serif" w:hAnsi="Arial;Helvetica;sans-serif"/>
          <w:sz w:val="20"/>
        </w:rPr>
        <w:t>plus the greater of (a) 4.50%</w:t>
      </w:r>
      <w:r>
        <w:rPr>
          <w:rFonts w:ascii="Times New Roman;Times;serif" w:hAnsi="Times New Roman;Times;serif"/>
          <w:sz w:val="20"/>
        </w:rPr>
        <w:t xml:space="preserve"> </w:t>
      </w:r>
      <w:r>
        <w:rPr>
          <w:rFonts w:ascii="Arial;Helvetica;sans-serif" w:hAnsi="Arial;Helvetica;sans-serif"/>
          <w:sz w:val="20"/>
        </w:rPr>
        <w:t xml:space="preserve">and (b) One-Month Term SOFR (as defined in the Perceptive Facility).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If the Company prepays Tranche 1 Loan, the Tranche 2 Loan, or the Tranche 3 Loan prior to the maturity date, the Company will also be required to pay prepayment fees to Perceptive equal to 6%</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on or before the first anniversary of the closing date, 5%</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after the first anniversary and on or before the second anniversary of the closing date, 4%</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after the second anniversary and on or before the third anniversary of the closing date, and 3%</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after the third anniversary and on or before the fourth anniversary of the closing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obligations under the Perceptive Facility are secured by a first priority security interest in substantially all of the Company’s assets, including its intellectual property. The Perceptive Facility requires the Company to comply with a quarterly minimum trailing revenue covenant commencing March 2025 and a minimum liquidity covenant as well as affirmative and negative covenants.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Perceptive Facility contains events of default, including, without limitation, events of default upon: (i) failure to make payment pursuant to the terms of the agreement; (ii) violation of covenants; (iii) material adverse changes to the Company’s business; (iv) insolvency; (v) material cross-defaults; (vi) significant judgments, orders, or decrees for payments by the Company; (vii) incorrectness of representations and warranties; (viii) significant adverse events related to the Employee Retirement Income Security Act of 1974; (ix) failure by the Company to be registered with the SEC in good standing; or (x) failure by the Company to maintain a valid and perfected lien on the collateral securing the borrowing.</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consideration for the Perceptive Facility, the Company agreed to issue to Perceptive warrants to purchase up to 1,462,500 shares of the Company’s common stock, with a warrant exercisable into 1,125,000 shares of the Company’s common stock issued on the closing date (the “Initial Warrant”). The per share exercise price for the Initial Warrant is equal to the lower of (x) the 10-day volume weighted average price of the Company’s common stock on the business day immediately prior to the closing date and (y) the 10-day volume weighted average price of the common stock ended on August 31, 2024. In addition to the Initial Warrant, an additional warrant was issued for 225,000 shares of common stock concurrently with the borrowing of the Tranche 2 Loan. The per share exercise price for the additional warrant will be equal to the exercise price of the Initial Warrant. Each warrant will be exercisable, in whole or in part, until the tenth anniversary of the applicable date of issuance.</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Effective as of December 9, 2024, the Company amended the Perceptive Facility and borrowed against the Tranche 3 Loan in a principal amount of $10.0</w:t>
      </w:r>
      <w:r>
        <w:rPr>
          <w:rFonts w:ascii="Times New Roman;Times;serif" w:hAnsi="Times New Roman;Times;serif"/>
          <w:sz w:val="20"/>
        </w:rPr>
        <w:t xml:space="preserve"> </w:t>
      </w:r>
      <w:r>
        <w:rPr>
          <w:rFonts w:ascii="Arial;Helvetica;sans-serif" w:hAnsi="Arial;Helvetica;sans-serif"/>
          <w:sz w:val="20"/>
        </w:rPr>
        <w:t xml:space="preserve">million and used the proceeds thereof to finance, in part, the operations of the combined enterprise after the acquisition of Greenbrook and the related transactions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included in the Arrangement. As consideration for Tranche 3 Loan borrowing, the Company issued warrants to purchase 600,000</w:t>
      </w:r>
      <w:r>
        <w:rPr>
          <w:rFonts w:ascii="Times New Roman;Times;serif" w:hAnsi="Times New Roman;Times;serif"/>
          <w:sz w:val="20"/>
        </w:rPr>
        <w:t xml:space="preserve"> </w:t>
      </w:r>
      <w:r>
        <w:rPr>
          <w:rFonts w:ascii="Arial;Helvetica;sans-serif" w:hAnsi="Arial;Helvetica;sans-serif"/>
          <w:sz w:val="20"/>
        </w:rPr>
        <w:t>shares of the Company’s common stock at a per share exercise price of $0.94.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Company calculated the issuance date fair value of the warrants using the Black-Scholes option pricing model, which resulted in a fair value of $2.6</w:t>
      </w:r>
      <w:r>
        <w:rPr>
          <w:rFonts w:ascii="Times New Roman;Times;serif" w:hAnsi="Times New Roman;Times;serif"/>
          <w:sz w:val="20"/>
        </w:rPr>
        <w:t xml:space="preserve"> </w:t>
      </w:r>
      <w:r>
        <w:rPr>
          <w:rFonts w:ascii="Arial;Helvetica;sans-serif" w:hAnsi="Arial;Helvetica;sans-serif"/>
          <w:sz w:val="20"/>
        </w:rPr>
        <w:t>million. Accordingly, the Company allocated the proceeds from the Perceptive Facility on a relative fair value basis resulting in $2.5</w:t>
      </w:r>
      <w:r>
        <w:rPr>
          <w:rFonts w:ascii="Times New Roman;Times;serif" w:hAnsi="Times New Roman;Times;serif"/>
          <w:sz w:val="20"/>
        </w:rPr>
        <w:t xml:space="preserve"> </w:t>
      </w:r>
      <w:r>
        <w:rPr>
          <w:rFonts w:ascii="Arial;Helvetica;sans-serif" w:hAnsi="Arial;Helvetica;sans-serif"/>
          <w:sz w:val="20"/>
        </w:rPr>
        <w:t>million allocated to the warrants.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26, 2025, the Company entered into Amendment No. 2 to Credit Agreement and Guaranty by and between the Company, as the borrower, and Perceptive, in its capacities as administrative agent for the lenders and the majority lender, in which the parties agreed to revise the net revenue covenant to align with the Company’s pre-existing operating plan for the first quarter of 2025.</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August 1, 2025, the Company entered into Amendment No. 3 to Credit Agreement and Guaranty (the “Perceptive Third Amendment”). Pursuant to the Perceptive Third Amendment, the Company borrowed $10.0 million under Tranche 2, lowered the minimum liquidity balance requirement to $2.0 million through September 30, 2026, and issued Perceptive a warrant certificate exercisable into 225,000 shares of the Company’s common stock.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January 15, 2026, the Company entered into Amendment No. 4 to Credit Agreement and Guaranty (the “Perceptive Fourth Amendment”). The Perceptive Fourth Amendment amended the Perceptive Facility to modify the requirements of subsidiaries joining as an obligor and subsidiary guarantor thereunder.</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March 12, 2026, the Company entered into Amendment No. 5 to the Credit Agreement and Guaranty (the “Perceptive Fifth Amendment”). Under the Perceptive Fifth Amendment, Neuronetics made a one-time principal payment of $5.0 million, and Neuronetics and Perceptive agreed to adjustments to the existing debt covenants. In connection with the amendment, the Company incurred a prepayment penalty of $0.3 million, which, together with the proportional write-off of unamortized debt issuance costs and discounts, resulted in a total loss on partial debt extinguishment of approximately $0.5 million for accounting purposes.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As of June 30, 2026, the Company had $65.0 million of borrowings outstanding under the Perceptive Facility, which has a final maturity in July 2029. The interest rate on borrowings under the credit facility is variable and resets monthly.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was in compliance with the covenants under the Perceptive Facility as of June 30, 2026.</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15.     COMMON STOCK</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Common Stock Offering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July 3, 2025, the Company entered into the Distribution Agreement, pursuant to which the Company may offer and sell shares of its common stock having an aggregate offering price of up to $50.0 million from time to time through the ATM Program. Sales under the Distribution Agreement will be made pursuant to the Company’s Registration Statement on Form S-3 (File No. 333-288526) and a related prospectus and prospectus supplement.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three and six months ended June 30, 2026, the Company sold an aggregate of 6,052,953 shares of its common stock under the ATM Program at an average price of $1.31 per share, generating gross proceeds of approximately $8.0 million. The Company paid aggregate sales commissions of $0.2 million and incurred additional offering-related expenses of $0.2 million. As a result, net proceeds from the offering are $7.6 million. The Company also amortized $0.1 million of shelf related expenses for the ATM Program.There were no sales under the ATM Program for the three and six months ended June 30, 2025.</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Arial;Helvetica;sans-serif" w:hAnsi="Arial;Helvetica;sans-serif"/>
          <w:sz w:val="20"/>
        </w:rPr>
      </w:pPr>
      <w:bookmarkStart w:id="904" w:name="_84554166_1926_4a80_b3ca_345be89e1578_5"/>
      <w:bookmarkStart w:id="905" w:name="_84554166_1926_4a80_b3ca_345be89e1578_4"/>
      <w:bookmarkStart w:id="906" w:name="_84554166_1926_4a80_b3ca_345be89e1578_3"/>
      <w:bookmarkStart w:id="907" w:name="_84554166_1926_4a80_b3ca_345be89e1578_2"/>
      <w:bookmarkStart w:id="908" w:name="_84554166_1926_4a80_b3ca_345be89e1578"/>
      <w:bookmarkStart w:id="909" w:name="Tc_EXyB96d4oUGrviJeE3qs2Q_6_2"/>
      <w:bookmarkStart w:id="910" w:name="Tc_Fls_LOpdVkm1nl3Ca_Gv8g_5_2"/>
      <w:bookmarkStart w:id="911" w:name="Tc_MxTIdjbWTUinMrMTCeeOHg_4_2"/>
      <w:bookmarkStart w:id="912" w:name="Tc_xgYWq6UAK0uqywSYXLeDcw_3_5"/>
      <w:bookmarkStart w:id="913" w:name="Tc_Zfc5LhWoTECi-RYw1C39gA_3_2"/>
      <w:bookmarkStart w:id="914" w:name="Tc_A65h5n2YEESnQydybwM0Dg_3_0"/>
      <w:bookmarkStart w:id="915" w:name="Tc_iwUEiv-k9kmVMjAx1YN0JQ_2_0"/>
      <w:bookmarkStart w:id="916" w:name="Tc_8xvEygGKD0mVYEhhr5KAGg_1_0"/>
      <w:bookmarkStart w:id="917" w:name="_28683e94_81c6_4525_9ffc_91aac39a20ea"/>
      <w:bookmarkStart w:id="918" w:name="Tc_FiXo0ihwp0usl_fzL0_tGw_9_0"/>
      <w:bookmarkStart w:id="919" w:name="Tc_irFdVC9u6UCeIeQ0lH7WHQ_8_0"/>
      <w:bookmarkStart w:id="920" w:name="Tc_xOy6yrrQjE6jza0EWSIYlA_7_0"/>
      <w:bookmarkStart w:id="921" w:name="Tc_Pix6xP-A706sFmtiXVOazQ_6_0"/>
      <w:bookmarkStart w:id="922" w:name="Tc_lpzBc7q-WU-XwRCUs6ChTg_5_0"/>
      <w:bookmarkStart w:id="923" w:name="Tc_UASA1Pu9zkabUnQQTCdvlw_4_0"/>
      <w:bookmarkStart w:id="924" w:name="Tc_ubOpxPw8Nk2mTzAfB9lX3A_3_0"/>
      <w:bookmarkStart w:id="925" w:name="Tc_6Mg_IBzglUuuFRZxpVD-zw_2_0"/>
      <w:bookmarkStart w:id="926" w:name="Tc_Q8uqsjPXJ0KqVG0d1MxN5w_1_4"/>
      <w:bookmarkStart w:id="927" w:name="Tc_wcIdp7PJ6kmLk-DXdEISfg_1_2"/>
      <w:bookmarkStart w:id="928" w:name="_bd497be0_bce3_49c2_8bf7_5830598466f1"/>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Pr>
          <w:rFonts w:ascii="Arial;Helvetica;sans-serif" w:hAnsi="Arial;Helvetica;sans-serif"/>
          <w:sz w:val="20"/>
        </w:rPr>
        <w:t>As of June 30, 2026, the Company had approximately $33.7 million remaining available for future issuance under the ATM Program.</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Common Stock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total number of shares of the Company’s common stock issued and reserved for issuance as of June 30, 2026 and December 31, 2025 (in thousands):</w:t>
      </w:r>
    </w:p>
    <w:p>
      <w:pPr>
        <w:pStyle w:val="TextBody"/>
        <w:bidi w:val="0"/>
        <w:spacing w:before="0" w:after="200"/>
        <w:ind w:left="0" w:right="0" w:hanging="0"/>
        <w:jc w:val="left"/>
        <w:rPr/>
      </w:pPr>
      <w:r>
        <w:rPr/>
        <w:t>​</w:t>
      </w:r>
    </w:p>
    <w:tbl>
      <w:tblPr>
        <w:tblW w:w="9309" w:type="dxa"/>
        <w:jc w:val="left"/>
        <w:tblInd w:w="0" w:type="dxa"/>
        <w:tblLayout w:type="fixed"/>
        <w:tblCellMar>
          <w:top w:w="0" w:type="dxa"/>
          <w:left w:w="0" w:type="dxa"/>
          <w:bottom w:w="0" w:type="dxa"/>
          <w:right w:w="0" w:type="dxa"/>
        </w:tblCellMar>
      </w:tblPr>
      <w:tblGrid>
        <w:gridCol w:w="5716"/>
        <w:gridCol w:w="346"/>
        <w:gridCol w:w="1171"/>
        <w:gridCol w:w="346"/>
        <w:gridCol w:w="1576"/>
        <w:gridCol w:w="154"/>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629660" cy="175260"/>
                      <wp:effectExtent l="0" t="0" r="0" b="0"/>
                      <wp:wrapNone/>
                      <wp:docPr id="145" name="Frame145"/>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43585" cy="175260"/>
                      <wp:effectExtent l="0" t="0" r="0" b="0"/>
                      <wp:wrapNone/>
                      <wp:docPr id="147" name="Frame14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000760" cy="175260"/>
                      <wp:effectExtent l="0" t="0" r="0" b="0"/>
                      <wp:wrapNone/>
                      <wp:docPr id="149" name="Frame14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7790" cy="175260"/>
                      <wp:effectExtent l="0" t="0" r="0" b="0"/>
                      <wp:wrapNone/>
                      <wp:docPr id="150" name="Frame15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2025</w:t>
            </w:r>
          </w:p>
        </w:tc>
        <w:tc>
          <w:tcPr>
            <w:tcW w:w="154" w:type="dxa"/>
            <w:tcBorders/>
            <w:vAlign w:val="center"/>
          </w:tcPr>
          <w:p>
            <w:pPr>
              <w:pStyle w:val="TableContents"/>
              <w:bidi w:val="0"/>
              <w:spacing w:before="0" w:after="0"/>
              <w:ind w:left="0" w:right="0" w:hanging="0"/>
              <w:jc w:val="center"/>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of common stock issued</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76,193</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68,994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of common stock reserved for issuance for:</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warrants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1,950</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 options outstanding</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1,089</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1,099</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stock units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5,483</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5,627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grant under stock incentive plans</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7,412</w:t>
            </w:r>
          </w:p>
        </w:tc>
        <w:tc>
          <w:tcPr>
            <w:tcW w:w="34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4,314</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sale under employee stock purchase plan</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2,871</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shares of common stock issued and reserved for issuance</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94,998</w:t>
            </w:r>
          </w:p>
        </w:tc>
        <w:tc>
          <w:tcPr>
            <w:tcW w:w="346" w:type="dxa"/>
            <w:tcBorders/>
            <w:vAlign w:val="center"/>
          </w:tcPr>
          <w:p>
            <w:pPr>
              <w:pStyle w:val="TableContents"/>
              <w:bidi w:val="0"/>
              <w:spacing w:before="0" w:after="0"/>
              <w:ind w:left="0" w:right="0" w:hanging="0"/>
              <w:jc w:val="left"/>
              <w:rPr/>
            </w:pPr>
            <w:r>
              <w:rPr/>
              <w:t> </w:t>
            </w:r>
          </w:p>
        </w:tc>
        <w:tc>
          <w:tcPr>
            <w:tcW w:w="15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84,165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Common Stock Warrants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Company’s outstanding common stock warrants as of June 30, 2026 and December 31, 2025:</w:t>
      </w:r>
    </w:p>
    <w:p>
      <w:pPr>
        <w:pStyle w:val="TextBody"/>
        <w:bidi w:val="0"/>
        <w:spacing w:before="0" w:after="200"/>
        <w:ind w:left="0" w:right="0" w:hanging="0"/>
        <w:jc w:val="left"/>
        <w:rPr/>
      </w:pPr>
      <w:r>
        <w:rPr/>
        <w:t>​</w:t>
      </w:r>
    </w:p>
    <w:tbl>
      <w:tblPr>
        <w:tblW w:w="4550" w:type="dxa"/>
        <w:jc w:val="left"/>
        <w:tblInd w:w="0" w:type="dxa"/>
        <w:tblLayout w:type="fixed"/>
        <w:tblCellMar>
          <w:top w:w="0" w:type="dxa"/>
          <w:left w:w="0" w:type="dxa"/>
          <w:bottom w:w="0" w:type="dxa"/>
          <w:right w:w="0" w:type="dxa"/>
        </w:tblCellMar>
      </w:tblPr>
      <w:tblGrid>
        <w:gridCol w:w="1291"/>
        <w:gridCol w:w="346"/>
        <w:gridCol w:w="502"/>
        <w:gridCol w:w="699"/>
        <w:gridCol w:w="346"/>
        <w:gridCol w:w="136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819785" cy="175260"/>
                      <wp:effectExtent l="0" t="0" r="0" b="0"/>
                      <wp:wrapNone/>
                      <wp:docPr id="151" name="Frame151"/>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18770" cy="175260"/>
                      <wp:effectExtent l="0" t="0" r="0" b="0"/>
                      <wp:wrapNone/>
                      <wp:docPr id="153" name="Frame153"/>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43865" cy="175260"/>
                      <wp:effectExtent l="0" t="0" r="0" b="0"/>
                      <wp:wrapNone/>
                      <wp:docPr id="154" name="Frame15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867410" cy="175260"/>
                      <wp:effectExtent l="0" t="0" r="0" b="0"/>
                      <wp:wrapNone/>
                      <wp:docPr id="156" name="Frame156"/>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Warrants</w:t>
            </w:r>
          </w:p>
        </w:tc>
        <w:tc>
          <w:tcPr>
            <w:tcW w:w="346" w:type="dxa"/>
            <w:tcBorders/>
            <w:vAlign w:val="center"/>
          </w:tcPr>
          <w:p>
            <w:pPr>
              <w:pStyle w:val="TableContents"/>
              <w:bidi w:val="0"/>
              <w:spacing w:before="0" w:after="1"/>
              <w:ind w:left="0" w:right="0" w:hanging="0"/>
              <w:jc w:val="left"/>
              <w:rPr/>
            </w:pPr>
            <w:r>
              <w:rPr/>
              <w:t>  ​ ​ ​</w:t>
            </w:r>
          </w:p>
        </w:tc>
        <w:tc>
          <w:tcPr>
            <w:tcW w:w="502" w:type="dxa"/>
            <w:tcBorders/>
            <w:vAlign w:val="center"/>
          </w:tcPr>
          <w:p>
            <w:pPr>
              <w:pStyle w:val="TableContents"/>
              <w:bidi w:val="0"/>
              <w:spacing w:before="0" w:after="1"/>
              <w:ind w:left="0" w:right="0" w:hanging="0"/>
              <w:jc w:val="center"/>
              <w:rPr/>
            </w:pPr>
            <w:r>
              <w:rPr/>
              <w:t>  ​ ​ ​</w:t>
            </w:r>
          </w:p>
        </w:tc>
        <w:tc>
          <w:tcPr>
            <w:tcW w:w="6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366" w:type="dxa"/>
            <w:tcBorders/>
            <w:vAlign w:val="center"/>
          </w:tcPr>
          <w:p>
            <w:pPr>
              <w:pStyle w:val="TableContents"/>
              <w:bidi w:val="0"/>
              <w:spacing w:before="0" w:after="1"/>
              <w:ind w:left="0" w:right="0" w:hanging="0"/>
              <w:jc w:val="center"/>
              <w:rPr/>
            </w:pPr>
            <w:r>
              <w:rPr/>
              <w:t>  ​ ​ ​</w:t>
            </w:r>
          </w:p>
        </w:tc>
      </w:tr>
      <w:tr>
        <w:trPr/>
        <w:tc>
          <w:tcPr>
            <w:tcW w:w="129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46" w:type="dxa"/>
            <w:tcBorders/>
            <w:vAlign w:val="center"/>
          </w:tcPr>
          <w:p>
            <w:pPr>
              <w:pStyle w:val="TableContents"/>
              <w:bidi w:val="0"/>
              <w:spacing w:before="0" w:after="1"/>
              <w:ind w:left="0" w:right="0" w:hanging="0"/>
              <w:jc w:val="left"/>
              <w:rPr/>
            </w:pPr>
            <w:r>
              <w:rPr/>
              <w:t>​</w:t>
            </w:r>
          </w:p>
        </w:tc>
        <w:tc>
          <w:tcPr>
            <w:tcW w:w="502" w:type="dxa"/>
            <w:tcBorders/>
            <w:vAlign w:val="center"/>
          </w:tcPr>
          <w:p>
            <w:pPr>
              <w:pStyle w:val="TableContents"/>
              <w:bidi w:val="0"/>
              <w:spacing w:before="0" w:after="1"/>
              <w:ind w:left="0" w:right="0" w:hanging="0"/>
              <w:jc w:val="center"/>
              <w:rPr/>
            </w:pPr>
            <w:r>
              <w:rPr/>
              <w:t>​</w:t>
            </w:r>
          </w:p>
        </w:tc>
        <w:tc>
          <w:tcPr>
            <w:tcW w:w="6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center"/>
              <w:rPr/>
            </w:pPr>
            <w:r>
              <w:rPr/>
              <w:t>​</w:t>
            </w:r>
          </w:p>
        </w:tc>
      </w:tr>
      <w:tr>
        <w:trPr/>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46" w:type="dxa"/>
            <w:tcBorders/>
            <w:vAlign w:val="center"/>
          </w:tcPr>
          <w:p>
            <w:pPr>
              <w:pStyle w:val="TableContents"/>
              <w:bidi w:val="0"/>
              <w:spacing w:before="0" w:after="1"/>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46" w:type="dxa"/>
            <w:tcBorders/>
            <w:vAlign w:val="center"/>
          </w:tcPr>
          <w:p>
            <w:pPr>
              <w:pStyle w:val="TableContents"/>
              <w:bidi w:val="0"/>
              <w:spacing w:before="0" w:after="1"/>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Expiration Date</w:t>
            </w:r>
          </w:p>
        </w:tc>
      </w:tr>
      <w:tr>
        <w:trPr/>
        <w:tc>
          <w:tcPr>
            <w:tcW w:w="12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1,125</w:t>
            </w:r>
          </w:p>
        </w:tc>
        <w:tc>
          <w:tcPr>
            <w:tcW w:w="346" w:type="dxa"/>
            <w:tcBorders/>
            <w:shd w:fill="CCEEFF" w:val="clear"/>
            <w:vAlign w:val="center"/>
          </w:tcPr>
          <w:p>
            <w:pPr>
              <w:pStyle w:val="TableContents"/>
              <w:bidi w:val="0"/>
              <w:spacing w:before="0" w:after="1"/>
              <w:ind w:left="0" w:right="0" w:hanging="0"/>
              <w:jc w:val="left"/>
              <w:rPr/>
            </w:pPr>
            <w:r>
              <w:rPr/>
              <w:t>​</w:t>
            </w:r>
          </w:p>
        </w:tc>
        <w:tc>
          <w:tcPr>
            <w:tcW w:w="5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0.94</w:t>
            </w:r>
          </w:p>
        </w:tc>
        <w:tc>
          <w:tcPr>
            <w:tcW w:w="346" w:type="dxa"/>
            <w:tcBorders/>
            <w:shd w:fill="CCEEFF" w:val="clear"/>
            <w:vAlign w:val="center"/>
          </w:tcPr>
          <w:p>
            <w:pPr>
              <w:pStyle w:val="TableContents"/>
              <w:bidi w:val="0"/>
              <w:spacing w:before="0" w:after="1"/>
              <w:ind w:left="0" w:right="0" w:hanging="0"/>
              <w:jc w:val="left"/>
              <w:rPr/>
            </w:pPr>
            <w:r>
              <w:rPr/>
              <w:t>​</w:t>
            </w:r>
          </w:p>
        </w:tc>
        <w:tc>
          <w:tcPr>
            <w:tcW w:w="136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July-2034</w:t>
            </w:r>
          </w:p>
        </w:tc>
      </w:tr>
      <w:tr>
        <w:trPr/>
        <w:tc>
          <w:tcPr>
            <w:tcW w:w="12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600</w:t>
            </w:r>
          </w:p>
        </w:tc>
        <w:tc>
          <w:tcPr>
            <w:tcW w:w="346" w:type="dxa"/>
            <w:tcBorders/>
            <w:vAlign w:val="center"/>
          </w:tcPr>
          <w:p>
            <w:pPr>
              <w:pStyle w:val="TableContents"/>
              <w:bidi w:val="0"/>
              <w:spacing w:before="0" w:after="1"/>
              <w:ind w:left="0" w:right="0" w:hanging="0"/>
              <w:jc w:val="left"/>
              <w:rPr/>
            </w:pPr>
            <w:r>
              <w:rPr/>
              <w:t>​</w:t>
            </w:r>
          </w:p>
        </w:tc>
        <w:tc>
          <w:tcPr>
            <w:tcW w:w="5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0.94</w:t>
            </w:r>
          </w:p>
        </w:tc>
        <w:tc>
          <w:tcPr>
            <w:tcW w:w="346" w:type="dxa"/>
            <w:tcBorders/>
            <w:vAlign w:val="center"/>
          </w:tcPr>
          <w:p>
            <w:pPr>
              <w:pStyle w:val="TableContents"/>
              <w:bidi w:val="0"/>
              <w:spacing w:before="0" w:after="1"/>
              <w:ind w:left="0" w:right="0" w:hanging="0"/>
              <w:jc w:val="left"/>
              <w:rPr/>
            </w:pPr>
            <w:r>
              <w:rPr/>
              <w:t>​</w:t>
            </w:r>
          </w:p>
        </w:tc>
        <w:tc>
          <w:tcPr>
            <w:tcW w:w="136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Dec-2034</w:t>
            </w:r>
          </w:p>
        </w:tc>
      </w:tr>
      <w:tr>
        <w:trPr/>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w:t>
            </w:r>
          </w:p>
        </w:tc>
        <w:tc>
          <w:tcPr>
            <w:tcW w:w="346" w:type="dxa"/>
            <w:tcBorders/>
            <w:shd w:fill="CCEEFF" w:val="clear"/>
            <w:vAlign w:val="center"/>
          </w:tcPr>
          <w:p>
            <w:pPr>
              <w:pStyle w:val="TableContents"/>
              <w:bidi w:val="0"/>
              <w:spacing w:before="0" w:after="1"/>
              <w:ind w:left="0" w:right="0" w:hanging="0"/>
              <w:jc w:val="left"/>
              <w:rPr/>
            </w:pPr>
            <w:r>
              <w:rPr/>
              <w:t>​</w:t>
            </w:r>
          </w:p>
        </w:tc>
        <w:tc>
          <w:tcPr>
            <w:tcW w:w="5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0.94</w:t>
            </w:r>
          </w:p>
        </w:tc>
        <w:tc>
          <w:tcPr>
            <w:tcW w:w="346" w:type="dxa"/>
            <w:tcBorders/>
            <w:shd w:fill="CCEEFF" w:val="clear"/>
            <w:vAlign w:val="center"/>
          </w:tcPr>
          <w:p>
            <w:pPr>
              <w:pStyle w:val="TableContents"/>
              <w:bidi w:val="0"/>
              <w:spacing w:before="0" w:after="1"/>
              <w:ind w:left="0" w:right="0" w:hanging="0"/>
              <w:jc w:val="left"/>
              <w:rPr/>
            </w:pPr>
            <w:r>
              <w:rPr/>
              <w:t>​</w:t>
            </w:r>
          </w:p>
        </w:tc>
        <w:tc>
          <w:tcPr>
            <w:tcW w:w="136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August-2035</w:t>
            </w:r>
          </w:p>
        </w:tc>
      </w:tr>
      <w:tr>
        <w:trPr/>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1,950</w:t>
            </w:r>
          </w:p>
        </w:tc>
        <w:tc>
          <w:tcPr>
            <w:tcW w:w="346" w:type="dxa"/>
            <w:tcBorders/>
            <w:vAlign w:val="center"/>
          </w:tcPr>
          <w:p>
            <w:pPr>
              <w:pStyle w:val="TableContents"/>
              <w:bidi w:val="0"/>
              <w:spacing w:before="0" w:after="1"/>
              <w:ind w:left="0" w:right="0" w:hanging="0"/>
              <w:jc w:val="left"/>
              <w:rPr/>
            </w:pPr>
            <w:r>
              <w:rPr/>
              <w:t>​</w:t>
            </w:r>
          </w:p>
        </w:tc>
        <w:tc>
          <w:tcPr>
            <w:tcW w:w="502" w:type="dxa"/>
            <w:tcBorders/>
            <w:vAlign w:val="center"/>
          </w:tcPr>
          <w:p>
            <w:pPr>
              <w:pStyle w:val="TableContents"/>
              <w:bidi w:val="0"/>
              <w:spacing w:before="0" w:after="1"/>
              <w:ind w:left="0" w:right="0" w:hanging="0"/>
              <w:jc w:val="left"/>
              <w:rPr/>
            </w:pPr>
            <w:r>
              <w:rPr/>
              <w:t> </w:t>
            </w:r>
          </w:p>
        </w:tc>
        <w:tc>
          <w:tcPr>
            <w:tcW w:w="69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right"/>
              <w:rPr/>
            </w:pPr>
            <w:r>
              <w:rPr/>
              <w:t>  ​</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There have been no</w:t>
      </w:r>
      <w:r>
        <w:rPr>
          <w:rFonts w:ascii="Times New Roman;Times;serif" w:hAnsi="Times New Roman;Times;serif"/>
          <w:sz w:val="20"/>
        </w:rPr>
        <w:t xml:space="preserve"> </w:t>
      </w:r>
      <w:r>
        <w:rPr>
          <w:rFonts w:ascii="Arial;Helvetica;sans-serif" w:hAnsi="Arial;Helvetica;sans-serif"/>
          <w:sz w:val="20"/>
        </w:rPr>
        <w:t>grants, exercises, or cancellations</w:t>
      </w:r>
      <w:r>
        <w:rPr>
          <w:rFonts w:ascii="Times New Roman;Times;serif" w:hAnsi="Times New Roman;Times;serif"/>
          <w:sz w:val="20"/>
        </w:rPr>
        <w:t xml:space="preserve"> </w:t>
      </w:r>
      <w:r>
        <w:rPr>
          <w:rFonts w:ascii="Arial;Helvetica;sans-serif" w:hAnsi="Arial;Helvetica;sans-serif"/>
          <w:sz w:val="20"/>
        </w:rPr>
        <w:t>of warrants during the three and six months ended June 30, 2026 and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16.     LOSS PER SHARE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Company’s basic loss per common share is computed by dividing the net loss by the weighted average number of shares of common stock outstanding during the period. The Company’s restricted stock awards (non-vested shares) are issued and outstanding at the time of grant, but are excluded from the Company’s computation of weighted average shares outstanding in the determination of basic loss per share until vesting occurs.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 average number of shares outstanding and the number of common stock equivalents, if the inclusion of such common stock equivalents would be dilutive. Dilutive common stock equivalents potentially include warrants, stock options, non-vested restricted stock awards and non-vested performance restricted stock units (“PRSUs”) using the treasury stock method, along with the effect, if any, from the potential conversion of outstanding securities, such as convertible preferred stock.</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Arial;Helvetica;sans-serif" w:hAnsi="Arial;Helvetica;sans-serif"/>
          <w:sz w:val="20"/>
        </w:rPr>
      </w:pPr>
      <w:bookmarkStart w:id="929" w:name="Tc_aKJ3ing66kGo6FvRfq6N5Q_6_0"/>
      <w:bookmarkStart w:id="930" w:name="Tc_w8Vdmnx-qku9azrWNZ9xhA_5_0"/>
      <w:bookmarkStart w:id="931" w:name="Tc_GjGGbVTxLkmdgj5aVw276w_4_0"/>
      <w:bookmarkStart w:id="932" w:name="Tc_dH2DnB1cNE-5kd2FwyVShw_3_0"/>
      <w:bookmarkStart w:id="933" w:name="Tc_qDG-exs_4ESMu9up9gigUw_2_4"/>
      <w:bookmarkStart w:id="934" w:name="Tc_rFiaRjtTa0WdomXIn4Yl4w_2_2"/>
      <w:bookmarkStart w:id="935" w:name="Tc_NLRI4bwkWEyAKH6zcc3SrA_1_2"/>
      <w:bookmarkStart w:id="936" w:name="_01a3bb70_fd38_468e_b76b_6cfa12a2c6c3"/>
      <w:bookmarkEnd w:id="929"/>
      <w:bookmarkEnd w:id="930"/>
      <w:bookmarkEnd w:id="931"/>
      <w:bookmarkEnd w:id="932"/>
      <w:bookmarkEnd w:id="933"/>
      <w:bookmarkEnd w:id="934"/>
      <w:bookmarkEnd w:id="935"/>
      <w:bookmarkEnd w:id="936"/>
      <w:r>
        <w:rPr>
          <w:rFonts w:ascii="Arial;Helvetica;sans-serif" w:hAnsi="Arial;Helvetica;sans-serif"/>
          <w:sz w:val="20"/>
        </w:rPr>
        <w:t>The following potentially dilutive securities outstanding as of June 30, 2026 and 2025 have been excluded from the denominator of the diluted loss per share of common stock outstanding calculation (in thousands):</w:t>
      </w:r>
    </w:p>
    <w:p>
      <w:pPr>
        <w:pStyle w:val="TextBody"/>
        <w:bidi w:val="0"/>
        <w:spacing w:before="0" w:after="200"/>
        <w:ind w:left="0" w:right="0" w:hanging="0"/>
        <w:jc w:val="left"/>
        <w:rPr/>
      </w:pPr>
      <w:r>
        <w:rPr/>
        <w:t>​</w:t>
      </w:r>
    </w:p>
    <w:tbl>
      <w:tblPr>
        <w:tblW w:w="5019" w:type="dxa"/>
        <w:jc w:val="left"/>
        <w:tblInd w:w="0" w:type="dxa"/>
        <w:tblLayout w:type="fixed"/>
        <w:tblCellMar>
          <w:top w:w="0" w:type="dxa"/>
          <w:left w:w="0" w:type="dxa"/>
          <w:bottom w:w="0" w:type="dxa"/>
          <w:right w:w="0" w:type="dxa"/>
        </w:tblCellMar>
      </w:tblPr>
      <w:tblGrid>
        <w:gridCol w:w="3001"/>
        <w:gridCol w:w="346"/>
        <w:gridCol w:w="586"/>
        <w:gridCol w:w="346"/>
        <w:gridCol w:w="586"/>
        <w:gridCol w:w="154"/>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905635" cy="175260"/>
                      <wp:effectExtent l="0" t="0" r="0" b="0"/>
                      <wp:wrapNone/>
                      <wp:docPr id="157" name="Frame15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72110" cy="175260"/>
                      <wp:effectExtent l="0" t="0" r="0" b="0"/>
                      <wp:wrapNone/>
                      <wp:docPr id="159" name="Frame15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72110" cy="175260"/>
                      <wp:effectExtent l="0" t="0" r="0" b="0"/>
                      <wp:wrapNone/>
                      <wp:docPr id="161" name="Frame1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97790" cy="175260"/>
                      <wp:effectExtent l="0" t="0" r="0" b="0"/>
                      <wp:wrapNone/>
                      <wp:docPr id="162" name="Frame16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154" w:type="dxa"/>
            <w:tcBorders/>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30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1,089</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Non-vested PRSUs</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727</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1,622</w:t>
            </w:r>
          </w:p>
        </w:tc>
        <w:tc>
          <w:tcPr>
            <w:tcW w:w="154" w:type="dxa"/>
            <w:tcBorders/>
            <w:vAlign w:val="center"/>
          </w:tcPr>
          <w:p>
            <w:pPr>
              <w:pStyle w:val="TableContents"/>
              <w:bidi w:val="0"/>
              <w:spacing w:before="0" w:after="1"/>
              <w:ind w:left="0" w:right="0" w:hanging="0"/>
              <w:jc w:val="left"/>
              <w:rPr/>
            </w:pPr>
            <w:r>
              <w:rPr/>
              <w:t>​</w:t>
            </w:r>
          </w:p>
        </w:tc>
      </w:tr>
      <w:tr>
        <w:trPr/>
        <w:tc>
          <w:tcPr>
            <w:tcW w:w="30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Non-vested restricted stock units</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4,756</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Common stock warrants</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1,950</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1,725</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937" w:name="Tc_dGby36YpXUqP-3lzLqn_Eg_7_11"/>
      <w:bookmarkStart w:id="938" w:name="Tc_F22EuX9qy0yWHJgHYSp9oA_7_8"/>
      <w:bookmarkStart w:id="939" w:name="Tc_H71LGGRpgE-b41Kf7U6pcg_7_5"/>
      <w:bookmarkStart w:id="940" w:name="Tc_g1xULo7XUEKZFQHbJrsyJg_7_2"/>
      <w:bookmarkStart w:id="941" w:name="Tc_Q7NBy7VtmUC35JbSJvtsUA_7_0"/>
      <w:bookmarkStart w:id="942" w:name="Tc_9E2-os3X7EGiEODgYPHuog_6_0"/>
      <w:bookmarkStart w:id="943" w:name="Tc_-oIQjdtg3U6Z6m6N7BOImg_5_0"/>
      <w:bookmarkStart w:id="944" w:name="Tc_OvlL251Hh0O6lvL0By28Gw_4_0"/>
      <w:bookmarkStart w:id="945" w:name="Tc_uHZI4_aYlEW4tIllz3Fh5g_3_8"/>
      <w:bookmarkStart w:id="946" w:name="Tc_ZInBnoVT30GaiUnOaTmPRQ_3_5"/>
      <w:bookmarkStart w:id="947" w:name="Tc_MgNXb2a1jUOml8lvC_dGlg_3_2"/>
      <w:bookmarkStart w:id="948" w:name="Tc_yp2B6Gwj2kWdKB9eBsSOzA_3_0"/>
      <w:bookmarkStart w:id="949" w:name="Tc_RvVNmnpkcUKaeM4QG_bhYw_2_11"/>
      <w:bookmarkStart w:id="950" w:name="Tc_yWl_3nbcgUu-67dq5UoooQ_2_8"/>
      <w:bookmarkStart w:id="951" w:name="Tc_Mf0_F5SVa0i6XA_TFfOFog_2_5"/>
      <w:bookmarkStart w:id="952" w:name="Tc_tirMhsBVsU-flleyMP1cTA_2_2"/>
      <w:bookmarkStart w:id="953" w:name="Tc_6C0vJ1fzO0mNIrz3PfmyGg_1_8"/>
      <w:bookmarkStart w:id="954" w:name="Tc_0gXBmqlSZEaURp3U-ccUvw_1_2"/>
      <w:bookmarkStart w:id="955" w:name="_bf914bc8_c223_4023_bb2d_36602a06457f"/>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r>
        <w:rPr>
          <w:rFonts w:ascii="Arial;Helvetica;sans-serif" w:hAnsi="Arial;Helvetica;sans-serif"/>
          <w:b/>
          <w:sz w:val="20"/>
        </w:rPr>
        <w:t>17.     SHARE-BASED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amount of share-based compensation expense recognized by the Company by location in its consolidated statements of operations for the three and six months ended June 30, 2026 and 2025 is as follows (in thousands):</w:t>
      </w:r>
    </w:p>
    <w:p>
      <w:pPr>
        <w:pStyle w:val="TextBody"/>
        <w:bidi w:val="0"/>
        <w:spacing w:before="0" w:after="200"/>
        <w:ind w:left="0" w:right="0" w:hanging="0"/>
        <w:jc w:val="left"/>
        <w:rPr/>
      </w:pPr>
      <w:r>
        <w:rPr/>
        <w:t>​</w:t>
      </w:r>
    </w:p>
    <w:tbl>
      <w:tblPr>
        <w:tblW w:w="8133" w:type="dxa"/>
        <w:jc w:val="left"/>
        <w:tblInd w:w="0" w:type="dxa"/>
        <w:tblLayout w:type="fixed"/>
        <w:tblCellMar>
          <w:top w:w="0" w:type="dxa"/>
          <w:left w:w="0" w:type="dxa"/>
          <w:bottom w:w="0" w:type="dxa"/>
          <w:right w:w="0" w:type="dxa"/>
        </w:tblCellMar>
      </w:tblPr>
      <w:tblGrid>
        <w:gridCol w:w="2491"/>
        <w:gridCol w:w="346"/>
        <w:gridCol w:w="297"/>
        <w:gridCol w:w="594"/>
        <w:gridCol w:w="488"/>
        <w:gridCol w:w="297"/>
        <w:gridCol w:w="827"/>
        <w:gridCol w:w="346"/>
        <w:gridCol w:w="249"/>
        <w:gridCol w:w="693"/>
        <w:gridCol w:w="409"/>
        <w:gridCol w:w="249"/>
        <w:gridCol w:w="693"/>
        <w:gridCol w:w="15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81785" cy="175260"/>
                      <wp:effectExtent l="0" t="0" r="0" b="0"/>
                      <wp:wrapNone/>
                      <wp:docPr id="163" name="Frame163"/>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8595" cy="175260"/>
                      <wp:effectExtent l="0" t="0" r="0" b="0"/>
                      <wp:wrapNone/>
                      <wp:docPr id="165" name="Frame16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77190" cy="175260"/>
                      <wp:effectExtent l="0" t="0" r="0" b="0"/>
                      <wp:wrapNone/>
                      <wp:docPr id="166" name="Frame166"/>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09880" cy="175260"/>
                      <wp:effectExtent l="0" t="0" r="0" b="0"/>
                      <wp:wrapNone/>
                      <wp:docPr id="167" name="Frame167"/>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8595" cy="175260"/>
                      <wp:effectExtent l="0" t="0" r="0" b="0"/>
                      <wp:wrapNone/>
                      <wp:docPr id="168" name="Frame16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25145" cy="175260"/>
                      <wp:effectExtent l="0" t="0" r="0" b="0"/>
                      <wp:wrapNone/>
                      <wp:docPr id="169" name="Frame169"/>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58115" cy="175260"/>
                      <wp:effectExtent l="0" t="0" r="0" b="0"/>
                      <wp:wrapNone/>
                      <wp:docPr id="171" name="Frame17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40055" cy="175260"/>
                      <wp:effectExtent l="0" t="0" r="0" b="0"/>
                      <wp:wrapNone/>
                      <wp:docPr id="172" name="Frame172"/>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59715" cy="175260"/>
                      <wp:effectExtent l="0" t="0" r="0" b="0"/>
                      <wp:wrapNone/>
                      <wp:docPr id="173" name="Frame173"/>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8115" cy="175260"/>
                      <wp:effectExtent l="0" t="0" r="0" b="0"/>
                      <wp:wrapNone/>
                      <wp:docPr id="174" name="Frame17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40055" cy="175260"/>
                      <wp:effectExtent l="0" t="0" r="0" b="0"/>
                      <wp:wrapNone/>
                      <wp:docPr id="175" name="Frame175"/>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7790" cy="175260"/>
                      <wp:effectExtent l="0" t="0" r="0" b="0"/>
                      <wp:wrapNone/>
                      <wp:docPr id="176" name="Frame17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5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2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488" w:type="dxa"/>
            <w:tcBorders/>
            <w:vAlign w:val="center"/>
          </w:tcPr>
          <w:p>
            <w:pPr>
              <w:pStyle w:val="TableContents"/>
              <w:bidi w:val="0"/>
              <w:spacing w:before="0" w:after="1"/>
              <w:ind w:left="0" w:right="0" w:hanging="0"/>
              <w:jc w:val="left"/>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409" w:type="dxa"/>
            <w:tcBorders/>
            <w:vAlign w:val="center"/>
          </w:tcPr>
          <w:p>
            <w:pPr>
              <w:pStyle w:val="TableContents"/>
              <w:bidi w:val="0"/>
              <w:spacing w:before="0" w:after="1"/>
              <w:ind w:left="0" w:right="0" w:hanging="0"/>
              <w:jc w:val="left"/>
              <w:rPr/>
            </w:pPr>
            <w:r>
              <w:rPr/>
              <w:t>  ​ ​ ​</w:t>
            </w:r>
          </w:p>
        </w:tc>
        <w:tc>
          <w:tcPr>
            <w:tcW w:w="9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488"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w:t>
            </w:r>
          </w:p>
        </w:tc>
        <w:tc>
          <w:tcPr>
            <w:tcW w:w="4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69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4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59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w:t>
            </w:r>
          </w:p>
        </w:tc>
        <w:tc>
          <w:tcPr>
            <w:tcW w:w="488"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377</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9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w:t>
            </w:r>
          </w:p>
        </w:tc>
        <w:tc>
          <w:tcPr>
            <w:tcW w:w="4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9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461</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59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403</w:t>
            </w:r>
          </w:p>
        </w:tc>
        <w:tc>
          <w:tcPr>
            <w:tcW w:w="488"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1,214</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69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1,667</w:t>
            </w:r>
          </w:p>
        </w:tc>
        <w:tc>
          <w:tcPr>
            <w:tcW w:w="4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69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w:t>
            </w:r>
          </w:p>
        </w:tc>
        <w:tc>
          <w:tcPr>
            <w:tcW w:w="488"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w:t>
            </w:r>
          </w:p>
        </w:tc>
        <w:tc>
          <w:tcPr>
            <w:tcW w:w="40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352</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688</w:t>
            </w:r>
          </w:p>
        </w:tc>
        <w:tc>
          <w:tcPr>
            <w:tcW w:w="488"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1,814</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2,365</w:t>
            </w:r>
          </w:p>
        </w:tc>
        <w:tc>
          <w:tcPr>
            <w:tcW w:w="409"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3,258</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2026 Equity Incentive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On May 28, 2026 (the “Stockholder Approval Date”), the Company’s stockholders approved the 2026 Equity Incentive Plan (the “2026 Plan”), which was previously approved by the Company’s Board of Directors (the “Board”) on March 18, 2026, and which provides for the issuance of the number of shares of common stock that were available for issuance under the 2018 Plan as of the Stockholder Approval Date. The number of shares available for issuance under the 2026 Plan may be increased annually at the discretion of the Board from January 1, 2027 through January 1, 2036, by an amount equal to 4%</w:t>
      </w:r>
      <w:r>
        <w:rPr>
          <w:rFonts w:ascii="Arial;Helvetica;sans-serif" w:hAnsi="Arial;Helvetica;sans-serif"/>
          <w:b/>
          <w:sz w:val="20"/>
        </w:rPr>
        <w:t xml:space="preserve"> </w:t>
      </w:r>
      <w:r>
        <w:rPr>
          <w:rFonts w:ascii="Arial;Helvetica;sans-serif" w:hAnsi="Arial;Helvetica;sans-serif"/>
          <w:b w:val="false"/>
          <w:sz w:val="20"/>
        </w:rPr>
        <w:t>of the Company’s outstanding shares of common stock on the applicable date. The 2026 Plan permits the grant of stock options, stock appreciation rights, restricted stock units, PRSUs, and other stock-based awards to the Company’s directors, employees, consultants, and other eligible service providers. The terms and conditions of awards granted under the 2026 Plan are determined by the Board. As of June 30, 2026, 6.0</w:t>
      </w:r>
      <w:r>
        <w:rPr>
          <w:rFonts w:ascii="Arial;Helvetica;sans-serif" w:hAnsi="Arial;Helvetica;sans-serif"/>
          <w:b/>
          <w:sz w:val="20"/>
        </w:rPr>
        <w:t xml:space="preserve"> </w:t>
      </w:r>
      <w:r>
        <w:rPr>
          <w:rFonts w:ascii="Arial;Helvetica;sans-serif" w:hAnsi="Arial;Helvetica;sans-serif"/>
          <w:b w:val="false"/>
          <w:sz w:val="20"/>
        </w:rPr>
        <w:t>million shares remained available for future issuance under the 2026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2018 Equity Incentive Plan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June 2018, the Board adopted, and the Company’s stockholders approved, the 2018 Equity Incentive Plan (the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were determined by the Board. All stock options granted to date have had exercise prices equal to the fair value, as determined by the closing price as reported by the Nasdaq Global Market, of the underlying common stock on the date of grant. As of June 30, 2026, there were no shares available for future issuance under the 2018 Plan because the share reserve under the 2018 Plan was decreased to the number of shares of common stock reserved for all outstanding awards under the 2018 Plan.</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956" w:name="Tc_zT5nbX6_CEW-RQAcoW_T_g_9_9"/>
      <w:bookmarkStart w:id="957" w:name="Tc_6MlKDqcfC0uObrA_Y1WZWw_9_4"/>
      <w:bookmarkStart w:id="958" w:name="Tc_k4daK4quPkKJ7IxgY76zBA_9_0"/>
      <w:bookmarkStart w:id="959" w:name="Tc_1BpoTbLO-0Kmqo3ARROA3w_8_9"/>
      <w:bookmarkStart w:id="960" w:name="Tc_0GIl9osmUkKFWsN-dCZCDQ_8_4"/>
      <w:bookmarkStart w:id="961" w:name="Tc_V1H1JexOvkCWxplUnSlI_A_8_0"/>
      <w:bookmarkStart w:id="962" w:name="Tc_lLCuuth1fkGjv4-USPOQAg_7_10"/>
      <w:bookmarkStart w:id="963" w:name="Tc_oJzwshLtWEKFnZ7cBMozvw_7_9"/>
      <w:bookmarkStart w:id="964" w:name="Tc_FkqbdNvhiEeBVfoOWGsN9w_7_7"/>
      <w:bookmarkStart w:id="965" w:name="Tc_WtPo-3zUX0yRMYkHF0MJaQ_7_4"/>
      <w:bookmarkStart w:id="966" w:name="Tc_tpTbubktkEm8dg8R9WBNTg_7_0"/>
      <w:bookmarkStart w:id="967" w:name="Tc_MSBer-SDM0u2wv5Jd6TiyQ_6_10"/>
      <w:bookmarkStart w:id="968" w:name="Tc_qU_qQv6jeESMOmg-y3mETg_6_9"/>
      <w:bookmarkStart w:id="969" w:name="Tc_XxeyqCiToUeFiIQ5o6iK6g_6_7"/>
      <w:bookmarkStart w:id="970" w:name="Tc_gldNhnCAhkWKOxrANaVTpg_6_4"/>
      <w:bookmarkStart w:id="971" w:name="Tc_-yDtiNqxwkqAmfMi17RMOg_6_0"/>
      <w:bookmarkStart w:id="972" w:name="Tc_44hdVtYx4ECenWNI48fvCw_5_9"/>
      <w:bookmarkStart w:id="973" w:name="Tc_9AsJ2gWmyUiGIWbWgkNOjg_5_4"/>
      <w:bookmarkStart w:id="974" w:name="Tc_pSLbGvXrnUGNK4iebsbgvQ_5_0"/>
      <w:bookmarkStart w:id="975" w:name="Tc_bWejyzwxs0esDZzNe3bJZA_4_10"/>
      <w:bookmarkStart w:id="976" w:name="Tc_gHLt_AZdP0C7G-NuDcc_Qw_4_7"/>
      <w:bookmarkStart w:id="977" w:name="Tc_Q5QescXbW0Oe-gShrlxgmw_4_5"/>
      <w:bookmarkStart w:id="978" w:name="Tc_8gwjts2ZpkO8tSKpO6NLVQ_4_2"/>
      <w:bookmarkStart w:id="979" w:name="Tc_qQx_I5cyrEiSwLK4axVaDQ_3_10"/>
      <w:bookmarkStart w:id="980" w:name="Tc_Sll5Y-r9iEysWVUdR8hzUQ_3_5"/>
      <w:bookmarkStart w:id="981" w:name="Tc_qGlVzv7_VE61ODBTqSQacg_3_2"/>
      <w:bookmarkStart w:id="982" w:name="Tc_cDzW8iwkpEGn8EBxUTjT9w_2_10"/>
      <w:bookmarkStart w:id="983" w:name="Tc_qpnJP7awf0epZXZPrtI5wQ_2_7"/>
      <w:bookmarkStart w:id="984" w:name="Tc_eQ6uJ6t_CU-ED7mWqXK54g_2_5"/>
      <w:bookmarkStart w:id="985" w:name="Tc_HVrv4wA3pUyLqdupipZ4xQ_2_2"/>
      <w:bookmarkStart w:id="986" w:name="Tc_PKjis6ciFUihHuQuhMvEPw_1_10"/>
      <w:bookmarkStart w:id="987" w:name="Tc_8vCDbshlh0yekx-KEvrlkw_1_7"/>
      <w:bookmarkStart w:id="988" w:name="Tc_v9pty9fi00KnULt0JUEcDg_1_5"/>
      <w:bookmarkStart w:id="989" w:name="Tc_ymF7-xOZbUC44RwWdLtXyw_1_2"/>
      <w:bookmarkStart w:id="990" w:name="_d7cfb703_d9f7_4176_91a8_9295b4218649"/>
      <w:bookmarkStart w:id="991" w:name="Tc_1_iacA75y0aFwYdeT9Ew3A_12_10"/>
      <w:bookmarkStart w:id="992" w:name="Tc_7IfJnmblRkePKpqTVVZ6uQ_12_9"/>
      <w:bookmarkStart w:id="993" w:name="Tc_dPgs46ZCcEewZ7o8NMAhjA_12_4"/>
      <w:bookmarkStart w:id="994" w:name="Tc_Hvs3EhNeJ0mtSD5c1qG9_Q_12_0"/>
      <w:bookmarkStart w:id="995" w:name="Tc_yU80Chy82kSU4L_PokmRqA_11_10"/>
      <w:bookmarkStart w:id="996" w:name="Tc_1tDgmY4dcUapOZeTSCuY5A_11_9"/>
      <w:bookmarkStart w:id="997" w:name="Tc_nsHNiI6sqkmmabmdV7rTpA_11_4"/>
      <w:bookmarkStart w:id="998" w:name="Tc_tOLaxdjFlEal5M5p-4Ol2g_11_0"/>
      <w:bookmarkStart w:id="999" w:name="Tc_zCLciog6IEiER2txQhErQw_10_10"/>
      <w:bookmarkStart w:id="1000" w:name="Tc_SimjkSCJ10CEmogEvunDRg_10_9"/>
      <w:bookmarkStart w:id="1001" w:name="Tc_LPeDB2KF8US7d23Yqc-tTQ_10_4"/>
      <w:bookmarkStart w:id="1002" w:name="Tc_F37rINuURUGkTrT1pUYluQ_10_0"/>
      <w:bookmarkStart w:id="1003" w:name="Tc_dKrHIUu5eUOLHrIo_yaCUA_9_4"/>
      <w:bookmarkStart w:id="1004" w:name="Tc_8AMcNc2YyUqGbizImt4AeQ_9_0"/>
      <w:bookmarkStart w:id="1005" w:name="Tc_vhYDfN-mykuE2R-SKudK1w_8_5"/>
      <w:bookmarkStart w:id="1006" w:name="Tc_Hey88iZ6A0OQiyubSFLiHg_8_4"/>
      <w:bookmarkStart w:id="1007" w:name="Tc_-q0MOFFYfUCjfqi4IEu-oQ_8_2"/>
      <w:bookmarkStart w:id="1008" w:name="Tc_db4Sjc1A8E-ViWaxauOCIA_8_0"/>
      <w:bookmarkStart w:id="1009" w:name="Tc_c-cuVDsVXEmA7LX42lj3Lw_7_5"/>
      <w:bookmarkStart w:id="1010" w:name="Tc_QeQ5TVzCw0ORO4xo-goB9g_7_4"/>
      <w:bookmarkStart w:id="1011" w:name="Tc_B186d3YqPkGZBZMFYFMiqw_7_2"/>
      <w:bookmarkStart w:id="1012" w:name="Tc_iV-8-Ftwy0GpwZA90EsBSA_7_0"/>
      <w:bookmarkStart w:id="1013" w:name="Tc_KBi4PFU6rUy_0SwvbBiDOQ_6_4"/>
      <w:bookmarkStart w:id="1014" w:name="Tc_Ry_XLUZq_0igGPEk7Sj_sQ_6_0"/>
      <w:bookmarkStart w:id="1015" w:name="Tc_0Ch7AtMjZUS3iWYzwDxX6Q_5_9"/>
      <w:bookmarkStart w:id="1016" w:name="Tc_wYe7PZxD2EORcFraw4Ieqw_5_7"/>
      <w:bookmarkStart w:id="1017" w:name="Tc_MSzSwOAv60SoMlPc4yFNwA_5_4"/>
      <w:bookmarkStart w:id="1018" w:name="Tc_m-2wJzn9h0y2xRtwW587XQ_5_2"/>
      <w:bookmarkStart w:id="1019" w:name="Tc_Nus3auVbHEmTuNs7uqUnag_4_9"/>
      <w:bookmarkStart w:id="1020" w:name="Tc_zDidK0sWaUu4iGK95N7HDQ_4_7"/>
      <w:bookmarkStart w:id="1021" w:name="Tc_6SRI4bbFPkK_tCeBVDnxFg_4_4"/>
      <w:bookmarkStart w:id="1022" w:name="Tc_WEcpD-EYQ0GvZCaTiJH-8g_4_2"/>
      <w:bookmarkStart w:id="1023" w:name="Tc_Ucl254MszkmOxWeubvVkqA_3_9"/>
      <w:bookmarkStart w:id="1024" w:name="Tc_M5knQNcFw0eJt8Aai0BOvw_3_7"/>
      <w:bookmarkStart w:id="1025" w:name="Tc_DLe9m1LJpU6WrlgIjeUUIQ_3_4"/>
      <w:bookmarkStart w:id="1026" w:name="Tc_6RPRoyQKp0K8kE3N4-x1dQ_3_2"/>
      <w:bookmarkStart w:id="1027" w:name="Tc_ODGSkbXfV0K0PgyWGY_e9g_2_9"/>
      <w:bookmarkStart w:id="1028" w:name="Tc_uUixCLg_qEqqwu2bFwY9eQ_2_7"/>
      <w:bookmarkStart w:id="1029" w:name="Tc_h6enVdsl50ajHB_qmX1kmQ_2_4"/>
      <w:bookmarkStart w:id="1030" w:name="Tc_k4-8dl7IaUWRDryw4l4gqw_2_2"/>
      <w:bookmarkStart w:id="1031" w:name="Tc_h4rTxKrpF0S9yAW7jzzlWw_1_9"/>
      <w:bookmarkStart w:id="1032" w:name="Tc_vCgeMqTnLkWFhVpoJaKumw_1_7"/>
      <w:bookmarkStart w:id="1033" w:name="_3e988a2c_577b_41ba_9f90_8926c2a4be02"/>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Arial;Helvetica;sans-serif" w:hAnsi="Arial;Helvetica;sans-serif"/>
          <w:b/>
          <w:sz w:val="20"/>
        </w:rPr>
        <w:t>2020 Inducement Incentive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In December 2020, the Board adopted the 2020 Inducement Incentive Plan (the “2020 Inducement Plan”), which authorized the issuance of up to 0.4</w:t>
      </w:r>
      <w:r>
        <w:rPr>
          <w:rFonts w:ascii="Arial;Helvetica;sans-serif" w:hAnsi="Arial;Helvetica;sans-serif"/>
          <w:b/>
          <w:sz w:val="20"/>
        </w:rPr>
        <w:t xml:space="preserve"> </w:t>
      </w:r>
      <w:r>
        <w:rPr>
          <w:rFonts w:ascii="Arial;Helvetica;sans-serif" w:hAnsi="Arial;Helvetica;sans-serif"/>
          <w:b w:val="false"/>
          <w:sz w:val="20"/>
        </w:rPr>
        <w:t>million shares in the form of stock options, stock appreciation rights, restricted stock awards, restricted stock unit awards, performance stock awards and other stock awards to eligible employees who satisfy the standards for inducement grants under Nasdaq Global Market rules. In March 2022, the Board approved an additional 0.5</w:t>
      </w:r>
      <w:r>
        <w:rPr>
          <w:rFonts w:ascii="Arial;Helvetica;sans-serif" w:hAnsi="Arial;Helvetica;sans-serif"/>
          <w:b/>
          <w:sz w:val="20"/>
        </w:rPr>
        <w:t xml:space="preserve"> </w:t>
      </w:r>
      <w:r>
        <w:rPr>
          <w:rFonts w:ascii="Arial;Helvetica;sans-serif" w:hAnsi="Arial;Helvetica;sans-serif"/>
          <w:b w:val="false"/>
          <w:sz w:val="20"/>
        </w:rPr>
        <w:t>million shares for issuance under the 2020 Inducement Plan. In October 2025, the Board approved an additional 0.6</w:t>
      </w:r>
      <w:r>
        <w:rPr>
          <w:rFonts w:ascii="Arial;Helvetica;sans-serif" w:hAnsi="Arial;Helvetica;sans-serif"/>
          <w:b/>
          <w:sz w:val="20"/>
        </w:rPr>
        <w:t xml:space="preserve"> </w:t>
      </w:r>
      <w:r>
        <w:rPr>
          <w:rFonts w:ascii="Arial;Helvetica;sans-serif" w:hAnsi="Arial;Helvetica;sans-serif"/>
          <w:b w:val="false"/>
          <w:sz w:val="20"/>
        </w:rPr>
        <w:t>million shares for issuance under the plan. An individual who previously served as an employee or director of the Company is not eligible to receive awards under the 2020 Inducement Plan other than following a bona fide period of non-employment. The amount and terms of grants are determined by the Board. As of June 30, 2026, there were 1.4</w:t>
      </w:r>
      <w:r>
        <w:rPr>
          <w:rFonts w:ascii="Arial;Helvetica;sans-serif" w:hAnsi="Arial;Helvetica;sans-serif"/>
          <w:b/>
          <w:sz w:val="20"/>
        </w:rPr>
        <w:t xml:space="preserve"> </w:t>
      </w:r>
      <w:r>
        <w:rPr>
          <w:rFonts w:ascii="Arial;Helvetica;sans-serif" w:hAnsi="Arial;Helvetica;sans-serif"/>
          <w:b w:val="false"/>
          <w:sz w:val="20"/>
        </w:rPr>
        <w:t>million shares available for future issuance under the 2020 Inducement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Stock Options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Company’s stock option activity for the six months ended June 30, 2026:</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45"/>
        <w:gridCol w:w="346"/>
        <w:gridCol w:w="1273"/>
        <w:gridCol w:w="346"/>
        <w:gridCol w:w="502"/>
        <w:gridCol w:w="699"/>
        <w:gridCol w:w="346"/>
        <w:gridCol w:w="1183"/>
        <w:gridCol w:w="146"/>
        <w:gridCol w:w="419"/>
        <w:gridCol w:w="900"/>
      </w:tblGrid>
      <w:tr>
        <w:trPr/>
        <w:tc>
          <w:tcPr>
            <w:tcW w:w="4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68575" cy="175260"/>
                      <wp:effectExtent l="0" t="0" r="0" b="0"/>
                      <wp:wrapNone/>
                      <wp:docPr id="177" name="Frame177"/>
                      <a:graphic xmlns:a="http://schemas.openxmlformats.org/drawingml/2006/main">
                        <a:graphicData uri="http://schemas.microsoft.com/office/word/2010/wordprocessingShape">
                          <wps:wsp>
                            <wps:cNvSpPr txBox="1"/>
                            <wps:spPr>
                              <a:xfrm>
                                <a:off x="0" y="0"/>
                                <a:ext cx="2568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808355" cy="175260"/>
                      <wp:effectExtent l="0" t="0" r="0" b="0"/>
                      <wp:wrapNone/>
                      <wp:docPr id="179" name="Frame179"/>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18770" cy="175260"/>
                      <wp:effectExtent l="0" t="0" r="0" b="0"/>
                      <wp:wrapNone/>
                      <wp:docPr id="181" name="Frame181"/>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43865" cy="175260"/>
                      <wp:effectExtent l="0" t="0" r="0" b="0"/>
                      <wp:wrapNone/>
                      <wp:docPr id="182" name="Frame182"/>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51205" cy="175260"/>
                      <wp:effectExtent l="0" t="0" r="0" b="0"/>
                      <wp:wrapNone/>
                      <wp:docPr id="184" name="Frame184"/>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2710" cy="175260"/>
                      <wp:effectExtent l="0" t="0" r="0" b="0"/>
                      <wp:wrapNone/>
                      <wp:docPr id="185" name="Frame18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66065" cy="175260"/>
                      <wp:effectExtent l="0" t="0" r="0" b="0"/>
                      <wp:wrapNone/>
                      <wp:docPr id="186" name="Frame186"/>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71500" cy="175260"/>
                      <wp:effectExtent l="0" t="0" r="0" b="0"/>
                      <wp:wrapNone/>
                      <wp:docPr id="187" name="Frame18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73"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502" w:type="dxa"/>
            <w:tcBorders/>
            <w:vAlign w:val="center"/>
          </w:tcPr>
          <w:p>
            <w:pPr>
              <w:pStyle w:val="TableContents"/>
              <w:bidi w:val="0"/>
              <w:spacing w:before="0" w:after="1"/>
              <w:ind w:left="0" w:right="0" w:hanging="0"/>
              <w:jc w:val="center"/>
              <w:rPr/>
            </w:pPr>
            <w:r>
              <w:rPr/>
              <w:t>  ​ ​ ​</w:t>
            </w:r>
          </w:p>
        </w:tc>
        <w:tc>
          <w:tcPr>
            <w:tcW w:w="6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29"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Weighted </w:t>
            </w:r>
          </w:p>
        </w:tc>
        <w:tc>
          <w:tcPr>
            <w:tcW w:w="1319"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40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3"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Weighted </w:t>
            </w:r>
          </w:p>
        </w:tc>
        <w:tc>
          <w:tcPr>
            <w:tcW w:w="346" w:type="dxa"/>
            <w:tcBorders/>
            <w:vAlign w:val="center"/>
          </w:tcPr>
          <w:p>
            <w:pPr>
              <w:pStyle w:val="TableContents"/>
              <w:bidi w:val="0"/>
              <w:spacing w:before="0" w:after="1"/>
              <w:ind w:left="0" w:right="0" w:hanging="0"/>
              <w:jc w:val="center"/>
              <w:rPr/>
            </w:pPr>
            <w:r>
              <w:rPr/>
              <w:t>​</w:t>
            </w:r>
          </w:p>
        </w:tc>
        <w:tc>
          <w:tcPr>
            <w:tcW w:w="1183"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146" w:type="dxa"/>
            <w:tcBorders/>
            <w:vAlign w:val="center"/>
          </w:tcPr>
          <w:p>
            <w:pPr>
              <w:pStyle w:val="TableContents"/>
              <w:bidi w:val="0"/>
              <w:spacing w:before="0" w:after="1"/>
              <w:ind w:left="0" w:right="0" w:hanging="0"/>
              <w:jc w:val="left"/>
              <w:rPr/>
            </w:pPr>
            <w:r>
              <w:rPr/>
              <w:t>​</w:t>
            </w:r>
          </w:p>
        </w:tc>
        <w:tc>
          <w:tcPr>
            <w:tcW w:w="1319"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40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3"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 under</w:t>
            </w:r>
          </w:p>
        </w:tc>
        <w:tc>
          <w:tcPr>
            <w:tcW w:w="34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183"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146" w:type="dxa"/>
            <w:tcBorders/>
            <w:vAlign w:val="center"/>
          </w:tcPr>
          <w:p>
            <w:pPr>
              <w:pStyle w:val="TableContents"/>
              <w:bidi w:val="0"/>
              <w:spacing w:before="0" w:after="1"/>
              <w:ind w:left="0" w:right="0" w:hanging="0"/>
              <w:jc w:val="center"/>
              <w:rPr/>
            </w:pPr>
            <w:r>
              <w:rPr/>
              <w:t>​</w:t>
            </w:r>
          </w:p>
        </w:tc>
        <w:tc>
          <w:tcPr>
            <w:tcW w:w="1319"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40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3"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Option</w:t>
            </w:r>
          </w:p>
        </w:tc>
        <w:tc>
          <w:tcPr>
            <w:tcW w:w="34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46" w:type="dxa"/>
            <w:tcBorders/>
            <w:vAlign w:val="center"/>
          </w:tcPr>
          <w:p>
            <w:pPr>
              <w:pStyle w:val="TableContents"/>
              <w:bidi w:val="0"/>
              <w:spacing w:before="0" w:after="1"/>
              <w:ind w:left="0" w:right="0" w:hanging="0"/>
              <w:jc w:val="center"/>
              <w:rPr/>
            </w:pPr>
            <w:r>
              <w:rPr/>
              <w:t>​</w:t>
            </w:r>
          </w:p>
        </w:tc>
        <w:tc>
          <w:tcPr>
            <w:tcW w:w="1183"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146" w:type="dxa"/>
            <w:tcBorders/>
            <w:vAlign w:val="center"/>
          </w:tcPr>
          <w:p>
            <w:pPr>
              <w:pStyle w:val="TableContents"/>
              <w:bidi w:val="0"/>
              <w:spacing w:before="0" w:after="1"/>
              <w:ind w:left="0" w:right="0" w:hanging="0"/>
              <w:jc w:val="center"/>
              <w:rPr/>
            </w:pPr>
            <w:r>
              <w:rPr/>
              <w:t>​</w:t>
            </w:r>
          </w:p>
        </w:tc>
        <w:tc>
          <w:tcPr>
            <w:tcW w:w="1319"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40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 Option</w:t>
            </w:r>
          </w:p>
        </w:tc>
        <w:tc>
          <w:tcPr>
            <w:tcW w:w="346" w:type="dxa"/>
            <w:tcBorders/>
            <w:vAlign w:val="center"/>
          </w:tcPr>
          <w:p>
            <w:pPr>
              <w:pStyle w:val="TableContents"/>
              <w:bidi w:val="0"/>
              <w:spacing w:before="0" w:after="1"/>
              <w:ind w:left="0" w:right="0" w:hanging="0"/>
              <w:jc w:val="center"/>
              <w:rPr/>
            </w:pPr>
            <w:r>
              <w:rPr/>
              <w:t>​</w:t>
            </w:r>
          </w:p>
        </w:tc>
        <w:tc>
          <w:tcPr>
            <w:tcW w:w="118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Life (in years)</w:t>
            </w:r>
          </w:p>
        </w:tc>
        <w:tc>
          <w:tcPr>
            <w:tcW w:w="146" w:type="dxa"/>
            <w:tcBorders/>
            <w:vAlign w:val="center"/>
          </w:tcPr>
          <w:p>
            <w:pPr>
              <w:pStyle w:val="TableContents"/>
              <w:bidi w:val="0"/>
              <w:spacing w:before="0" w:after="1"/>
              <w:ind w:left="0" w:right="0" w:hanging="0"/>
              <w:jc w:val="center"/>
              <w:rPr/>
            </w:pPr>
            <w:r>
              <w:rPr/>
              <w:t>​</w:t>
            </w:r>
          </w:p>
        </w:tc>
        <w:tc>
          <w:tcPr>
            <w:tcW w:w="13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404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1,099</w:t>
            </w:r>
          </w:p>
        </w:tc>
        <w:tc>
          <w:tcPr>
            <w:tcW w:w="346" w:type="dxa"/>
            <w:tcBorders/>
            <w:shd w:fill="CCEEFF" w:val="clear"/>
            <w:vAlign w:val="center"/>
          </w:tcPr>
          <w:p>
            <w:pPr>
              <w:pStyle w:val="TableContents"/>
              <w:bidi w:val="0"/>
              <w:spacing w:before="0" w:after="1"/>
              <w:ind w:left="0" w:right="0" w:hanging="0"/>
              <w:jc w:val="left"/>
              <w:rPr/>
            </w:pPr>
            <w:r>
              <w:rPr/>
              <w:t>​</w:t>
            </w:r>
          </w:p>
        </w:tc>
        <w:tc>
          <w:tcPr>
            <w:tcW w:w="5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2.89</w:t>
            </w:r>
          </w:p>
        </w:tc>
        <w:tc>
          <w:tcPr>
            <w:tcW w:w="346"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419"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w:t>
            </w:r>
          </w:p>
        </w:tc>
      </w:tr>
      <w:tr>
        <w:trPr/>
        <w:tc>
          <w:tcPr>
            <w:tcW w:w="404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vAlign w:val="center"/>
          </w:tcPr>
          <w:p>
            <w:pPr>
              <w:pStyle w:val="TableContents"/>
              <w:bidi w:val="0"/>
              <w:spacing w:before="0" w:after="1"/>
              <w:ind w:left="0" w:right="0" w:hanging="0"/>
              <w:jc w:val="left"/>
              <w:rPr/>
            </w:pPr>
            <w:r>
              <w:rPr/>
              <w:t> </w:t>
            </w:r>
          </w:p>
        </w:tc>
        <w:tc>
          <w:tcPr>
            <w:tcW w:w="127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419"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  ​</w:t>
            </w:r>
          </w:p>
        </w:tc>
      </w:tr>
      <w:tr>
        <w:trPr/>
        <w:tc>
          <w:tcPr>
            <w:tcW w:w="404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127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419"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  ​</w:t>
            </w:r>
          </w:p>
        </w:tc>
      </w:tr>
      <w:tr>
        <w:trPr/>
        <w:tc>
          <w:tcPr>
            <w:tcW w:w="404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Forfeited and Expired</w:t>
            </w:r>
          </w:p>
        </w:tc>
        <w:tc>
          <w:tcPr>
            <w:tcW w:w="346" w:type="dxa"/>
            <w:tcBorders/>
            <w:vAlign w:val="center"/>
          </w:tcPr>
          <w:p>
            <w:pPr>
              <w:pStyle w:val="TableContents"/>
              <w:bidi w:val="0"/>
              <w:spacing w:before="0" w:after="1"/>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346" w:type="dxa"/>
            <w:tcBorders/>
            <w:vAlign w:val="center"/>
          </w:tcPr>
          <w:p>
            <w:pPr>
              <w:pStyle w:val="TableContents"/>
              <w:bidi w:val="0"/>
              <w:spacing w:before="0" w:after="1"/>
              <w:ind w:left="0" w:right="0" w:hanging="0"/>
              <w:jc w:val="left"/>
              <w:rPr/>
            </w:pPr>
            <w:r>
              <w:rPr/>
              <w:t>​</w:t>
            </w:r>
          </w:p>
        </w:tc>
        <w:tc>
          <w:tcPr>
            <w:tcW w:w="5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5.94</w:t>
            </w:r>
          </w:p>
        </w:tc>
        <w:tc>
          <w:tcPr>
            <w:tcW w:w="346"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419"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pPr>
            <w:r>
              <w:rPr/>
              <w:t>  ​</w:t>
            </w:r>
          </w:p>
        </w:tc>
      </w:tr>
      <w:tr>
        <w:trPr/>
        <w:tc>
          <w:tcPr>
            <w:tcW w:w="404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2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1,089</w:t>
            </w:r>
          </w:p>
        </w:tc>
        <w:tc>
          <w:tcPr>
            <w:tcW w:w="346" w:type="dxa"/>
            <w:tcBorders/>
            <w:shd w:fill="CCEEFF" w:val="clear"/>
            <w:vAlign w:val="center"/>
          </w:tcPr>
          <w:p>
            <w:pPr>
              <w:pStyle w:val="TableContents"/>
              <w:bidi w:val="0"/>
              <w:spacing w:before="0" w:after="1"/>
              <w:ind w:left="0" w:right="0" w:hanging="0"/>
              <w:jc w:val="left"/>
              <w:rPr/>
            </w:pPr>
            <w:r>
              <w:rPr/>
              <w:t>​</w:t>
            </w:r>
          </w:p>
        </w:tc>
        <w:tc>
          <w:tcPr>
            <w:tcW w:w="5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w:t>
            </w:r>
          </w:p>
        </w:tc>
        <w:tc>
          <w:tcPr>
            <w:tcW w:w="346"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w:t>
            </w:r>
          </w:p>
        </w:tc>
        <w:tc>
          <w:tcPr>
            <w:tcW w:w="146" w:type="dxa"/>
            <w:tcBorders/>
            <w:shd w:fill="CCEEFF" w:val="clear"/>
            <w:vAlign w:val="center"/>
          </w:tcPr>
          <w:p>
            <w:pPr>
              <w:pStyle w:val="TableContents"/>
              <w:bidi w:val="0"/>
              <w:spacing w:before="0" w:after="1"/>
              <w:ind w:left="0" w:right="0" w:hanging="0"/>
              <w:jc w:val="left"/>
              <w:rPr/>
            </w:pPr>
            <w:r>
              <w:rPr/>
              <w:t> </w:t>
            </w:r>
          </w:p>
        </w:tc>
        <w:tc>
          <w:tcPr>
            <w:tcW w:w="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shd w:fill="CCEEFF" w:val="clear"/>
            <w:vAlign w:val="center"/>
          </w:tcPr>
          <w:p>
            <w:pPr>
              <w:pStyle w:val="TableContents"/>
              <w:bidi w:val="0"/>
              <w:spacing w:before="0" w:after="1"/>
              <w:ind w:left="0" w:right="0" w:hanging="0"/>
              <w:jc w:val="right"/>
              <w:rPr/>
            </w:pPr>
            <w:r>
              <w:rPr/>
              <w:t>—</w:t>
            </w:r>
          </w:p>
        </w:tc>
      </w:tr>
      <w:tr>
        <w:trPr/>
        <w:tc>
          <w:tcPr>
            <w:tcW w:w="404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Exercisable at June 30, 2026</w:t>
            </w:r>
          </w:p>
        </w:tc>
        <w:tc>
          <w:tcPr>
            <w:tcW w:w="346" w:type="dxa"/>
            <w:tcBorders/>
            <w:vAlign w:val="center"/>
          </w:tcPr>
          <w:p>
            <w:pPr>
              <w:pStyle w:val="TableContents"/>
              <w:bidi w:val="0"/>
              <w:spacing w:before="0" w:after="1"/>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1,089</w:t>
            </w:r>
          </w:p>
        </w:tc>
        <w:tc>
          <w:tcPr>
            <w:tcW w:w="346" w:type="dxa"/>
            <w:tcBorders/>
            <w:vAlign w:val="center"/>
          </w:tcPr>
          <w:p>
            <w:pPr>
              <w:pStyle w:val="TableContents"/>
              <w:bidi w:val="0"/>
              <w:spacing w:before="0" w:after="1"/>
              <w:ind w:left="0" w:right="0" w:hanging="0"/>
              <w:jc w:val="left"/>
              <w:rPr/>
            </w:pPr>
            <w:r>
              <w:rPr/>
              <w:t>​</w:t>
            </w:r>
          </w:p>
        </w:tc>
        <w:tc>
          <w:tcPr>
            <w:tcW w:w="5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w:t>
            </w:r>
          </w:p>
        </w:tc>
        <w:tc>
          <w:tcPr>
            <w:tcW w:w="346"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w:t>
            </w:r>
          </w:p>
        </w:tc>
        <w:tc>
          <w:tcPr>
            <w:tcW w:w="146" w:type="dxa"/>
            <w:tcBorders/>
            <w:vAlign w:val="center"/>
          </w:tcPr>
          <w:p>
            <w:pPr>
              <w:pStyle w:val="TableContents"/>
              <w:bidi w:val="0"/>
              <w:spacing w:before="0" w:after="1"/>
              <w:ind w:left="0" w:right="0" w:hanging="0"/>
              <w:jc w:val="left"/>
              <w:rPr/>
            </w:pPr>
            <w:r>
              <w:rPr/>
              <w:t> </w:t>
            </w:r>
          </w:p>
        </w:tc>
        <w:tc>
          <w:tcPr>
            <w:tcW w:w="41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vAlign w:val="center"/>
          </w:tcPr>
          <w:p>
            <w:pPr>
              <w:pStyle w:val="TableContents"/>
              <w:bidi w:val="0"/>
              <w:spacing w:before="0" w:after="1"/>
              <w:ind w:left="0" w:right="0" w:hanging="0"/>
              <w:jc w:val="right"/>
              <w:rPr/>
            </w:pPr>
            <w:r>
              <w:rPr/>
              <w:t>—</w:t>
            </w:r>
          </w:p>
        </w:tc>
      </w:tr>
      <w:tr>
        <w:trPr/>
        <w:tc>
          <w:tcPr>
            <w:tcW w:w="404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Vested and expected to vest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2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1,089</w:t>
            </w:r>
          </w:p>
        </w:tc>
        <w:tc>
          <w:tcPr>
            <w:tcW w:w="346" w:type="dxa"/>
            <w:tcBorders/>
            <w:shd w:fill="CCEEFF" w:val="clear"/>
            <w:vAlign w:val="center"/>
          </w:tcPr>
          <w:p>
            <w:pPr>
              <w:pStyle w:val="TableContents"/>
              <w:bidi w:val="0"/>
              <w:spacing w:before="0" w:after="1"/>
              <w:ind w:left="0" w:right="0" w:hanging="0"/>
              <w:jc w:val="left"/>
              <w:rPr/>
            </w:pPr>
            <w:r>
              <w:rPr/>
              <w:t>​</w:t>
            </w:r>
          </w:p>
        </w:tc>
        <w:tc>
          <w:tcPr>
            <w:tcW w:w="5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w:t>
            </w:r>
          </w:p>
        </w:tc>
        <w:tc>
          <w:tcPr>
            <w:tcW w:w="346"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w:t>
            </w:r>
          </w:p>
        </w:tc>
        <w:tc>
          <w:tcPr>
            <w:tcW w:w="146" w:type="dxa"/>
            <w:tcBorders/>
            <w:shd w:fill="CCEEFF" w:val="clear"/>
            <w:vAlign w:val="center"/>
          </w:tcPr>
          <w:p>
            <w:pPr>
              <w:pStyle w:val="TableContents"/>
              <w:bidi w:val="0"/>
              <w:spacing w:before="0" w:after="1"/>
              <w:ind w:left="0" w:right="0" w:hanging="0"/>
              <w:jc w:val="left"/>
              <w:rPr/>
            </w:pPr>
            <w:r>
              <w:rPr/>
              <w:t> </w:t>
            </w:r>
          </w:p>
        </w:tc>
        <w:tc>
          <w:tcPr>
            <w:tcW w:w="4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did not recognize any share-based compensation expense related to stock options for the three and six months ended June 30, 2026 and 2025. As of June 30, 2026, there was no remaining unrecognized compensation cost related to non-vested stock options.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Restricted Stock Units and PRSUs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Company’s restricted stock unit and PRSU activity for June 30, 2026:</w:t>
      </w:r>
    </w:p>
    <w:p>
      <w:pPr>
        <w:pStyle w:val="TextBody"/>
        <w:bidi w:val="0"/>
        <w:spacing w:before="0" w:after="200"/>
        <w:ind w:left="0" w:right="0" w:hanging="0"/>
        <w:jc w:val="left"/>
        <w:rPr/>
      </w:pPr>
      <w:r>
        <w:rPr/>
        <w:t>​</w:t>
      </w:r>
    </w:p>
    <w:tbl>
      <w:tblPr>
        <w:tblW w:w="9416" w:type="dxa"/>
        <w:jc w:val="left"/>
        <w:tblInd w:w="0" w:type="dxa"/>
        <w:tblLayout w:type="fixed"/>
        <w:tblCellMar>
          <w:top w:w="0" w:type="dxa"/>
          <w:left w:w="0" w:type="dxa"/>
          <w:bottom w:w="0" w:type="dxa"/>
          <w:right w:w="0" w:type="dxa"/>
        </w:tblCellMar>
      </w:tblPr>
      <w:tblGrid>
        <w:gridCol w:w="3091"/>
        <w:gridCol w:w="346"/>
        <w:gridCol w:w="1276"/>
        <w:gridCol w:w="346"/>
        <w:gridCol w:w="211"/>
        <w:gridCol w:w="961"/>
        <w:gridCol w:w="346"/>
        <w:gridCol w:w="1276"/>
        <w:gridCol w:w="346"/>
        <w:gridCol w:w="211"/>
        <w:gridCol w:w="100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962785" cy="175260"/>
                      <wp:effectExtent l="0" t="0" r="0" b="0"/>
                      <wp:wrapNone/>
                      <wp:docPr id="188" name="Frame188"/>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810260" cy="175260"/>
                      <wp:effectExtent l="0" t="0" r="0" b="0"/>
                      <wp:wrapNone/>
                      <wp:docPr id="190" name="Frame190"/>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10235" cy="175260"/>
                      <wp:effectExtent l="0" t="0" r="0" b="0"/>
                      <wp:wrapNone/>
                      <wp:docPr id="193" name="Frame19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10260" cy="175260"/>
                      <wp:effectExtent l="0" t="0" r="0" b="0"/>
                      <wp:wrapNone/>
                      <wp:docPr id="195" name="Frame19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38810" cy="175260"/>
                      <wp:effectExtent l="0" t="0" r="0" b="0"/>
                      <wp:wrapNone/>
                      <wp:docPr id="198" name="Frame19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46" w:type="dxa"/>
            <w:tcBorders/>
            <w:vAlign w:val="center"/>
          </w:tcPr>
          <w:p>
            <w:pPr>
              <w:pStyle w:val="TableContents"/>
              <w:bidi w:val="0"/>
              <w:spacing w:before="0" w:after="0"/>
              <w:ind w:left="0" w:right="0" w:hanging="0"/>
              <w:jc w:val="center"/>
              <w:rPr/>
            </w:pPr>
            <w:r>
              <w:rPr/>
              <w:t>  ​ ​ ​</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Restricted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PRSUs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at December 31, 2025</w:t>
            </w:r>
          </w:p>
        </w:tc>
        <w:tc>
          <w:tcPr>
            <w:tcW w:w="346" w:type="dxa"/>
            <w:tcBorders/>
            <w:shd w:fill="CCEEFF" w:val="clear"/>
            <w:vAlign w:val="center"/>
          </w:tcPr>
          <w:p>
            <w:pPr>
              <w:pStyle w:val="TableContents"/>
              <w:bidi w:val="0"/>
              <w:spacing w:before="0" w:after="0"/>
              <w:ind w:left="0" w:right="0" w:hanging="0"/>
              <w:jc w:val="right"/>
              <w:rPr>
                <w:color w:val="FF0000"/>
              </w:rPr>
            </w:pPr>
            <w:r>
              <w:rPr>
                <w:color w:val="FF0000"/>
              </w:rPr>
              <w:t>​</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3.33</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4.16</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Forfeited</w:t>
            </w:r>
          </w:p>
        </w:tc>
        <w:tc>
          <w:tcPr>
            <w:tcW w:w="34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w:t>
            </w:r>
          </w:p>
        </w:tc>
        <w:tc>
          <w:tcPr>
            <w:tcW w:w="34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w:t>
            </w:r>
          </w:p>
        </w:tc>
      </w:tr>
      <w:tr>
        <w:trPr/>
        <w:tc>
          <w:tcPr>
            <w:tcW w:w="30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4.64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recognized $0.7 million and $1.8 million in share-based compensation expense related to the restricted stock units and PRSUs for the three months ended June 30, 2026 and 2025, respectively and $2.4 million and $3.3 million for the six months ended June 30, 2026 and 2025, respectively. As of June 30, 2026, there was $8.0 million of unrecognized compensation cost related to non-vested restricted stock units and PRSUs, which the Company expects to recognize over a weighted average period of 2.3 years. The total fair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value at the vesting date of restricted stock units and PRSUs vested during the six months ended June 30, 2026 was $2.0 million.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granted PRSUs to certain key employees of the Company, with vesting subject to the recipient’s continued service with the Company through the applicable vesting date and the achievement of certain performance conditions as outlined in the award document. For legacy Greenbrook employees who became Neuronetics employees in connection with the Arrangement, the awards are subject to the terms of the 2020 Inducement Plan. For legacy Neuronetics employees, the awards are subject to the 2018 Plan.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offers the Board the opportunity to defer restricted stock units into an equity-based deferred equity compensation plan known as the restricted stock unit deferral election plan (the “RSUDEP”). The Company offered certain employees the opportunity to defer into the RSUDEP restricted stock units with grant dates in 2024 and 2025, and discontinued employee eligibility beginning with restricted stock units with grant dates in 2026.</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Benefits from these plans are payable in shares of Neuronetics stock and the awards under these plans are unfunded to the plans’ participants. Restricted stock units deferred under the RSUDEP are counted against the total shares available for future issuance under the 2018 Plan. As of June 30, 2026, there were 0.3 million shares deferred under the RSUDEP.</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did not grant PRSUs during the three and six months ended June 30, 2026.</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 xml:space="preserve">18.     COMMITMENTS AND CONTINGENCIES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Executive Employment Agreements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entered into an employment agreement and offer letters with certain key executives, providing for compensation and severance in certain circumstances, as defined in the agreements.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Legal Matters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Other Matters</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subject to various audits from government agencies including Medicaid and Medicare which involve the potential recoupment of reimbursements received from these agencies. These audits occur in the ordinary course of business. As of June 30, 2026 the Company had $0 of expenses recorded within other payables on the consolidated balance sheets. As of December 31, 2025, the Company had $0.8 million of expenses recorded within accrued expenses on the consolidated balance sheets.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19.     SEGMENT INFORMATION</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Company reports the results of its operations as two</w:t>
      </w:r>
      <w:r>
        <w:rPr>
          <w:rFonts w:ascii="Times New Roman;Times;serif" w:hAnsi="Times New Roman;Times;serif"/>
          <w:sz w:val="20"/>
        </w:rPr>
        <w:t xml:space="preserve"> </w:t>
      </w:r>
      <w:r>
        <w:rPr>
          <w:rFonts w:ascii="Arial;Helvetica;sans-serif" w:hAnsi="Arial;Helvetica;sans-serif"/>
          <w:sz w:val="20"/>
        </w:rPr>
        <w:t>segments in its consolidated financial statements: (i) NeuroStar, formerly known as medical device and (ii) Greenbrook, formerly known as clinic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determination of its reporting segments was made based on its strategic priorities, which corresponds to the way the Company’s chief operating decision maker (“CODM”) reviews and evaluates operating performance to make decisions about resources to be allocated. For our operating segments, the CODM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Arial;Helvetica;sans-serif" w:hAnsi="Arial;Helvetica;sans-serif"/>
          <w:sz w:val="20"/>
        </w:rPr>
      </w:pPr>
      <w:bookmarkStart w:id="1034" w:name="Tc_MDasaUp9hEqAqQxmRUKXSA_20_8"/>
      <w:bookmarkStart w:id="1035" w:name="Tc_oIxOBEGdZkiyyGpXfoQing_20_0"/>
      <w:bookmarkStart w:id="1036" w:name="Tc_nLk1-KP9YECXY_hc64SlSw_18_0"/>
      <w:bookmarkStart w:id="1037" w:name="Tc_SevlS6WHRk-giVru88wVEg_17_0"/>
      <w:bookmarkStart w:id="1038" w:name="Tc_SL6rEc3_FEetLdm-wTq-ag_16_8"/>
      <w:bookmarkStart w:id="1039" w:name="Tc_Z--gBAvrkEej_vVKihGkkw_16_0"/>
      <w:bookmarkStart w:id="1040" w:name="Tc_Y4mrl5Vp5U-kfvfA_-1NXA_15_0"/>
      <w:bookmarkStart w:id="1041" w:name="Tc_Y1m0P3wboE6vHDXiqDO_aA_13_8"/>
      <w:bookmarkStart w:id="1042" w:name="Tc_JMqJYe7QyESDbUKbirlBoA_13_5"/>
      <w:bookmarkStart w:id="1043" w:name="Tc_FXjgj_QKJUSNZE9LDp_PfA_13_2"/>
      <w:bookmarkStart w:id="1044" w:name="Tc_O2nXoWuPpEugA4ui6cqbeA_13_0"/>
      <w:bookmarkStart w:id="1045" w:name="Tc_Z3G5u1SyRUG5A1wSNGmqyw_11_0"/>
      <w:bookmarkStart w:id="1046" w:name="Tc_OtL5bbaLFEmtAnV1HbyhyQ_10_0"/>
      <w:bookmarkStart w:id="1047" w:name="Tc_AR5Bw0Li3kaD9tN78e-X6w_8_8"/>
      <w:bookmarkStart w:id="1048" w:name="Tc_qGdudt40wkirbSPNCzKi3Q_8_5"/>
      <w:bookmarkStart w:id="1049" w:name="Tc_8JhgC92-uU-lJRS4lQU7ZA_8_2"/>
      <w:bookmarkStart w:id="1050" w:name="Tc_5mdZTJJ6bEexs43hE8hiRg_8_0"/>
      <w:bookmarkStart w:id="1051" w:name="Tc_wDTpeWte10Sg7a1LsaPH6A_7_0"/>
      <w:bookmarkStart w:id="1052" w:name="Tc_q14YviAFPU236_-nrKLHQA_6_0"/>
      <w:bookmarkStart w:id="1053" w:name="Tc_xSXoOSJ4fEKvhyjY007m3g_4_8"/>
      <w:bookmarkStart w:id="1054" w:name="Tc_eIOpLo6Tb0eWDWInb8WXRw_4_5"/>
      <w:bookmarkStart w:id="1055" w:name="Tc_ExOdtGDmo0Gu_scTjlOWlg_4_2"/>
      <w:bookmarkStart w:id="1056" w:name="Tc_T7kr0L-VB0yr1-i3JekfgQ_4_0"/>
      <w:bookmarkStart w:id="1057" w:name="Tc_m3KuEvmyOUWS5nryIoU0mA_3_0"/>
      <w:bookmarkStart w:id="1058" w:name="Tc_pTgoMDvUikuyfZfq2RIECw_2_8"/>
      <w:bookmarkStart w:id="1059" w:name="Tc_axHVqdr5LEGSkKWJkJVLgw_2_5"/>
      <w:bookmarkStart w:id="1060" w:name="Tc_bF0XF0oIX0SbSfdMynm3GA_2_2"/>
      <w:bookmarkStart w:id="1061" w:name="Tc_R-O0X-pVDEyTR7t6bfPybQ_2_0"/>
      <w:bookmarkStart w:id="1062" w:name="Tc_IAUaLpBock-giL2VTWz2GA_1_9"/>
      <w:bookmarkStart w:id="1063" w:name="Tc_ZdYBV4w2tkqGOJbtWB3IAA_1_6"/>
      <w:bookmarkStart w:id="1064" w:name="Tc_I1dDMTk_TUSSmUT0PecmiQ_1_3"/>
      <w:bookmarkStart w:id="1065" w:name="Tc_a_cxvmFfk0q1ZRqYnVWXBA_1_0"/>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Arial;Helvetica;sans-serif" w:hAnsi="Arial;Helvetica;sans-serif"/>
          <w:sz w:val="20"/>
        </w:rPr>
        <w:t>uses segment gross profit and segment loss before unallocated general and administrative as the primary measure of segment performance because it reflects results that are directly attributable to each reportable segment and is the measure most consistent with the Company’s consolidated results prepared in accordance with U.S. GAAP. The CODM does not regularly review any other measures of segment profit or loss for purposes of assessing segment performance or allocating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 monthly basis, the CODM considers month-to-month and budget-to-actual variances for both measures when allocating resources to segments. The accounting policies of its segment are the same as those described in the summary of significant accounting policies. The CODM is regularly provided information on total consolidated assets and liquidity; however, the CODM is not provided asset information at the reportable segment level. Accordingly, segment assets have not been disclosed.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Significant segment expenses regularly reviewed by the CODM for both segments include directly attributable cost of revenues, selling, general and administrative and research and development expenses. Unallocated general and administrative costs include corporate support functions such as executive management, corporate accounting, information technology, legal, human resources and Board fees. Additionally, unallocated general and administrative costs may include expenses such as litigation and merger and acquisition related costs, which are not specific to a segment and thus not allocated to the reportable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Segment information for prior periods has been recast to conform to the current year reportable segment structure. There were no intercompany transactions between the Company’s reportable segments during the periods presented. Reportable segment information is presented below (in thousands):</w:t>
      </w:r>
    </w:p>
    <w:p>
      <w:pPr>
        <w:pStyle w:val="TextBody"/>
        <w:bidi w:val="0"/>
        <w:spacing w:before="0" w:after="0"/>
        <w:ind w:left="0" w:right="0" w:hanging="0"/>
        <w:jc w:val="left"/>
        <w:rPr/>
      </w:pPr>
      <w:r>
        <w:rPr/>
        <w:t>​</w:t>
      </w:r>
    </w:p>
    <w:tbl>
      <w:tblPr>
        <w:tblW w:w="6844" w:type="dxa"/>
        <w:jc w:val="left"/>
        <w:tblInd w:w="0" w:type="dxa"/>
        <w:tblLayout w:type="fixed"/>
        <w:tblCellMar>
          <w:top w:w="0" w:type="dxa"/>
          <w:left w:w="0" w:type="dxa"/>
          <w:bottom w:w="0" w:type="dxa"/>
          <w:right w:w="0" w:type="dxa"/>
        </w:tblCellMar>
      </w:tblPr>
      <w:tblGrid>
        <w:gridCol w:w="3181"/>
        <w:gridCol w:w="109"/>
        <w:gridCol w:w="211"/>
        <w:gridCol w:w="901"/>
        <w:gridCol w:w="109"/>
        <w:gridCol w:w="211"/>
        <w:gridCol w:w="1051"/>
        <w:gridCol w:w="109"/>
        <w:gridCol w:w="211"/>
        <w:gridCol w:w="75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19935" cy="175260"/>
                      <wp:effectExtent l="0" t="0" r="0" b="0"/>
                      <wp:wrapNone/>
                      <wp:docPr id="199" name="Frame199"/>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72135" cy="175260"/>
                      <wp:effectExtent l="0" t="0" r="0" b="0"/>
                      <wp:wrapNone/>
                      <wp:docPr id="202" name="Frame20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67385" cy="175260"/>
                      <wp:effectExtent l="0" t="0" r="0" b="0"/>
                      <wp:wrapNone/>
                      <wp:docPr id="205" name="Frame20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76885" cy="175260"/>
                      <wp:effectExtent l="0" t="0" r="0" b="0"/>
                      <wp:wrapNone/>
                      <wp:docPr id="208" name="Frame20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Three months ended June 30, 2026</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NeuroStar</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Greenbrook</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Revenue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14,677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26,891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41,568</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17,033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20,345</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11,365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9,858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21,223</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Significant Segment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Selling, General and Administrative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6,987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7,579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14,566</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1,336</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profit/(loss)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3,130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2,191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5,321</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Unallocated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6,822</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2,125</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(3,464)</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Normal"/>
        <w:bidi w:val="0"/>
        <w:spacing w:before="0" w:after="0"/>
        <w:jc w:val="left"/>
        <w:rPr>
          <w:sz w:val="4"/>
          <w:szCs w:val="4"/>
        </w:rPr>
      </w:pPr>
      <w:r>
        <w:rPr>
          <w:sz w:val="4"/>
          <w:szCs w:val="4"/>
        </w:rPr>
      </w:r>
      <w:bookmarkStart w:id="1066" w:name="Tc_0fWMdJrJUk2kLrsjobXDIw_21_8"/>
      <w:bookmarkStart w:id="1067" w:name="Tc_-ODFuFtBckOIgyBP5LZCkw_21_0"/>
      <w:bookmarkStart w:id="1068" w:name="Tc_7q-5MYiSBECJNJkVqbVpnA_19_0"/>
      <w:bookmarkStart w:id="1069" w:name="Tc_jHAUqs1Vm02wrYnpGw5IAA_18_0"/>
      <w:bookmarkStart w:id="1070" w:name="Tc_Q42tZ1aEgkmTDxCmTMF-uw_17_0"/>
      <w:bookmarkStart w:id="1071" w:name="Tc_WohW3GolMka1VFo8wiisZg_16_8"/>
      <w:bookmarkStart w:id="1072" w:name="Tc_VnpXpWSREUuC8QFcqjuAVg_16_0"/>
      <w:bookmarkStart w:id="1073" w:name="Tc_FItwmXg4b0-_dLj6cr2g-Q_15_0"/>
      <w:bookmarkStart w:id="1074" w:name="Tc_HnWl-r1gmEizGDoO5OvQxw_13_8"/>
      <w:bookmarkStart w:id="1075" w:name="Tc__CSnm_7S1EuEbGCsHuWtPw_13_5"/>
      <w:bookmarkStart w:id="1076" w:name="Tc_8phzNz-fQkuGPbt9lU43Dg_13_2"/>
      <w:bookmarkStart w:id="1077" w:name="Tc_Dpwg13UGeU-3cndNVcFn2Q_13_0"/>
      <w:bookmarkStart w:id="1078" w:name="Tc_XUt1lLPP9U6_0Y-jN1-bjg_11_0"/>
      <w:bookmarkStart w:id="1079" w:name="Tc_6usYC5EXokeEQ-reI-WeoA_10_0"/>
      <w:bookmarkStart w:id="1080" w:name="Tc_mJdZjFyWDUOwDmC5zhlR6g_8_8"/>
      <w:bookmarkStart w:id="1081" w:name="Tc_Q-ms9B252EKIcW0xcvunJw_8_5"/>
      <w:bookmarkStart w:id="1082" w:name="Tc_UXDmNuVAw0e1OrseWJH79g_8_2"/>
      <w:bookmarkStart w:id="1083" w:name="Tc_SbHVATya-kG3HqsuXdDhEQ_8_0"/>
      <w:bookmarkStart w:id="1084" w:name="Tc_QjTeUaaBk0yeO8Ihyet52Q_7_0"/>
      <w:bookmarkStart w:id="1085" w:name="Tc_kMeNNP-oRk-YRg2gyt74Ig_6_0"/>
      <w:bookmarkStart w:id="1086" w:name="Tc_B_d023yoMEePOd8JnLn2PQ_4_8"/>
      <w:bookmarkStart w:id="1087" w:name="Tc_OWWL5R2dVUmDmik041uoDw_4_5"/>
      <w:bookmarkStart w:id="1088" w:name="Tc_oLDL-ML9LEy25NNcqs-VXw_4_2"/>
      <w:bookmarkStart w:id="1089" w:name="Tc_K9PD7Cp8SEKbw18RX209MA_4_0"/>
      <w:bookmarkStart w:id="1090" w:name="Tc__97jMBCyLUy2uLUaBdt8xw_3_0"/>
      <w:bookmarkStart w:id="1091" w:name="Tc_reO4DqZPoE2xzT8rI8qwew_2_8"/>
      <w:bookmarkStart w:id="1092" w:name="Tc_C1_gKBQUDU2_PjpiSw2jqg_2_5"/>
      <w:bookmarkStart w:id="1093" w:name="Tc_uXXC3VAaak2UG0wZQLgrvw_2_2"/>
      <w:bookmarkStart w:id="1094" w:name="Tc_joxGpe0S3Ey9ntAVIdZqjg_2_0"/>
      <w:bookmarkStart w:id="1095" w:name="Tc_KD6JCHxC-UmS2tmCMcbDZA_1_9"/>
      <w:bookmarkStart w:id="1096" w:name="Tc_cdEAbxJNUE2H4Vz2MRlefA_1_6"/>
      <w:bookmarkStart w:id="1097" w:name="Tc_3dgB2JcYCkCkhq0Lua2VUw_1_3"/>
      <w:bookmarkStart w:id="1098" w:name="Tc_z3QvCkTwyEKH0U58WnyhNw_1_0"/>
      <w:bookmarkStart w:id="1099" w:name="_a105672d_957a_4373_bb26_27300912d0b2"/>
      <w:bookmarkStart w:id="1100" w:name="Tc_PyVoYAaEP0mSUxIJ5qtasw_20_8"/>
      <w:bookmarkStart w:id="1101" w:name="Tc_JFOwmslG5UWhoJNnS76hdQ_20_0"/>
      <w:bookmarkStart w:id="1102" w:name="Tc_qd1sXgrE2kuNEj7d9gVNOA_18_0"/>
      <w:bookmarkStart w:id="1103" w:name="Tc_1n1ggjPjREORFUT-YeD7bQ_17_0"/>
      <w:bookmarkStart w:id="1104" w:name="Tc_Tues242XukG8_x7RWNfBuw_16_8"/>
      <w:bookmarkStart w:id="1105" w:name="Tc_OdU1UVfQyUGnJg1MqTPGXQ_16_0"/>
      <w:bookmarkStart w:id="1106" w:name="Tc_qp9Iy1YMu0-WvWV5dmLUUg_15_0"/>
      <w:bookmarkStart w:id="1107" w:name="Tc_knLI2u0ysEGFiw3fzGcO4Q_13_8"/>
      <w:bookmarkStart w:id="1108" w:name="Tc_FJjjcWX5SEKtfI4xf5e2zQ_13_5"/>
      <w:bookmarkStart w:id="1109" w:name="Tc_EgBk1VYmqUy-MSr9dbT4Ow_13_2"/>
      <w:bookmarkStart w:id="1110" w:name="Tc_JQMTo38JgE6awQ4MxfkV7g_13_0"/>
      <w:bookmarkStart w:id="1111" w:name="Tc_UHedxtqDv0ewOvXPuaR2uA_11_0"/>
      <w:bookmarkStart w:id="1112" w:name="Tc_bZlQD-tK6Ea7wRMHoFya_w_10_0"/>
      <w:bookmarkStart w:id="1113" w:name="Tc_N2z69gCPMkGbb6ViweUtmw_8_8"/>
      <w:bookmarkStart w:id="1114" w:name="Tc_YHJB_2Veh06C3XgqAWly1w_8_5"/>
      <w:bookmarkStart w:id="1115" w:name="Tc_3GxAtt52tkGyE56yq9mTiQ_8_2"/>
      <w:bookmarkStart w:id="1116" w:name="Tc_zI37HLFT5keEMQ88DWaZdQ_8_0"/>
      <w:bookmarkStart w:id="1117" w:name="Tc_fL_NWbaGxE2tKhvqdkpk1A_7_0"/>
      <w:bookmarkStart w:id="1118" w:name="Tc_rCFpvaeOg0SxNy7Nz9Y6IQ_6_0"/>
      <w:bookmarkStart w:id="1119" w:name="Tc_OpbCPXoSn0GeYE8pVRezDA_4_8"/>
      <w:bookmarkStart w:id="1120" w:name="Tc_oCxkCsgvcU-K0dycJg_uug_4_5"/>
      <w:bookmarkStart w:id="1121" w:name="Tc_IfIBeha730ylETtuYjcrXg_4_2"/>
      <w:bookmarkStart w:id="1122" w:name="Tc_VuNUeQWvh0-a5tFedTqEdw_4_0"/>
      <w:bookmarkStart w:id="1123" w:name="Tc_NN7xWrETgEW-QIuxDzEKAg_3_0"/>
      <w:bookmarkStart w:id="1124" w:name="Tc_qWTF-pLngU29JRit7GufjQ_2_8"/>
      <w:bookmarkStart w:id="1125" w:name="Tc_6qudJVvExkmiBD-ww5MYhw_2_5"/>
      <w:bookmarkStart w:id="1126" w:name="Tc_WpR0r3AZn0yn38fMakPpUA_2_2"/>
      <w:bookmarkStart w:id="1127" w:name="Tc_kDJh0DNej0K8KLZBlXsPVg_2_0"/>
      <w:bookmarkStart w:id="1128" w:name="Tc_WszB51BPOk-i87JYCqk_Ig_1_9"/>
      <w:bookmarkStart w:id="1129" w:name="Tc_QdgONfWOP0WLt7vEe2-VwA_1_6"/>
      <w:bookmarkStart w:id="1130" w:name="Tc_6KrX2VUJMEONxT53CXNEXQ_1_3"/>
      <w:bookmarkStart w:id="1131" w:name="Tc_0_6YhR7M0EW8x76HZwHWgQ_1_0"/>
      <w:bookmarkStart w:id="1132" w:name="_9251b7c2_bc16_4a47_ba47_699673edbd9d"/>
      <w:bookmarkStart w:id="1133" w:name="Tc_0fWMdJrJUk2kLrsjobXDIw_21_8"/>
      <w:bookmarkStart w:id="1134" w:name="Tc_-ODFuFtBckOIgyBP5LZCkw_21_0"/>
      <w:bookmarkStart w:id="1135" w:name="Tc_7q-5MYiSBECJNJkVqbVpnA_19_0"/>
      <w:bookmarkStart w:id="1136" w:name="Tc_jHAUqs1Vm02wrYnpGw5IAA_18_0"/>
      <w:bookmarkStart w:id="1137" w:name="Tc_Q42tZ1aEgkmTDxCmTMF-uw_17_0"/>
      <w:bookmarkStart w:id="1138" w:name="Tc_WohW3GolMka1VFo8wiisZg_16_8"/>
      <w:bookmarkStart w:id="1139" w:name="Tc_VnpXpWSREUuC8QFcqjuAVg_16_0"/>
      <w:bookmarkStart w:id="1140" w:name="Tc_FItwmXg4b0-_dLj6cr2g-Q_15_0"/>
      <w:bookmarkStart w:id="1141" w:name="Tc_HnWl-r1gmEizGDoO5OvQxw_13_8"/>
      <w:bookmarkStart w:id="1142" w:name="Tc__CSnm_7S1EuEbGCsHuWtPw_13_5"/>
      <w:bookmarkStart w:id="1143" w:name="Tc_8phzNz-fQkuGPbt9lU43Dg_13_2"/>
      <w:bookmarkStart w:id="1144" w:name="Tc_Dpwg13UGeU-3cndNVcFn2Q_13_0"/>
      <w:bookmarkStart w:id="1145" w:name="Tc_XUt1lLPP9U6_0Y-jN1-bjg_11_0"/>
      <w:bookmarkStart w:id="1146" w:name="Tc_6usYC5EXokeEQ-reI-WeoA_10_0"/>
      <w:bookmarkStart w:id="1147" w:name="Tc_mJdZjFyWDUOwDmC5zhlR6g_8_8"/>
      <w:bookmarkStart w:id="1148" w:name="Tc_Q-ms9B252EKIcW0xcvunJw_8_5"/>
      <w:bookmarkStart w:id="1149" w:name="Tc_UXDmNuVAw0e1OrseWJH79g_8_2"/>
      <w:bookmarkStart w:id="1150" w:name="Tc_SbHVATya-kG3HqsuXdDhEQ_8_0"/>
      <w:bookmarkStart w:id="1151" w:name="Tc_QjTeUaaBk0yeO8Ihyet52Q_7_0"/>
      <w:bookmarkStart w:id="1152" w:name="Tc_kMeNNP-oRk-YRg2gyt74Ig_6_0"/>
      <w:bookmarkStart w:id="1153" w:name="Tc_B_d023yoMEePOd8JnLn2PQ_4_8"/>
      <w:bookmarkStart w:id="1154" w:name="Tc_OWWL5R2dVUmDmik041uoDw_4_5"/>
      <w:bookmarkStart w:id="1155" w:name="Tc_oLDL-ML9LEy25NNcqs-VXw_4_2"/>
      <w:bookmarkStart w:id="1156" w:name="Tc_K9PD7Cp8SEKbw18RX209MA_4_0"/>
      <w:bookmarkStart w:id="1157" w:name="Tc__97jMBCyLUy2uLUaBdt8xw_3_0"/>
      <w:bookmarkStart w:id="1158" w:name="Tc_reO4DqZPoE2xzT8rI8qwew_2_8"/>
      <w:bookmarkStart w:id="1159" w:name="Tc_C1_gKBQUDU2_PjpiSw2jqg_2_5"/>
      <w:bookmarkStart w:id="1160" w:name="Tc_uXXC3VAaak2UG0wZQLgrvw_2_2"/>
      <w:bookmarkStart w:id="1161" w:name="Tc_joxGpe0S3Ey9ntAVIdZqjg_2_0"/>
      <w:bookmarkStart w:id="1162" w:name="Tc_KD6JCHxC-UmS2tmCMcbDZA_1_9"/>
      <w:bookmarkStart w:id="1163" w:name="Tc_cdEAbxJNUE2H4Vz2MRlefA_1_6"/>
      <w:bookmarkStart w:id="1164" w:name="Tc_3dgB2JcYCkCkhq0Lua2VUw_1_3"/>
      <w:bookmarkStart w:id="1165" w:name="Tc_z3QvCkTwyEKH0U58WnyhNw_1_0"/>
      <w:bookmarkStart w:id="1166" w:name="_a105672d_957a_4373_bb26_27300912d0b2"/>
      <w:bookmarkStart w:id="1167" w:name="Tc_PyVoYAaEP0mSUxIJ5qtasw_20_8"/>
      <w:bookmarkStart w:id="1168" w:name="Tc_JFOwmslG5UWhoJNnS76hdQ_20_0"/>
      <w:bookmarkStart w:id="1169" w:name="Tc_qd1sXgrE2kuNEj7d9gVNOA_18_0"/>
      <w:bookmarkStart w:id="1170" w:name="Tc_1n1ggjPjREORFUT-YeD7bQ_17_0"/>
      <w:bookmarkStart w:id="1171" w:name="Tc_Tues242XukG8_x7RWNfBuw_16_8"/>
      <w:bookmarkStart w:id="1172" w:name="Tc_OdU1UVfQyUGnJg1MqTPGXQ_16_0"/>
      <w:bookmarkStart w:id="1173" w:name="Tc_qp9Iy1YMu0-WvWV5dmLUUg_15_0"/>
      <w:bookmarkStart w:id="1174" w:name="Tc_knLI2u0ysEGFiw3fzGcO4Q_13_8"/>
      <w:bookmarkStart w:id="1175" w:name="Tc_FJjjcWX5SEKtfI4xf5e2zQ_13_5"/>
      <w:bookmarkStart w:id="1176" w:name="Tc_EgBk1VYmqUy-MSr9dbT4Ow_13_2"/>
      <w:bookmarkStart w:id="1177" w:name="Tc_JQMTo38JgE6awQ4MxfkV7g_13_0"/>
      <w:bookmarkStart w:id="1178" w:name="Tc_UHedxtqDv0ewOvXPuaR2uA_11_0"/>
      <w:bookmarkStart w:id="1179" w:name="Tc_bZlQD-tK6Ea7wRMHoFya_w_10_0"/>
      <w:bookmarkStart w:id="1180" w:name="Tc_N2z69gCPMkGbb6ViweUtmw_8_8"/>
      <w:bookmarkStart w:id="1181" w:name="Tc_YHJB_2Veh06C3XgqAWly1w_8_5"/>
      <w:bookmarkStart w:id="1182" w:name="Tc_3GxAtt52tkGyE56yq9mTiQ_8_2"/>
      <w:bookmarkStart w:id="1183" w:name="Tc_zI37HLFT5keEMQ88DWaZdQ_8_0"/>
      <w:bookmarkStart w:id="1184" w:name="Tc_fL_NWbaGxE2tKhvqdkpk1A_7_0"/>
      <w:bookmarkStart w:id="1185" w:name="Tc_rCFpvaeOg0SxNy7Nz9Y6IQ_6_0"/>
      <w:bookmarkStart w:id="1186" w:name="Tc_OpbCPXoSn0GeYE8pVRezDA_4_8"/>
      <w:bookmarkStart w:id="1187" w:name="Tc_oCxkCsgvcU-K0dycJg_uug_4_5"/>
      <w:bookmarkStart w:id="1188" w:name="Tc_IfIBeha730ylETtuYjcrXg_4_2"/>
      <w:bookmarkStart w:id="1189" w:name="Tc_VuNUeQWvh0-a5tFedTqEdw_4_0"/>
      <w:bookmarkStart w:id="1190" w:name="Tc_NN7xWrETgEW-QIuxDzEKAg_3_0"/>
      <w:bookmarkStart w:id="1191" w:name="Tc_qWTF-pLngU29JRit7GufjQ_2_8"/>
      <w:bookmarkStart w:id="1192" w:name="Tc_6qudJVvExkmiBD-ww5MYhw_2_5"/>
      <w:bookmarkStart w:id="1193" w:name="Tc_WpR0r3AZn0yn38fMakPpUA_2_2"/>
      <w:bookmarkStart w:id="1194" w:name="Tc_kDJh0DNej0K8KLZBlXsPVg_2_0"/>
      <w:bookmarkStart w:id="1195" w:name="Tc_WszB51BPOk-i87JYCqk_Ig_1_9"/>
      <w:bookmarkStart w:id="1196" w:name="Tc_QdgONfWOP0WLt7vEe2-VwA_1_6"/>
      <w:bookmarkStart w:id="1197" w:name="Tc_6KrX2VUJMEONxT53CXNEXQ_1_3"/>
      <w:bookmarkStart w:id="1198" w:name="Tc_0_6YhR7M0EW8x76HZwHWgQ_1_0"/>
      <w:bookmarkStart w:id="1199" w:name="_9251b7c2_bc16_4a47_ba47_699673edbd9d"/>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p>
    <w:tbl>
      <w:tblPr>
        <w:tblW w:w="6844" w:type="dxa"/>
        <w:jc w:val="left"/>
        <w:tblInd w:w="0" w:type="dxa"/>
        <w:tblLayout w:type="fixed"/>
        <w:tblCellMar>
          <w:top w:w="0" w:type="dxa"/>
          <w:left w:w="0" w:type="dxa"/>
          <w:bottom w:w="0" w:type="dxa"/>
          <w:right w:w="0" w:type="dxa"/>
        </w:tblCellMar>
      </w:tblPr>
      <w:tblGrid>
        <w:gridCol w:w="3181"/>
        <w:gridCol w:w="109"/>
        <w:gridCol w:w="211"/>
        <w:gridCol w:w="901"/>
        <w:gridCol w:w="109"/>
        <w:gridCol w:w="211"/>
        <w:gridCol w:w="1051"/>
        <w:gridCol w:w="109"/>
        <w:gridCol w:w="211"/>
        <w:gridCol w:w="75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19935" cy="175260"/>
                      <wp:effectExtent l="0" t="0" r="0" b="0"/>
                      <wp:wrapNone/>
                      <wp:docPr id="209" name="Frame209"/>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72135" cy="175260"/>
                      <wp:effectExtent l="0" t="0" r="0" b="0"/>
                      <wp:wrapNone/>
                      <wp:docPr id="212" name="Frame2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67385" cy="175260"/>
                      <wp:effectExtent l="0" t="0" r="0" b="0"/>
                      <wp:wrapNone/>
                      <wp:docPr id="215" name="Frame21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76885" cy="175260"/>
                      <wp:effectExtent l="0" t="0" r="0" b="0"/>
                      <wp:wrapNone/>
                      <wp:docPr id="218" name="Frame21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Three months ended June 30, 2025</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NeuroStar</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Greenbrook</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Revenue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15,084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38,108</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4,311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16,039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20,350</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10,773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6,985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17,758</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Significant Segment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Selling, General and Administrative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8,888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7,331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16,219</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1,798</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profit/(loss)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Unallocated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7,799</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1,969</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(9,839)</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tbl>
      <w:tblPr>
        <w:tblW w:w="6949" w:type="dxa"/>
        <w:jc w:val="left"/>
        <w:tblInd w:w="0" w:type="dxa"/>
        <w:tblLayout w:type="fixed"/>
        <w:tblCellMar>
          <w:top w:w="0" w:type="dxa"/>
          <w:left w:w="0" w:type="dxa"/>
          <w:bottom w:w="0" w:type="dxa"/>
          <w:right w:w="0" w:type="dxa"/>
        </w:tblCellMar>
      </w:tblPr>
      <w:tblGrid>
        <w:gridCol w:w="3181"/>
        <w:gridCol w:w="109"/>
        <w:gridCol w:w="211"/>
        <w:gridCol w:w="901"/>
        <w:gridCol w:w="109"/>
        <w:gridCol w:w="211"/>
        <w:gridCol w:w="1051"/>
        <w:gridCol w:w="109"/>
        <w:gridCol w:w="211"/>
        <w:gridCol w:w="85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19935" cy="175260"/>
                      <wp:effectExtent l="0" t="0" r="0" b="0"/>
                      <wp:wrapNone/>
                      <wp:docPr id="219" name="Frame219"/>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72135" cy="175260"/>
                      <wp:effectExtent l="0" t="0" r="0" b="0"/>
                      <wp:wrapNone/>
                      <wp:docPr id="222" name="Frame22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67385" cy="175260"/>
                      <wp:effectExtent l="0" t="0" r="0" b="0"/>
                      <wp:wrapNone/>
                      <wp:docPr id="225" name="Frame22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43560" cy="175260"/>
                      <wp:effectExtent l="0" t="0" r="0" b="0"/>
                      <wp:wrapNone/>
                      <wp:docPr id="228" name="Frame22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Six months ended June 30, 2026</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NeuroStar</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Greenbrook</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Revenue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27,602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48,420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76,022</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6,170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32,475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38,645</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21,432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15,945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37,377</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Significant Segment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Selling, General and Administrative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14,406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15,462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29,868</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2,701</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profit/(loss)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4,473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4,808</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Unallocated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15,304</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(1,182)</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539</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4,391</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(14,244)</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Consolidated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Normal"/>
        <w:bidi w:val="0"/>
        <w:spacing w:before="0" w:after="0"/>
        <w:jc w:val="left"/>
        <w:rPr>
          <w:sz w:val="4"/>
          <w:szCs w:val="4"/>
        </w:rPr>
      </w:pPr>
      <w:r>
        <w:rPr>
          <w:sz w:val="4"/>
          <w:szCs w:val="4"/>
        </w:rPr>
      </w:r>
      <w:bookmarkStart w:id="1200" w:name="Tc_MEPy78sz4UaJCglIdWhodw_20_8"/>
      <w:bookmarkStart w:id="1201" w:name="Tc_vY6EYr7qP0i2Mv04mHdxFg_20_0"/>
      <w:bookmarkStart w:id="1202" w:name="Tc_WWEjfQ_f_UuMiH9PfBkjbg_18_0"/>
      <w:bookmarkStart w:id="1203" w:name="Tc_NHXJCBxS00SkQfpnqwD09g_17_0"/>
      <w:bookmarkStart w:id="1204" w:name="Tc_4w99mo32e024zl0les5Nug_16_8"/>
      <w:bookmarkStart w:id="1205" w:name="Tc_LaMOkpQ3YUai9XB34ULWeA_16_0"/>
      <w:bookmarkStart w:id="1206" w:name="Tc_3a7cPlfUUESn3uCEnvbpSA_15_0"/>
      <w:bookmarkStart w:id="1207" w:name="Tc_-C5S61-AmUyRwbhYJmmVxg_13_8"/>
      <w:bookmarkStart w:id="1208" w:name="Tc_MH-weKpbKkOrYGYi8tqq7A_13_5"/>
      <w:bookmarkStart w:id="1209" w:name="Tc_-bXqS_1jkEewF9mz0VVLQQ_13_2"/>
      <w:bookmarkStart w:id="1210" w:name="Tc_OJ7NhSuU9keUPRHq9HZixw_13_0"/>
      <w:bookmarkStart w:id="1211" w:name="Tc_HGlp5kTWb0qLTdaL0N1Rdg_11_0"/>
      <w:bookmarkStart w:id="1212" w:name="Tc_9AwZP9bB7E-oh2jPfkXKQA_10_0"/>
      <w:bookmarkStart w:id="1213" w:name="Tc_dJ2CmYHtt0WLIPR2lV8prQ_8_8"/>
      <w:bookmarkStart w:id="1214" w:name="Tc_JoWwMaTGMUiBfPFI59xO4Q_8_5"/>
      <w:bookmarkStart w:id="1215" w:name="Tc_dxPBHt6dHEWdkRJNNn5VzQ_8_2"/>
      <w:bookmarkStart w:id="1216" w:name="Tc_xcXtMNo3gk-WfCUMquV-Ug_8_0"/>
      <w:bookmarkStart w:id="1217" w:name="Tc_a9WcQtbAwkSZI2TB9OZp3Q_7_0"/>
      <w:bookmarkStart w:id="1218" w:name="Tc_f0_gny37Hk6hpCIdkhmqsA_6_0"/>
      <w:bookmarkStart w:id="1219" w:name="Tc_PQnXXozA2kWmiDy-CJXoeg_4_8"/>
      <w:bookmarkStart w:id="1220" w:name="Tc_1hJa-q3Oq0CMXZrNb5hVaQ_4_5"/>
      <w:bookmarkStart w:id="1221" w:name="Tc_Ge32dwI_rke0_Ir4A18xOA_4_2"/>
      <w:bookmarkStart w:id="1222" w:name="Tc_pC3r3lcJFkyhISP0zmNVRw_4_0"/>
      <w:bookmarkStart w:id="1223" w:name="Tc_M3s--NgnhkedqqeYXSz6Ag_3_0"/>
      <w:bookmarkStart w:id="1224" w:name="Tc_zBmYsHs9_kGVNhRbxlvphg_2_8"/>
      <w:bookmarkStart w:id="1225" w:name="Tc_Gs2fRw_RwUm57DihgcCiyQ_2_5"/>
      <w:bookmarkStart w:id="1226" w:name="Tc_VclOnp8lSk-kAOV_76mwUA_2_2"/>
      <w:bookmarkStart w:id="1227" w:name="Tc_fB8zvzZ1hEaqVZPX3NQc6A_2_0"/>
      <w:bookmarkStart w:id="1228" w:name="Tc_BzTfhnus30yyb7FPOvRYHw_1_9"/>
      <w:bookmarkStart w:id="1229" w:name="Tc_tlYH-NKOPEqMb5Z2Fs-_Lw_1_6"/>
      <w:bookmarkStart w:id="1230" w:name="Tc_3oJlnBBZuEqt6zp23wz4Hg_1_3"/>
      <w:bookmarkStart w:id="1231" w:name="Tc_dLyTTODTiUuEnHocsPQquw_1_0"/>
      <w:bookmarkStart w:id="1232" w:name="Tc_MEPy78sz4UaJCglIdWhodw_20_8"/>
      <w:bookmarkStart w:id="1233" w:name="Tc_vY6EYr7qP0i2Mv04mHdxFg_20_0"/>
      <w:bookmarkStart w:id="1234" w:name="Tc_WWEjfQ_f_UuMiH9PfBkjbg_18_0"/>
      <w:bookmarkStart w:id="1235" w:name="Tc_NHXJCBxS00SkQfpnqwD09g_17_0"/>
      <w:bookmarkStart w:id="1236" w:name="Tc_4w99mo32e024zl0les5Nug_16_8"/>
      <w:bookmarkStart w:id="1237" w:name="Tc_LaMOkpQ3YUai9XB34ULWeA_16_0"/>
      <w:bookmarkStart w:id="1238" w:name="Tc_3a7cPlfUUESn3uCEnvbpSA_15_0"/>
      <w:bookmarkStart w:id="1239" w:name="Tc_-C5S61-AmUyRwbhYJmmVxg_13_8"/>
      <w:bookmarkStart w:id="1240" w:name="Tc_MH-weKpbKkOrYGYi8tqq7A_13_5"/>
      <w:bookmarkStart w:id="1241" w:name="Tc_-bXqS_1jkEewF9mz0VVLQQ_13_2"/>
      <w:bookmarkStart w:id="1242" w:name="Tc_OJ7NhSuU9keUPRHq9HZixw_13_0"/>
      <w:bookmarkStart w:id="1243" w:name="Tc_HGlp5kTWb0qLTdaL0N1Rdg_11_0"/>
      <w:bookmarkStart w:id="1244" w:name="Tc_9AwZP9bB7E-oh2jPfkXKQA_10_0"/>
      <w:bookmarkStart w:id="1245" w:name="Tc_dJ2CmYHtt0WLIPR2lV8prQ_8_8"/>
      <w:bookmarkStart w:id="1246" w:name="Tc_JoWwMaTGMUiBfPFI59xO4Q_8_5"/>
      <w:bookmarkStart w:id="1247" w:name="Tc_dxPBHt6dHEWdkRJNNn5VzQ_8_2"/>
      <w:bookmarkStart w:id="1248" w:name="Tc_xcXtMNo3gk-WfCUMquV-Ug_8_0"/>
      <w:bookmarkStart w:id="1249" w:name="Tc_a9WcQtbAwkSZI2TB9OZp3Q_7_0"/>
      <w:bookmarkStart w:id="1250" w:name="Tc_f0_gny37Hk6hpCIdkhmqsA_6_0"/>
      <w:bookmarkStart w:id="1251" w:name="Tc_PQnXXozA2kWmiDy-CJXoeg_4_8"/>
      <w:bookmarkStart w:id="1252" w:name="Tc_1hJa-q3Oq0CMXZrNb5hVaQ_4_5"/>
      <w:bookmarkStart w:id="1253" w:name="Tc_Ge32dwI_rke0_Ir4A18xOA_4_2"/>
      <w:bookmarkStart w:id="1254" w:name="Tc_pC3r3lcJFkyhISP0zmNVRw_4_0"/>
      <w:bookmarkStart w:id="1255" w:name="Tc_M3s--NgnhkedqqeYXSz6Ag_3_0"/>
      <w:bookmarkStart w:id="1256" w:name="Tc_zBmYsHs9_kGVNhRbxlvphg_2_8"/>
      <w:bookmarkStart w:id="1257" w:name="Tc_Gs2fRw_RwUm57DihgcCiyQ_2_5"/>
      <w:bookmarkStart w:id="1258" w:name="Tc_VclOnp8lSk-kAOV_76mwUA_2_2"/>
      <w:bookmarkStart w:id="1259" w:name="Tc_fB8zvzZ1hEaqVZPX3NQc6A_2_0"/>
      <w:bookmarkStart w:id="1260" w:name="Tc_BzTfhnus30yyb7FPOvRYHw_1_9"/>
      <w:bookmarkStart w:id="1261" w:name="Tc_tlYH-NKOPEqMb5Z2Fs-_Lw_1_6"/>
      <w:bookmarkStart w:id="1262" w:name="Tc_3oJlnBBZuEqt6zp23wz4Hg_1_3"/>
      <w:bookmarkStart w:id="1263" w:name="Tc_dLyTTODTiUuEnHocsPQquw_1_0"/>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tbl>
      <w:tblPr>
        <w:tblW w:w="6949" w:type="dxa"/>
        <w:jc w:val="left"/>
        <w:tblInd w:w="0" w:type="dxa"/>
        <w:tblLayout w:type="fixed"/>
        <w:tblCellMar>
          <w:top w:w="0" w:type="dxa"/>
          <w:left w:w="0" w:type="dxa"/>
          <w:bottom w:w="0" w:type="dxa"/>
          <w:right w:w="0" w:type="dxa"/>
        </w:tblCellMar>
      </w:tblPr>
      <w:tblGrid>
        <w:gridCol w:w="3181"/>
        <w:gridCol w:w="109"/>
        <w:gridCol w:w="211"/>
        <w:gridCol w:w="901"/>
        <w:gridCol w:w="109"/>
        <w:gridCol w:w="211"/>
        <w:gridCol w:w="1051"/>
        <w:gridCol w:w="109"/>
        <w:gridCol w:w="211"/>
        <w:gridCol w:w="85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19935" cy="175260"/>
                      <wp:effectExtent l="0" t="0" r="0" b="0"/>
                      <wp:wrapNone/>
                      <wp:docPr id="229" name="Frame229"/>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72135" cy="175260"/>
                      <wp:effectExtent l="0" t="0" r="0" b="0"/>
                      <wp:wrapNone/>
                      <wp:docPr id="232" name="Frame23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67385" cy="175260"/>
                      <wp:effectExtent l="0" t="0" r="0" b="0"/>
                      <wp:wrapNone/>
                      <wp:docPr id="235" name="Frame23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43560" cy="175260"/>
                      <wp:effectExtent l="0" t="0" r="0" b="0"/>
                      <wp:wrapNone/>
                      <wp:docPr id="238" name="Frame23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Six months ended June 30, 2025</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NeuroStar</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Greenbrook</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Revenue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28,400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41,683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70,083</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7,461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29,126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36,587</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20,939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12,557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33,496</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Significant Segment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Selling, General and Administrative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17,625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15,265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32,890</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3,304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3,414</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profit/(loss)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(2,818)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(2,808)</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Unallocated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16,264</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(435)</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3,891</w:t>
            </w:r>
          </w:p>
        </w:tc>
      </w:tr>
      <w:tr>
        <w:trPr/>
        <w:tc>
          <w:tcPr>
            <w:tcW w:w="3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(22,528)</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     NONCONTROLLING INTEREST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operating agreements with several non-wholly owned entities. The non-controlling interest percentages range from 7% to 49%. The Company has control over these entities under U.S. GAAP as the Company has power over all significant decisions made by these entities. Thus, 100% of the financial results of these subsidiaries are included in the Company’s consolidated financial results.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21.     GOVERNMENT ASSISTANCE</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Employee Retention Credit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Coronavirus Aid, Relief and Economic Security Act provided an employee retention credit (the “ERC”), a refundable tax credit related to certain payroll taxes. The Company applied the grant model and determined that the criteria for recognition of the ERC were met based on its eligibility assessment and filing of the ERC claim.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six months ended June 30, 2025, Neuronetics received $2.6 million related to its ERC claim, consisting of $2.3 million of claims related to fiscal year 2021 and interest of $0.3 million.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six months ended June 30, 2026, Greenbrook received $2.2 million related to its ERC claim. On March 2, 2026, the Company entered into an agreement with Madryn Asset Management, LP and its affiliates (collectively, “Madryn”), pursuant to which it paid $1.1 million of the ERC proceeds to Madryn. The Company incurred $0.3 million of professional fees and recognized net other income of $0.8 million. This payment to Madryn related to the Term Loan and Exchange Agreement previously executed between Madryn and Greenbrook prior to the completion of the Arrangement. Madryn is the Company’s largest stockholder, and Avinash Amin, M.D., a representative of Madryn, serves on the Board.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1264" w:name="Item2ManagementsDiscussionandAnalysisofF"/>
      <w:bookmarkStart w:id="1265" w:name="_88167ce1_4a34_4ba2_9889_4592bb3a8f1d"/>
      <w:bookmarkEnd w:id="1264"/>
      <w:bookmarkEnd w:id="1265"/>
      <w:r>
        <w:rPr>
          <w:rFonts w:ascii="Arial;Helvetica;sans-serif" w:hAnsi="Arial;Helvetica;sans-serif"/>
          <w:b/>
          <w:sz w:val="20"/>
        </w:rPr>
        <w:t>Item 2.     Management’s Discussion and Analysis of Financial Condition and Results of Operations.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The following discussion and analysis of our financial condition and results of operations, as well as other sections in this Quarterly Report on Form 10-Q, should be read in conjunction with our unaudited interim consolidated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(the “Securities Act”) and Section 21E of the Securities Exchange Act of 1934, as amended (the “Exchange Act”).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i/>
          <w:sz w:val="20"/>
        </w:rPr>
        <w:t xml:space="preserve">In some cases, you can identify forward-looking statements by terms such as “may,” “will,” “would,” “should,” “expect,” “plan,” “design,” “anticipate,” “could,” “intend,” “target,” “project,” “contemplate,” “believe,” “estimate,” “predict,” “potential,” “outlook”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under the sections entitled “Risk Factors” and “Management’s Discussion and Analysis of Financial Condition and Results of Operations” in our Annual Report on Form 10-K filed with the SEC on March 17, 2026. These risks and uncertainties include, without limitation, risks and uncertainties related to: the effect of the transaction with Greenbrook on our business relationships; operating results and business generally; our ability to execute our business strategy; our ability to achieve or sustain profitable operations due to our history of losses; our reliance on the sale and usage of the System to generate revenues; the scale and efficacy of our salesforce; our ability to retain talent;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the System for additional indications; developments in regulation in the U.S. and other applicable jurisdictions; potential effects of evolving and/or extensive government regulation; the terms of our credit facility; </w:t>
      </w:r>
      <w:r>
        <w:rPr>
          <w:rFonts w:ascii="Arial;Helvetica;sans-serif" w:hAnsi="Arial;Helvetica;sans-serif"/>
          <w:sz w:val="20"/>
        </w:rPr>
        <w:t>a</w:t>
      </w:r>
      <w:r>
        <w:rPr>
          <w:rFonts w:ascii="Arial;Helvetica;sans-serif" w:hAnsi="Arial;Helvetica;sans-serif"/>
          <w:i/>
          <w:sz w:val="20"/>
        </w:rPr>
        <w:t>nd our self-sustainability;existing cash balances; our ability to achieve positive cash flows; and our ability to continue as a going concern. The events and circumstances reflected in our forward-looking statements may not be achieved or occur and actual results could differ materially from those projected in the forward-looking statements. The Company cautions investors not to place undue reliance on these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in this Quarterly Report on Form 10-Q as a result of any new information, future events or changed circumstances or otherwise.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believe that mental health is as important as physical health. The Company’s first commercial product, the System, is a non-invasive and non-systemic office-based treatment that uses TMS to create a pulsed, MRI-strength magnetic field that induces electrical currents designed to stimulate specific areas of the brain associated with mood. The System is cleared by the FDA to treat adult patients with MDD who have failed to achieve satisfactory improvement from prior antidepressant medication in the current MDD episode. It is also cleared by the FDA as an adjunct for adults with OCD and for adolescent patients aged 15-21 with MDD. It is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also cleared by the FDA to decrease anxiety symptoms in adult patients with MDD that may exhibit comorbid anxiety symptoms (anxious depression). In addition to selling the System and associated treatment sessions to customers, the Company operates Greenbrook Treatment Centers across the U.S., offering TMS therapy using the Systems. The Company acquired Greenbrook, a provider of mental healthcare services, pursuant to the Arrangement. The System is safe, clinically effective, reproducible and precise, and the Company believes it is supported by the largest clinical data set of any competing TMS system. Treatment Centers also acquire SPRAVATO® to treat adults with treatment-resistant depression or depressive symptoms in adults suffering from MDD with acute suicidal ideation or behavior.</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Effective as of December 9, 2024, Neuronetics and Greenbrook completed the Arrangement. Each share of Greenbrook common stock outstanding immediately prior to the effective time of the Arrangement was exchanged for shares of Neuronetics common stock at a specified exchange ratio upon closing of the Arrangement. We continue to operate as Neuronetics, Inc., and the Company’s shares trade on the NASDAQ Global Market under the ticker “STIM.”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designed the System as a non-invasive therapeutic alternative to treat patients who suffer from MDD and to address many of the key limitations of existing treatment options. Additionally, through our acquisition of Greenbrook, we now derive revenue directly from our Treatment Centers, by providing TMS therapy and SPRAVATO® for MDD and other mental health disorders. We derive the majority of our revenues from Greenbrook revenue,treatment session sales, and sales of the System.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currently operate in two segments: NeuroStar, formerly known as medical device and Greenbrook, formerly known as clinic services. We generate revenues from clinic operations, initial capital sales of our systems, sales of our recurring treatment sessions, service and repair, clinic collaboration services and extended warranty contracts.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three months ended June 30, 2026, our Greenbrook revenue and our NeuroStar revenue represented 65% and 35% of our revenues, respectively. For the six months ended June 30, 2026, Greenbrook revenue and our NeuroStar revenue represented 64%and 36% of our revenues, respectively.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Greenbrook revenue consists of revenue attributable to the performance of treatments to patients in the U.S. In circumstances where the net patient fees have not yet been received, the amount of revenue recognized is estimated based on an expected value approach. Due to the nature of the industry and complexity of our Greenbrook revenue arrangements, where price lists are subject to the discretion of payors, variable consideration exists that may result in price concessions and constraints to the transaction price for the services rendered.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Greenbrook revenue reimbursements are derived from third-party payors including federal and state agencies (under the federal healthcare programs), managed care health plans and commercial insurance companies.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currently sell the System and recurring treatment sessions in the U.S. through our sales and customer support team. Our sales force targets an estimated 53,000 psychiatrists across 26,000 practices. We expect to continue to expand our direct sales and customer support team to further penetrate the market by demonstrating the benefits of the System to providers and their patients. Some of our customers have purchased or may purchase more than one of the Systems. Based on our commercial data, we believe many providers can recoup their initial capital investment in a System by providing a standard course of treatment to approximately 12 patients. We believe psychiatrists can generate approximately $9,000 of average revenue per patient for a standard course of treatment, which may provide meaningful incremental income to their practices. We serve a diverse customer base. In the U.S., providers are reimbursed by federal healthcare programs, as well as the vast majority of commercial payors, for treatment sessions utilizing our System.</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research and development efforts are primarily focused on hardware and software product developments and enhancements of the System and clinical development relating to additional indications. We outsource the manufacture of components of the Systems that are produced to our specifications, and individual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components are either shipped directly from our third-party contract manufacturers to our customers or consolidated into pallets at our Malvern, Pennsylvania facility prior to shipment. Final installation of these systems occurs at the customer site.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Total revenues increased by $3.5 million, or 9%, from $38.1 million for the three months ended June 30, 2025 to $41.6 million for the three months ended June 30, 2026 and increased by $5.9 million, or 8%, from $70.1 million for the six months ended June 30, 2025 to $76.0 million for the six months ended June 30, 2026. The increase was primarily attributable to an increase in Greenbrook revenue. We incurred net losses of $3.5 million and $14.2 million for the three and six months ended June 30, 2026, respectively compared to net losses of $9.8 million and $22.5 million for three and six months ended June 30, 2025, respectively. As of June 30, 2026, we had an accumulated deficit of $473.2 million.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Global Economic Conditions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continuing to closely monitor macroeconomic impacts, including but not limited to developments affecting financial institutions, supply chains, unemployment rates, investment values, consumer confidence, inflationary and potential recessionary pressures, on our business, results of operations and financial results, which could adversely affect us.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Components of Our Results of Operations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have generated revenues primarily from the sale of the Systems and related sales and rentals of the System, clinic revenue and the recurring revenues from our sale of treatment sessions in the U.S.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 xml:space="preserve">Greenbrook Revenues. </w:t>
      </w:r>
      <w:r>
        <w:rPr>
          <w:rFonts w:ascii="Arial;Helvetica;sans-serif" w:hAnsi="Arial;Helvetica;sans-serif"/>
          <w:sz w:val="20"/>
        </w:rPr>
        <w:t>Greenbrook revenue, formerly known as service or clinic revenue, consisting of TMS services, SPRAVATO® sales and other mental wellness services is determined based on net patient fees, which includes estimates for contractual allowances and discounts. Net patient fees are estimated using an expected value approach where management considers such variables as the average of previous net patient fees received by the applicable payor and fees received by other patients for similar services and the Company’s best estimate leveraging industry knowledge and expectations of third-party payors’ fee schedules. We expect clinic revenue to increase in 2026.</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 xml:space="preserve">NeuroStar Revenues. </w:t>
      </w:r>
      <w:r>
        <w:rPr>
          <w:rFonts w:ascii="Arial;Helvetica;sans-serif" w:hAnsi="Arial;Helvetica;sans-serif"/>
          <w:sz w:val="20"/>
        </w:rPr>
        <w:t>NeuroStar revenue, formerly known as products and other revenue, consists of System revenues,treatment session revenues, and other 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i/>
          <w:sz w:val="20"/>
        </w:rPr>
        <w:t>System Revenues</w:t>
      </w:r>
      <w:r>
        <w:rPr>
          <w:rFonts w:ascii="Arial;Helvetica;sans-serif" w:hAnsi="Arial;Helvetica;sans-serif"/>
          <w:sz w:val="20"/>
        </w:rPr>
        <w:t>. System revenues consist primarily of sales or rentals of a capital component, including equipment upgrades to the initial sale of the System. The Systems can be purchased outright or on a sales type lease basis by certain customers. Additionally, Systems may be sold as unlocked Systems, which do not require the customer to purchase treatment sessions for the life of the System.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i/>
          <w:sz w:val="20"/>
        </w:rPr>
        <w:t>Treatment Session Revenues</w:t>
      </w:r>
      <w:r>
        <w:rPr>
          <w:rFonts w:ascii="Arial;Helvetica;sans-serif" w:hAnsi="Arial;Helvetica;sans-serif"/>
          <w:sz w:val="20"/>
        </w:rPr>
        <w:t>. Treatment session revenues primarily include sales of treatment sessions and SenStar treatment links. The treatment sessions are access codes that are delivered electronically in the U.S. The SenStar treatment links are disposable units containing single-use access codes that are sold and used outside the U.S. Access codes are purchased separately by our customers, primarily on an as-needed basis, and are required by the System in order to deliver treatment sessions.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i/>
          <w:sz w:val="20"/>
        </w:rPr>
        <w:t>Other Revenues</w:t>
      </w:r>
      <w:r>
        <w:rPr>
          <w:rFonts w:ascii="Arial;Helvetica;sans-serif" w:hAnsi="Arial;Helvetica;sans-serif"/>
          <w:sz w:val="20"/>
        </w:rPr>
        <w:t>. Other revenues are derived primarily from service and repair, research collaboration agreements and extended warranty contracts with our existing customers.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Refer to the section titled “Critical Accounting Policies and Use of Estimates—Revenue Recognition” in our Annual Report on Form 10-K filed with the SEC on March 17, 2026. Also, refer to “Summary of Significant Accounting Policies” in Notes to Interim Consolidated Financial Statements located in Part I – FINANCIAL INFORMATION, Item 1.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Cost of revenues consists of the costs of components and products purchased from our third-party contract manufacturers of the Systems. We use third-party contract manufacturing partners to produce the components for and assemble the Systems. Cost of revenues also includes costs related to personnel, warranty, shipping, amortization of capitalized software and our operations and field service departments. Our clinic costs primarily include direct center and patient care/treatment costs, regional employee compensation and depreciation. We expect our cost of revenues to increase mainly for Greenbrook, as our product mix changes.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the Systems and Greenbrook revenue are lower than our gross margins on revenues from sales of treatment sessions and sale of unlocked systems. As a result, the sales mix between the Systems, Greenbrook revenues and treatment sessions can affect the gross margin in any reporting period.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Sales and marketing expenses consist of commercial activities related to the sale of the Systems and clinic services and personnel costs including salaries and related benefits, sales commissions and share-based compensation for employees focused on these efforts. Other significant sales and marketing costs include conferences and trade shows, promotional and marketing activities, including direct and online marketing and practice support programs.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anticipate that our sales and marketing expenses will decrease in 2026 relative to 2025 as a result of the cost efficiencies realized post-acquisition across the sales and marketing divisions.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 expenses consist primarily of personnel expenses, including salaries and related benefits, share-based compensation and travel expenses, for employees in executive, finance, clinic support, information technology, legal and human resource functions. General and administrative expenses also include insurance, outside legal fees, accounting and other consulting services, audit fees from our independent registered public accounting firm, Board fees and other administrative costs, such as corporate facility costs, including rent, utilities, depreciation and maintenance not otherwise included in cost of revenues.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anticipate that our general and administrative expenses will decrease during 2026 compared to 2025 expenses.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expect our research and development expenses to decrease during 2026 compared to 2025 expenses.</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expense consists of cash interest payable under our credit facility and the amortization of deferred financing costs related to our indebtedness.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consists primarily of interest income earned on our money market account balances and notes receivable and ERC payments.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Loss on extinguishment of debt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Loss on debt extinguishment consists of prepayment penalties and impairment of deferred financing costs associated with the extinguishment of debt, as well as fees incurred with third parties in connection with debt extinguishment.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Comparison of the three months ended June 30, 2026 and 2025</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tbl>
      <w:tblPr>
        <w:tblW w:w="8068" w:type="dxa"/>
        <w:jc w:val="left"/>
        <w:tblInd w:w="0" w:type="dxa"/>
        <w:tblLayout w:type="fixed"/>
        <w:tblCellMar>
          <w:top w:w="0" w:type="dxa"/>
          <w:left w:w="0" w:type="dxa"/>
          <w:bottom w:w="0" w:type="dxa"/>
          <w:right w:w="0" w:type="dxa"/>
        </w:tblCellMar>
      </w:tblPr>
      <w:tblGrid>
        <w:gridCol w:w="2491"/>
        <w:gridCol w:w="346"/>
        <w:gridCol w:w="211"/>
        <w:gridCol w:w="706"/>
        <w:gridCol w:w="406"/>
        <w:gridCol w:w="211"/>
        <w:gridCol w:w="706"/>
        <w:gridCol w:w="406"/>
        <w:gridCol w:w="211"/>
        <w:gridCol w:w="706"/>
        <w:gridCol w:w="346"/>
        <w:gridCol w:w="991"/>
        <w:gridCol w:w="33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81785" cy="175260"/>
                      <wp:effectExtent l="0" t="0" r="0" b="0"/>
                      <wp:wrapNone/>
                      <wp:docPr id="239" name="Frame239"/>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48310" cy="175260"/>
                      <wp:effectExtent l="0" t="0" r="0" b="0"/>
                      <wp:wrapNone/>
                      <wp:docPr id="242" name="Frame24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57810" cy="175260"/>
                      <wp:effectExtent l="0" t="0" r="0" b="0"/>
                      <wp:wrapNone/>
                      <wp:docPr id="243" name="Frame2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48310" cy="175260"/>
                      <wp:effectExtent l="0" t="0" r="0" b="0"/>
                      <wp:wrapNone/>
                      <wp:docPr id="245" name="Frame24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57810" cy="175260"/>
                      <wp:effectExtent l="0" t="0" r="0" b="0"/>
                      <wp:wrapNone/>
                      <wp:docPr id="246" name="Frame24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48310" cy="175260"/>
                      <wp:effectExtent l="0" t="0" r="0" b="0"/>
                      <wp:wrapNone/>
                      <wp:docPr id="248" name="Frame24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29285" cy="175260"/>
                      <wp:effectExtent l="0" t="0" r="0" b="0"/>
                      <wp:wrapNone/>
                      <wp:docPr id="250" name="Frame25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0185" cy="175260"/>
                      <wp:effectExtent l="0" t="0" r="0" b="0"/>
                      <wp:wrapNone/>
                      <wp:docPr id="251" name="Frame25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4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31" w:type="dxa"/>
            <w:tcBorders/>
            <w:vAlign w:val="center"/>
          </w:tcPr>
          <w:p>
            <w:pPr>
              <w:pStyle w:val="TableContents"/>
              <w:bidi w:val="0"/>
              <w:spacing w:before="0" w:after="1"/>
              <w:ind w:left="0" w:right="0" w:hanging="0"/>
              <w:jc w:val="center"/>
              <w:rPr/>
            </w:pPr>
            <w:r>
              <w:rPr/>
              <w:t> </w: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406" w:type="dxa"/>
            <w:tcBorders/>
            <w:vAlign w:val="center"/>
          </w:tcPr>
          <w:p>
            <w:pPr>
              <w:pStyle w:val="TableContents"/>
              <w:bidi w:val="0"/>
              <w:spacing w:before="0" w:after="1"/>
              <w:ind w:left="0" w:right="0" w:hanging="0"/>
              <w:jc w:val="left"/>
              <w:rPr/>
            </w:pPr>
            <w:r>
              <w:rPr/>
              <w:t>​</w:t>
            </w:r>
          </w:p>
        </w:tc>
        <w:tc>
          <w:tcPr>
            <w:tcW w:w="225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Increase / (Decrease)</w:t>
            </w:r>
          </w:p>
        </w:tc>
        <w:tc>
          <w:tcPr>
            <w:tcW w:w="331" w:type="dxa"/>
            <w:tcBorders/>
            <w:vAlign w:val="center"/>
          </w:tcPr>
          <w:p>
            <w:pPr>
              <w:pStyle w:val="TableContents"/>
              <w:bidi w:val="0"/>
              <w:spacing w:before="0" w:after="1"/>
              <w:ind w:left="0" w:right="0" w:hanging="0"/>
              <w:jc w:val="center"/>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40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40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Dollars</w:t>
            </w:r>
          </w:p>
        </w:tc>
        <w:tc>
          <w:tcPr>
            <w:tcW w:w="346" w:type="dxa"/>
            <w:tcBorders/>
            <w:vAlign w:val="center"/>
          </w:tcPr>
          <w:p>
            <w:pPr>
              <w:pStyle w:val="TableContents"/>
              <w:bidi w:val="0"/>
              <w:spacing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Percentage</w:t>
            </w:r>
          </w:p>
        </w:tc>
        <w:tc>
          <w:tcPr>
            <w:tcW w:w="331" w:type="dxa"/>
            <w:tcBorders/>
            <w:vAlign w:val="center"/>
          </w:tcPr>
          <w:p>
            <w:pPr>
              <w:pStyle w:val="TableContents"/>
              <w:bidi w:val="0"/>
              <w:spacing w:before="0" w:after="1"/>
              <w:ind w:left="0" w:right="0" w:hanging="0"/>
              <w:jc w:val="center"/>
              <w:rPr/>
            </w:pPr>
            <w:r>
              <w:rPr/>
              <w:t> </w:t>
            </w:r>
          </w:p>
        </w:tc>
      </w:tr>
      <w:tr>
        <w:trPr/>
        <w:tc>
          <w:tcPr>
            <w:tcW w:w="80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900" w:type="dxa"/>
            <w:gridSpan w:val="10"/>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1"/>
              <w:ind w:left="0" w:right="0" w:hanging="0"/>
              <w:jc w:val="center"/>
              <w:rPr/>
            </w:pPr>
            <w:r>
              <w:rPr/>
              <w:t> </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41,568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38,108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3,460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20,345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20,350</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21,223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17,758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3,465</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i/>
                <w:sz w:val="20"/>
              </w:rPr>
            </w:pPr>
            <w:r>
              <w:rPr>
                <w:rFonts w:ascii="Arial;Helvetica;sans-serif" w:hAnsi="Arial;Helvetica;sans-serif"/>
                <w:i/>
                <w:sz w:val="20"/>
              </w:rPr>
              <w:t>51.1</w:t>
            </w:r>
          </w:p>
        </w:tc>
        <w:tc>
          <w:tcPr>
            <w:tcW w:w="406"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i/>
                <w:sz w:val="20"/>
              </w:rPr>
            </w:pPr>
            <w:r>
              <w:rPr>
                <w:rFonts w:ascii="Arial;Helvetica;sans-serif" w:hAnsi="Arial;Helvetica;sans-serif"/>
                <w:i/>
                <w:sz w:val="20"/>
              </w:rPr>
              <w:t>46.6</w:t>
            </w:r>
          </w:p>
        </w:tc>
        <w:tc>
          <w:tcPr>
            <w:tcW w:w="406"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9,984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(1,884)</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11,404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12,150</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(746)</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(462)</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22,724</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25,816</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(3,092)</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(8,058)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6,557</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31"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2,125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(3,464)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(9,839)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6,375</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tbl>
      <w:tblPr>
        <w:tblW w:w="7227" w:type="dxa"/>
        <w:jc w:val="left"/>
        <w:tblInd w:w="0" w:type="dxa"/>
        <w:tblLayout w:type="fixed"/>
        <w:tblCellMar>
          <w:top w:w="0" w:type="dxa"/>
          <w:left w:w="0" w:type="dxa"/>
          <w:bottom w:w="0" w:type="dxa"/>
          <w:right w:w="0" w:type="dxa"/>
        </w:tblCellMar>
      </w:tblPr>
      <w:tblGrid>
        <w:gridCol w:w="1876"/>
        <w:gridCol w:w="346"/>
        <w:gridCol w:w="211"/>
        <w:gridCol w:w="691"/>
        <w:gridCol w:w="346"/>
        <w:gridCol w:w="886"/>
        <w:gridCol w:w="406"/>
        <w:gridCol w:w="211"/>
        <w:gridCol w:w="691"/>
        <w:gridCol w:w="346"/>
        <w:gridCol w:w="886"/>
        <w:gridCol w:w="331"/>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191260" cy="175260"/>
                      <wp:effectExtent l="0" t="0" r="0" b="0"/>
                      <wp:wrapNone/>
                      <wp:docPr id="252" name="Frame252"/>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38785" cy="175260"/>
                      <wp:effectExtent l="0" t="0" r="0" b="0"/>
                      <wp:wrapNone/>
                      <wp:docPr id="255" name="Frame2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62610" cy="175260"/>
                      <wp:effectExtent l="0" t="0" r="0" b="0"/>
                      <wp:wrapNone/>
                      <wp:docPr id="257" name="Frame25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57810" cy="175260"/>
                      <wp:effectExtent l="0" t="0" r="0" b="0"/>
                      <wp:wrapNone/>
                      <wp:docPr id="258" name="Frame25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38785" cy="175260"/>
                      <wp:effectExtent l="0" t="0" r="0" b="0"/>
                      <wp:wrapNone/>
                      <wp:docPr id="260" name="Frame2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62610" cy="175260"/>
                      <wp:effectExtent l="0" t="0" r="0" b="0"/>
                      <wp:wrapNone/>
                      <wp:docPr id="262" name="Frame26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0185" cy="175260"/>
                      <wp:effectExtent l="0" t="0" r="0" b="0"/>
                      <wp:wrapNone/>
                      <wp:docPr id="263" name="Frame26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7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 by Segment</w:t>
            </w:r>
          </w:p>
        </w:tc>
        <w:tc>
          <w:tcPr>
            <w:tcW w:w="331" w:type="dxa"/>
            <w:tcBorders/>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7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June 30, </w:t>
            </w:r>
          </w:p>
        </w:tc>
        <w:tc>
          <w:tcPr>
            <w:tcW w:w="331" w:type="dxa"/>
            <w:tcBorders/>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06" w:type="dxa"/>
            <w:tcBorders/>
            <w:vAlign w:val="center"/>
          </w:tcPr>
          <w:p>
            <w:pPr>
              <w:pStyle w:val="TableContents"/>
              <w:bidi w:val="0"/>
              <w:spacing w:before="0" w:after="0"/>
              <w:ind w:left="0" w:right="0" w:hanging="0"/>
              <w:jc w:val="left"/>
              <w:rPr/>
            </w:pPr>
            <w:r>
              <w:rPr/>
              <w:t>​</w:t>
            </w:r>
          </w:p>
        </w:tc>
        <w:tc>
          <w:tcPr>
            <w:tcW w:w="2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31" w:type="dxa"/>
            <w:tcBorders/>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722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7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18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14,677</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15,084</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Greenbrook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26,891</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23,024</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8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41,568</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38,108</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Total revenue for the three months ended June 30, 2026 was $41.6 million, an increase of $3.5 million, or 9%, compared to the three months ended June 30, 2025 revenue of $38.1 million.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increase in revenue was primarily driven by higher Greenbrook revenue, which increased $3.9 million, or 17%, to $26.9 million in the second quarter of 2026 from $23.0 million in the second quarter of 2025, reflecting continued contributions from clinics acquired in connection with the Greenbrook transaction and improved revenue cycle management within our Greenbrook segment. The growth was partially offset by a decline in NeuroStar revenue, which decreased $0.4 million to $14.7 million for the three months ended June 30, 2026 from $15.1 million for the three months ended June 30, 2025.</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 of revenues remained relatively consistent at $20.3 million for the three months ended June 30, 2026, compared to $20.4 million for the three months ended June 30, 2025. Gross margin increased from 46.6% for the three months ended June 30, 2025 to 51.1% for the three months ended June 30, 2026. The increase in gross margin was primarily due to sales of unlocked capital systems, which carry a higher average selling price, as well as improved revenue cycle management within the Greenbrook clinics.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Sales and marketing expenses decreased by $1.9 million, or 16.0%, from $11.9 million for the three months ended June 30, 2025 to $10.0 million for the three months ended June 30, 2026. The decrease was primarily driven by lower personnel costs and reduced marketing program spend.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General and administrative expenses decreased by $0.8 million, or 6%, from $12.2 million for the three months ended June 30, 2025 to $11.4 million for the three months ended June 30, 2026. The decrease was due to a decrease in stock based expense within the general and administrative function.</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Research and development expenses decreased by $0.5 million, or 26%, from $1.8 million for the three months ended June 30, 2025 to $1.3 million for the three months ended June 30, 2026. The decrease in research and development was driven by personnel expense.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expense increased by $0.1 million, or 8%, from $2.0 million for the three months ended June 30, 2025 to $2.1 million for the three months ended June 30, 2026, primarily due to a higher outstanding debt balance.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decreased by $0.03 million, or 14%, primarily due to lower interest income earned on the Company's money market accounts and notes receivable.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Comparison of the six months ended June 30, 2026 and 2025</w:t>
      </w:r>
    </w:p>
    <w:tbl>
      <w:tblPr>
        <w:tblW w:w="8747" w:type="dxa"/>
        <w:jc w:val="left"/>
        <w:tblInd w:w="0" w:type="dxa"/>
        <w:tblLayout w:type="fixed"/>
        <w:tblCellMar>
          <w:top w:w="0" w:type="dxa"/>
          <w:left w:w="0" w:type="dxa"/>
          <w:bottom w:w="0" w:type="dxa"/>
          <w:right w:w="0" w:type="dxa"/>
        </w:tblCellMar>
      </w:tblPr>
      <w:tblGrid>
        <w:gridCol w:w="2851"/>
        <w:gridCol w:w="346"/>
        <w:gridCol w:w="211"/>
        <w:gridCol w:w="811"/>
        <w:gridCol w:w="406"/>
        <w:gridCol w:w="211"/>
        <w:gridCol w:w="811"/>
        <w:gridCol w:w="406"/>
        <w:gridCol w:w="211"/>
        <w:gridCol w:w="706"/>
        <w:gridCol w:w="346"/>
        <w:gridCol w:w="991"/>
        <w:gridCol w:w="286"/>
        <w:gridCol w:w="154"/>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810385" cy="175260"/>
                      <wp:effectExtent l="0" t="0" r="0" b="0"/>
                      <wp:wrapNone/>
                      <wp:docPr id="264" name="Frame264"/>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14985" cy="175260"/>
                      <wp:effectExtent l="0" t="0" r="0" b="0"/>
                      <wp:wrapNone/>
                      <wp:docPr id="267" name="Frame26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57810" cy="175260"/>
                      <wp:effectExtent l="0" t="0" r="0" b="0"/>
                      <wp:wrapNone/>
                      <wp:docPr id="268" name="Frame26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14985" cy="175260"/>
                      <wp:effectExtent l="0" t="0" r="0" b="0"/>
                      <wp:wrapNone/>
                      <wp:docPr id="270" name="Frame27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57810" cy="175260"/>
                      <wp:effectExtent l="0" t="0" r="0" b="0"/>
                      <wp:wrapNone/>
                      <wp:docPr id="271" name="Frame27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48310" cy="175260"/>
                      <wp:effectExtent l="0" t="0" r="0" b="0"/>
                      <wp:wrapNone/>
                      <wp:docPr id="273" name="Frame27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29285" cy="175260"/>
                      <wp:effectExtent l="0" t="0" r="0" b="0"/>
                      <wp:wrapNone/>
                      <wp:docPr id="275" name="Frame27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1610" cy="175260"/>
                      <wp:effectExtent l="0" t="0" r="0" b="0"/>
                      <wp:wrapNone/>
                      <wp:docPr id="276" name="Frame27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7790" cy="175260"/>
                      <wp:effectExtent l="0" t="0" r="0" b="0"/>
                      <wp:wrapNone/>
                      <wp:docPr id="277" name="Frame27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5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406" w:type="dxa"/>
            <w:tcBorders/>
            <w:vAlign w:val="center"/>
          </w:tcPr>
          <w:p>
            <w:pPr>
              <w:pStyle w:val="TableContents"/>
              <w:bidi w:val="0"/>
              <w:spacing w:before="0" w:after="1"/>
              <w:ind w:left="0" w:right="0" w:hanging="0"/>
              <w:jc w:val="left"/>
              <w:rPr/>
            </w:pPr>
            <w:r>
              <w:rPr/>
              <w:t>​</w:t>
            </w:r>
          </w:p>
        </w:tc>
        <w:tc>
          <w:tcPr>
            <w:tcW w:w="225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Increase / (Decrease)</w:t>
            </w:r>
          </w:p>
        </w:tc>
        <w:tc>
          <w:tcPr>
            <w:tcW w:w="28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40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40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Dollars</w:t>
            </w:r>
          </w:p>
        </w:tc>
        <w:tc>
          <w:tcPr>
            <w:tcW w:w="346" w:type="dxa"/>
            <w:tcBorders/>
            <w:vAlign w:val="center"/>
          </w:tcPr>
          <w:p>
            <w:pPr>
              <w:pStyle w:val="TableContents"/>
              <w:bidi w:val="0"/>
              <w:spacing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Percentage</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8747"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0" w:type="dxa"/>
            <w:gridSpan w:val="10"/>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76,022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70,083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5,939</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38,645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36,587</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2,058</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37,377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33,496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3,881</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i/>
                <w:sz w:val="20"/>
              </w:rPr>
            </w:pPr>
            <w:r>
              <w:rPr>
                <w:rFonts w:ascii="Arial;Helvetica;sans-serif" w:hAnsi="Arial;Helvetica;sans-serif"/>
                <w:i/>
                <w:sz w:val="20"/>
              </w:rPr>
              <w:t>49.2</w:t>
            </w:r>
          </w:p>
        </w:tc>
        <w:tc>
          <w:tcPr>
            <w:tcW w:w="406"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i/>
                <w:sz w:val="20"/>
              </w:rPr>
            </w:pPr>
            <w:r>
              <w:rPr>
                <w:rFonts w:ascii="Arial;Helvetica;sans-serif" w:hAnsi="Arial;Helvetica;sans-serif"/>
                <w:i/>
                <w:sz w:val="20"/>
              </w:rPr>
              <w:t>47.8</w:t>
            </w:r>
          </w:p>
        </w:tc>
        <w:tc>
          <w:tcPr>
            <w:tcW w:w="406"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20,721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23,867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24,452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25,287</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(835)</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3,414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(714)</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47,873</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52,568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(4,695)</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(10,496)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(19,072)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8,576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4,391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on extinguishment of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539</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(747)</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(14,244)</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8,284</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tbl>
      <w:tblPr>
        <w:tblW w:w="7336" w:type="dxa"/>
        <w:jc w:val="left"/>
        <w:tblInd w:w="0" w:type="dxa"/>
        <w:tblLayout w:type="fixed"/>
        <w:tblCellMar>
          <w:top w:w="0" w:type="dxa"/>
          <w:left w:w="0" w:type="dxa"/>
          <w:bottom w:w="0" w:type="dxa"/>
          <w:right w:w="0" w:type="dxa"/>
        </w:tblCellMar>
      </w:tblPr>
      <w:tblGrid>
        <w:gridCol w:w="1876"/>
        <w:gridCol w:w="346"/>
        <w:gridCol w:w="211"/>
        <w:gridCol w:w="691"/>
        <w:gridCol w:w="346"/>
        <w:gridCol w:w="886"/>
        <w:gridCol w:w="406"/>
        <w:gridCol w:w="211"/>
        <w:gridCol w:w="691"/>
        <w:gridCol w:w="346"/>
        <w:gridCol w:w="886"/>
        <w:gridCol w:w="286"/>
        <w:gridCol w:w="154"/>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191260" cy="175260"/>
                      <wp:effectExtent l="0" t="0" r="0" b="0"/>
                      <wp:wrapNone/>
                      <wp:docPr id="278" name="Frame278"/>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38785" cy="175260"/>
                      <wp:effectExtent l="0" t="0" r="0" b="0"/>
                      <wp:wrapNone/>
                      <wp:docPr id="281" name="Frame2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62610" cy="175260"/>
                      <wp:effectExtent l="0" t="0" r="0" b="0"/>
                      <wp:wrapNone/>
                      <wp:docPr id="283" name="Frame2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57810" cy="175260"/>
                      <wp:effectExtent l="0" t="0" r="0" b="0"/>
                      <wp:wrapNone/>
                      <wp:docPr id="284" name="Frame28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38785" cy="175260"/>
                      <wp:effectExtent l="0" t="0" r="0" b="0"/>
                      <wp:wrapNone/>
                      <wp:docPr id="286" name="Frame2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62610" cy="175260"/>
                      <wp:effectExtent l="0" t="0" r="0" b="0"/>
                      <wp:wrapNone/>
                      <wp:docPr id="288" name="Frame28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81610" cy="175260"/>
                      <wp:effectExtent l="0" t="0" r="0" b="0"/>
                      <wp:wrapNone/>
                      <wp:docPr id="289" name="Frame28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97790" cy="175260"/>
                      <wp:effectExtent l="0" t="0" r="0" b="0"/>
                      <wp:wrapNone/>
                      <wp:docPr id="290" name="Frame29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7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 by Segment</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7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406" w:type="dxa"/>
            <w:tcBorders/>
            <w:vAlign w:val="center"/>
          </w:tcPr>
          <w:p>
            <w:pPr>
              <w:pStyle w:val="TableContents"/>
              <w:bidi w:val="0"/>
              <w:spacing w:before="0" w:after="1"/>
              <w:ind w:left="0" w:right="0" w:hanging="0"/>
              <w:jc w:val="left"/>
              <w:rPr/>
            </w:pPr>
            <w:r>
              <w:rPr/>
              <w:t>​</w:t>
            </w:r>
          </w:p>
        </w:tc>
        <w:tc>
          <w:tcPr>
            <w:tcW w:w="21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733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7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8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NeuroStar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27,602</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28,400</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Greenbrook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48,420</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41,683</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18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76,022</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70,083</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Total revenue for the six months ended June 30, 2026 was $76.0 million, an increase of 8% compared to the six months ended June 30, 2025 revenue of $70.1 million.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increase in revenue was primarily driven by higher Greenbrook revenue, which increased $6.7 million, or 16%, to $48.4 million for the six months ended June 30, 2026 from $41.7 million for the six months ended June 30, 2025. The increase in Greenbrook revenue was primarily attributable to contributions from clinics acquired in connection with the Greenbrook transaction, as well as continued growth in clinic operations and improved revenue cycle management within the Greenbrook segment. This growth was partially offset by a decrease in NeuroStar revenue, which declined $0.8 million, or 3%, to $27.6 million for the six months ended June 30, 2026 from $28.4 million for the six months ended June 30, 2025. Greenbrook revenue represented 64% of total revenue for the six months ended June 30, 2026 compared to 59% for the six months ended June 30, 2025, while NeuroStar revenue represented 36% of total revenue compared to 41% in the prior-year period.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Cost of revenues increased by $2.0 million, or 6%, from $36.6 million for the six months ended June 30, 2025 to $38.6 million for the six months ended June 30, 2026. Gross margin increased from 47.8% for the six months ended June 30, 2025 to 49.2% for the six months ended June 30, 2026. The increase in gross margin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was primarily due to sales of unlocked capital systems, which carry a higher average selling price, as well as improved revenue cycle management within the Greenbrook clinics.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Sales and marketing expenses decreased by $3.2 million, or 13%, from $23.9 million for the six months ended June 30, 2025 to $20.7 million for the six months ended June 30, 2026. The decrease was primarily driven by lower personnel costs, reduced marketing program spend, and a favorable bad debt adjustment related to the current expected credit loss reserve.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General and administrative expenses decreased by $0.8 million, or 3%, from $25.3 million for the six months ended June 30, 2025 to $24.5 million for the six months ended June 30, 2026. The decrease was due to a decrease in stock based expense within the general and administrative function.</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Research and development expenses decreased by $0.7 million, or 21%, from $3.4 million for the six months ended June 30, 2025 to $2.7 million for the six months ended June 30, 2026. The decrease in research and development was primarily driven by lower personnel expense.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expense increased by $0.5 million, or 13%, from $3.9 million for the six months ended June 30, 2025 to $4.4 million for the six months ended June 30, 2026, primarily due to a higher outstanding debt balance.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Loss on extinguishment of debt</w:t>
      </w:r>
    </w:p>
    <w:p>
      <w:pPr>
        <w:pStyle w:val="TextBody"/>
        <w:bidi w:val="0"/>
        <w:spacing w:before="0" w:after="200"/>
        <w:ind w:left="0" w:right="0" w:hanging="0"/>
        <w:jc w:val="left"/>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Loss on extinguishment of debt amounting to $0.5 million was recorded during the six months ended June 30, 2026, related to the Perceptive Facility. This included $0.3 million of early prepayment fees and $0.2 million of deferred financing expense related to extinguishment of debt.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increased by $0.8 million, or 172%, from $0.4 million for the six months ended June 30, 2025 to $1.2 million for the six months ended June 30, 2026, primarily due to higher interest income earned on the Company's money market accounts, notes receivable and ERC payments.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Overview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June 30, 2026, we had cash and cash equivalents of $19.2 million and an accumulated deficit of $473.2 million, compared to cash and cash equivalents of $28.1 million and an accumulated deficit of $458.8 million as of December 31, 2025. We incurred negative cash flows from operating activities of $10.4 million and $20.5 million for the six months ended June 30, 2026 and 2025, respectively. The Company has incurred operating losses since its inception, and management anticipates that its operating losses will continue in the near term as the Company continues to invest in sales and marketing and product development activities. The Company’s primary sources of capital to date have been from its initial public offering, borrowings under its credit facility, proceeds from its secondary public offerings of common stock (including, without limitation, the ATM Program), and revenues from Greenbrook and NeuroStar. As of June 30, 2026, the Company had $65.0 million of borrowings outstanding under the Perceptive Facility, which has a final maturity on July 25, 2029. The Perceptive Facility is subject to certain financial covenants including a minimum net revenue covenant that escalates over the term of the Perceptive Facility and a minimum liquidity covenant.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If our cash and cash equivalents and anticipated revenues from Greenbrook and NeuroStar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is subject to certain financial covenants under its credit facility, including a liquidity and quarterly trailing twelve-month minimum revenue covenants. On March 12, 2026, the Company amended the terms of its credit agreement to modify the required quarterly revenue covenants through December 31, 2026 and the liquidity covenants through September 30, 2027. As of June 30, 2026 the Company was in compliance with the financial covenants in accordance with this agreement. The Company currently projects trailing twelve-month revenue for the period ended March 31, 2027 to be below the minimum required revenue for that period as stated in the credit facility agreement. Should the Company not be able to meet its March 31, 2027 minimum revenue covenant, the lender may at that time and at its discretion, call the credit facility. Should the lender call the facility, the Company is not projected to have the liquidity required to meet its requirement to pay off the loan. Therefore, substantial doubt exists about the Company’s ability to continue as a going concern.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Actions within the Company's control to meet its minimum revenue covenant include improvements to its revenue cycle management to increase collections, introducing new treatment options at its clinic locations and pursuing new strategies within its NeuroStar business to accelerate sales growth and optimize its product mix. The Company’s ability to meet its liquidity needs, including meeting future revenue and liquidity covenants, is dependent on growth in existing and acquired product and service lines and the realization of synergies related to its acquisition of Greenbrook. However, at this time, these actions do not fully mitigate the risk related to compliance with the revenue covenant for the March 31, 2027 period. The consolidated financial statements do not include any adjustments that might result from the outcome of this uncertainty.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current and future funding requirements will depend on many factors, including:</w:t>
      </w:r>
    </w:p>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achieve revenue growth and improve operating margins;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the terms and conditions, including covenants, set forth in our credit facility;</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expanding our operations and offerings, including our sales and marketing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improve or maintain coverage and reimbursement arrangements with domestic third-party and government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establishing coverage and reimbursement arrangements from international commercial third-party and government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and cost of the sales and marketing activities associated with, establishing adoption of our products and maintaining or improving our sales to our current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research and development activities, including research and development relating to additional indications of neurohealth disorders;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effect of competing technological and market developments; </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efficiency of our Greenbrook operations;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cost of and delays in product development as a result of any regulatory oversight applicable to our products.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As of June 30, 2026, there were no significant changes to our material cash requirements as set forth in our Annual Report on Form 10-K filed with the SEC on March 17, 2026.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Cash Flows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a summary of our cash flows for the six months ended June 30, 2026 and 2025:</w:t>
      </w:r>
    </w:p>
    <w:p>
      <w:pPr>
        <w:pStyle w:val="TextBody"/>
        <w:bidi w:val="0"/>
        <w:spacing w:before="0" w:after="200"/>
        <w:ind w:left="0" w:right="0" w:hanging="0"/>
        <w:jc w:val="left"/>
        <w:rPr/>
      </w:pPr>
      <w:r>
        <w:rPr/>
        <w:t>​</w:t>
      </w:r>
    </w:p>
    <w:tbl>
      <w:tblPr>
        <w:tblW w:w="8306" w:type="dxa"/>
        <w:jc w:val="left"/>
        <w:tblInd w:w="0" w:type="dxa"/>
        <w:tblLayout w:type="fixed"/>
        <w:tblCellMar>
          <w:top w:w="0" w:type="dxa"/>
          <w:left w:w="0" w:type="dxa"/>
          <w:bottom w:w="0" w:type="dxa"/>
          <w:right w:w="0" w:type="dxa"/>
        </w:tblCellMar>
      </w:tblPr>
      <w:tblGrid>
        <w:gridCol w:w="5416"/>
        <w:gridCol w:w="346"/>
        <w:gridCol w:w="211"/>
        <w:gridCol w:w="811"/>
        <w:gridCol w:w="346"/>
        <w:gridCol w:w="211"/>
        <w:gridCol w:w="811"/>
        <w:gridCol w:w="154"/>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439160" cy="175260"/>
                      <wp:effectExtent l="0" t="0" r="0" b="0"/>
                      <wp:wrapNone/>
                      <wp:docPr id="291" name="Frame291"/>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14985" cy="175260"/>
                      <wp:effectExtent l="0" t="0" r="0" b="0"/>
                      <wp:wrapNone/>
                      <wp:docPr id="294" name="Frame29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14985" cy="175260"/>
                      <wp:effectExtent l="0" t="0" r="0" b="0"/>
                      <wp:wrapNone/>
                      <wp:docPr id="297" name="Frame29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97790" cy="175260"/>
                      <wp:effectExtent l="0" t="0" r="0" b="0"/>
                      <wp:wrapNone/>
                      <wp:docPr id="298" name="Frame29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Six Months Ended June 30, </w:t>
            </w:r>
          </w:p>
        </w:tc>
        <w:tc>
          <w:tcPr>
            <w:tcW w:w="154"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154" w:type="dxa"/>
            <w:tcBorders/>
            <w:vAlign w:val="center"/>
          </w:tcPr>
          <w:p>
            <w:pPr>
              <w:pStyle w:val="TableContents"/>
              <w:bidi w:val="0"/>
              <w:spacing w:before="0" w:after="1"/>
              <w:ind w:left="0" w:right="0" w:hanging="0"/>
              <w:jc w:val="center"/>
              <w:rPr/>
            </w:pPr>
            <w:r>
              <w:rPr/>
              <w:t>​</w:t>
            </w:r>
          </w:p>
        </w:tc>
      </w:tr>
      <w:tr>
        <w:trPr/>
        <w:tc>
          <w:tcPr>
            <w:tcW w:w="830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5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9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154" w:type="dxa"/>
            <w:tcBorders/>
            <w:vAlign w:val="center"/>
          </w:tcPr>
          <w:p>
            <w:pPr>
              <w:pStyle w:val="TableContents"/>
              <w:bidi w:val="0"/>
              <w:spacing w:before="0" w:after="1"/>
              <w:ind w:left="0" w:right="0" w:hanging="0"/>
              <w:jc w:val="center"/>
              <w:rPr/>
            </w:pPr>
            <w:r>
              <w:rPr/>
              <w:t>​</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(20,497)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w:t>
            </w:r>
          </w:p>
        </w:tc>
        <w:tc>
          <w:tcPr>
            <w:tcW w:w="154" w:type="dxa"/>
            <w:tcBorders/>
            <w:vAlign w:val="center"/>
          </w:tcPr>
          <w:p>
            <w:pPr>
              <w:pStyle w:val="TableContents"/>
              <w:bidi w:val="0"/>
              <w:spacing w:before="0" w:after="1"/>
              <w:ind w:left="0" w:right="0" w:hanging="0"/>
              <w:jc w:val="left"/>
              <w:rPr/>
            </w:pPr>
            <w:r>
              <w:rPr/>
              <w:t>​</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18,978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decrease in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(1,990)</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used in Operating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 operating activities for the six months ended June 30, 2026 was $10.4 million, consisting primarily of a net loss of $14.2 million and an unfavorable change in net operating assets and liabilities of $1.3 million, partially offset by non-cash charges of $5.1 million primarily consisting of depreciation and amortization, loss on disposal of property and equipment, non-cash interest expense, share-based compensation and loss on extinguishment of debt. The increase in net operating assets was primarily due to decreases in accrued expenses, an increase inventory, partially offset by a decrease in accounts receivable and prepaid commission.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 operating activities for the six months ended June 30, 2025 was $20.5 million, consisting primarily of a net loss of $22.5 million and an increase in net operating assets of $3.7 million, offset by non-cash charges of $5.7 million primarily consisting of depreciation and amortization and share-based compensation. The increase in net operating assets was primarily due to increases in accounts receivable, and decreases in accounts payable, accrued expenses, prepaid expenses and other assets and prepaid commission expense.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Net Cash used in Investing Activities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 investing activities for the six months ended June 30, 2026 was $0.6 million, which was primarily due to purchases of property and equipment and capitalized software costs, partially offset by proceeds from the sale of property and equipment.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 investing activities for the six months ended June 30, 2025 was $0.5 million, which was attributable to purchases of property and equipment and capitalized software costs.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provided by Financing Activities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Net cash provided by financing activities for the six months ended June 30, 2026 was $1.8 million. This primarily reflected proceeds of $8.0 million from the issuance of common stock under the ATM Program. These inflows were partially offset by the repayment of $5.0 million of long-term debt, repayment of deferred and contingent consideration of $0.3 million, payment of debt extinguishment costs of $0.3 million, payments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of common stock offering issuance costs under the ATM Program of $0.4 million, debt issuance costs of $0.1 million, and distributions to non-controlling interest holders of $0.2 million.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provided by financing activities for the six months ended June 30, 2025 was $19.0 million and primarily consisted of net proceeds from our secondary public offering.</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Indebtedness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 xml:space="preserve">For information regarding the Perceptive Facility, refer to “Debt” in Notes to Interim Consolidated Financial Statements located in Part I – FINANCIAL INFORMATION, Item 1. Financial Statements.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Refer to “Summary of Significant Accounting Policies” and “Recent Accounting Pronouncements” in Notes to Interim Consolidated Financial Statements located in Part I – FINANCIAL INFORMATION, Item 1.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266" w:name="Item3QuantitativeandQualitativeDisclosur"/>
      <w:bookmarkStart w:id="1267" w:name="_b51be4c4_dd55_4a68_8976_5b4174319a77"/>
      <w:bookmarkEnd w:id="1266"/>
      <w:bookmarkEnd w:id="1267"/>
      <w:r>
        <w:rPr>
          <w:rFonts w:ascii="Arial;Helvetica;sans-serif" w:hAnsi="Arial;Helvetica;sans-serif"/>
          <w:b/>
          <w:sz w:val="20"/>
        </w:rPr>
        <w:t>Item 3.     Quantitative and Qualitative Disclosures About Market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Refer to the information described in “Item 7A. Quantitative and Qualitative Disclosures About Market Risk” section of the Company’s Annual Report on Form 10-K filed with the SEC on March 17, 2026. There have been no material changes to our market risk described therein.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continuing to closely monitor macroeconomic impacts, including but not limited to tariffs, developments affecting financial institutions, supply chains, unemployment rates, investment values, consumer confidence, inflationary and potential recessionary pressures, on our business, results of operations and financial results, which could adversely affect us. Although we do not believe inflation or tariffs have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the selling prices of our products do not increase as much or more than our costs increase.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1268" w:name="Item4ControlsandProcedures_938545"/>
      <w:bookmarkStart w:id="1269" w:name="_8bc474c2_5938_4ce4_b26b_4844a495fe74"/>
      <w:bookmarkEnd w:id="1268"/>
      <w:bookmarkEnd w:id="1269"/>
      <w:r>
        <w:rPr>
          <w:rFonts w:ascii="Arial;Helvetica;sans-serif" w:hAnsi="Arial;Helvetica;sans-serif"/>
          <w:b/>
          <w:sz w:val="20"/>
        </w:rPr>
        <w:t>Item 4.     Controls and Procedures.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principal financial and accounting officer, evaluated the effectiveness of our disclosure controls and procedures as of the end of the period covered by this Quarterly Report on Form 10-Q. Based on that evaluation, our principal executive officer and our principal financial and accounting officer concluded that our disclosure controls and procedures were effective at the reasonable assurance level as of June 30, 2026.</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the quarter ended June 30, 2026, there were no changes in our internal control over financial reporting (as defined in Rule 13a-15(f) of the Exchange Act)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1270" w:name="PARTIIOTHERINFORMATION_867954"/>
      <w:bookmarkStart w:id="1271" w:name="_c1180ef0_d305_4716_8154_e05f17986ddd"/>
      <w:bookmarkEnd w:id="1270"/>
      <w:bookmarkEnd w:id="1271"/>
      <w:r>
        <w:rPr>
          <w:rFonts w:ascii="Arial;Helvetica;sans-serif" w:hAnsi="Arial;Helvetica;sans-serif"/>
          <w:b/>
          <w:sz w:val="20"/>
        </w:rPr>
        <w:t>PART II—OTHER INFORMATION</w:t>
      </w:r>
    </w:p>
    <w:p>
      <w:pPr>
        <w:pStyle w:val="TextBody"/>
        <w:bidi w:val="0"/>
        <w:spacing w:before="0" w:after="200"/>
        <w:ind w:left="0" w:right="0" w:hanging="0"/>
        <w:jc w:val="left"/>
        <w:rPr>
          <w:rFonts w:ascii="Arial;Helvetica;sans-serif" w:hAnsi="Arial;Helvetica;sans-serif"/>
          <w:b/>
          <w:sz w:val="20"/>
        </w:rPr>
      </w:pPr>
      <w:bookmarkStart w:id="1272" w:name="Item1LegalProceedings_301773"/>
      <w:bookmarkEnd w:id="1272"/>
      <w:r>
        <w:rPr>
          <w:rFonts w:ascii="Arial;Helvetica;sans-serif" w:hAnsi="Arial;Helvetica;sans-serif"/>
          <w:b/>
          <w:sz w:val="20"/>
        </w:rPr>
        <w:t>Item 1.     Legal Proceedings.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273" w:name="Item1ARiskFactors_843057"/>
      <w:bookmarkStart w:id="1274" w:name="_b8b2084e_fa7a_4539_b26e_aaf9930ac951"/>
      <w:bookmarkEnd w:id="1273"/>
      <w:bookmarkEnd w:id="1274"/>
      <w:r>
        <w:rPr>
          <w:rFonts w:ascii="Arial;Helvetica;sans-serif" w:hAnsi="Arial;Helvetica;sans-serif"/>
          <w:b/>
          <w:sz w:val="20"/>
        </w:rPr>
        <w:t>Item 1A.     Risk Factors.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You should carefully consider the information described in the “Risk Factors” section of the Company’s Annual Report on Form 10 K filed with the SEC on March 17, 2026 and the Company’s Quarterly Report on form 10-Q filed with the SEC on May 5, 2026</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275" w:name="Item2UnregisteredSalesofEquitySecurities"/>
      <w:bookmarkStart w:id="1276" w:name="_525edcd8_e135_47db_9147_563abdfe8214"/>
      <w:bookmarkEnd w:id="1275"/>
      <w:bookmarkEnd w:id="1276"/>
      <w:r>
        <w:rPr>
          <w:rFonts w:ascii="Arial;Helvetica;sans-serif" w:hAnsi="Arial;Helvetica;sans-serif"/>
          <w:b/>
          <w:sz w:val="20"/>
        </w:rPr>
        <w:t>Item 2.     Unregistered Sales of Equity Securities and Use of Proceeds.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277" w:name="Item3DefaultsUponSeniorSecurities_544144"/>
      <w:bookmarkStart w:id="1278" w:name="_f3b11200_25d3_466c_9439_d50dab896701"/>
      <w:bookmarkEnd w:id="1277"/>
      <w:bookmarkEnd w:id="1278"/>
      <w:r>
        <w:rPr>
          <w:rFonts w:ascii="Arial;Helvetica;sans-serif" w:hAnsi="Arial;Helvetica;sans-serif"/>
          <w:b/>
          <w:sz w:val="20"/>
        </w:rPr>
        <w:t>Item 3.     Defaults Upon Senior Securities.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279" w:name="Item4MineSafetyDisclosures_535317"/>
      <w:bookmarkStart w:id="1280" w:name="_2285d0ed_bcf0_4989_af23_3b4050401da7"/>
      <w:bookmarkEnd w:id="1279"/>
      <w:bookmarkEnd w:id="1280"/>
      <w:r>
        <w:rPr>
          <w:rFonts w:ascii="Arial;Helvetica;sans-serif" w:hAnsi="Arial;Helvetica;sans-serif"/>
          <w:b/>
          <w:sz w:val="20"/>
        </w:rPr>
        <w:t>Item 4.     Mine Safety Disclosures.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281" w:name="Item5OtherInformation_821519"/>
      <w:bookmarkStart w:id="1282" w:name="_1309c0a6_a769_465c_90cc_86e7e702039c"/>
      <w:bookmarkEnd w:id="1281"/>
      <w:bookmarkEnd w:id="1282"/>
      <w:r>
        <w:rPr>
          <w:rFonts w:ascii="Arial;Helvetica;sans-serif" w:hAnsi="Arial;Helvetica;sans-serif"/>
          <w:b/>
          <w:sz w:val="20"/>
        </w:rPr>
        <w:t>Item 5.     Other Information.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1283" w:name="Exhibits"/>
      <w:bookmarkStart w:id="1284" w:name="_6283cc97_d38b_4774_98af_de3fa4ac9399"/>
      <w:bookmarkEnd w:id="1283"/>
      <w:bookmarkEnd w:id="1284"/>
      <w:r>
        <w:rPr>
          <w:rFonts w:ascii="Arial;Helvetica;sans-serif" w:hAnsi="Arial;Helvetica;sans-serif"/>
          <w:b/>
          <w:sz w:val="20"/>
        </w:rPr>
        <w:t>Item 6.     Exhibits.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10"/>
        <w:gridCol w:w="30"/>
        <w:gridCol w:w="31"/>
        <w:gridCol w:w="346"/>
        <w:gridCol w:w="8777"/>
        <w:gridCol w:w="27"/>
        <w:gridCol w:w="184"/>
      </w:tblGrid>
      <w:tr>
        <w:trPr/>
        <w:tc>
          <w:tcPr>
            <w:tcW w:w="871"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53085" cy="175260"/>
                      <wp:effectExtent l="0" t="0" r="0" b="0"/>
                      <wp:wrapNone/>
                      <wp:docPr id="299" name="Frame29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707380" cy="175260"/>
                      <wp:effectExtent l="0" t="0" r="0" b="0"/>
                      <wp:wrapNone/>
                      <wp:docPr id="301" name="Frame301"/>
                      <a:graphic xmlns:a="http://schemas.openxmlformats.org/drawingml/2006/main">
                        <a:graphicData uri="http://schemas.microsoft.com/office/word/2010/wordprocessingShape">
                          <wps:wsp>
                            <wps:cNvSpPr txBox="1"/>
                            <wps:spPr>
                              <a:xfrm>
                                <a:off x="0" y="0"/>
                                <a:ext cx="570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1"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Exhibit</w:t>
              <w:b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988"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Description</w:t>
            </w:r>
          </w:p>
        </w:tc>
      </w:tr>
      <w:tr>
        <w:trPr/>
        <w:tc>
          <w:tcPr>
            <w:tcW w:w="871" w:type="dxa"/>
            <w:gridSpan w:val="3"/>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8" w:type="dxa"/>
            <w:gridSpan w:val="3"/>
            <w:tcBorders/>
            <w:vAlign w:val="center"/>
          </w:tcPr>
          <w:p>
            <w:pPr>
              <w:pStyle w:val="TableContents"/>
              <w:bidi w:val="0"/>
              <w:spacing w:before="0" w:after="0"/>
              <w:ind w:left="0" w:right="0" w:hanging="0"/>
              <w:jc w:val="left"/>
              <w:rPr/>
            </w:pPr>
            <w:r>
              <w:rPr/>
              <w:t>​</w:t>
            </w:r>
          </w:p>
        </w:tc>
      </w:tr>
      <w:tr>
        <w:trPr/>
        <w:tc>
          <w:tcPr>
            <w:tcW w:w="871" w:type="dxa"/>
            <w:gridSpan w:val="3"/>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46" w:type="dxa"/>
            <w:tcBorders/>
            <w:vAlign w:val="center"/>
          </w:tcPr>
          <w:p>
            <w:pPr>
              <w:pStyle w:val="TableContents"/>
              <w:bidi w:val="0"/>
              <w:spacing w:before="0" w:after="0"/>
              <w:ind w:left="0" w:right="0" w:hanging="0"/>
              <w:jc w:val="left"/>
              <w:rPr/>
            </w:pPr>
            <w:r>
              <w:rPr/>
              <w:t>​</w:t>
            </w:r>
          </w:p>
        </w:tc>
        <w:tc>
          <w:tcPr>
            <w:tcW w:w="8988" w:type="dxa"/>
            <w:gridSpan w:val="3"/>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Credit Agreement and Guaranty, dated July 25, 2024, by and among Neuronetics, Inc., as the borrower, certain Subsidiaries of Neuronetics, Inc. from time to time party thereto, as guarantors, the lenders from time to time party thereto, and PERCEPTIVE CREDIT HOLDINGS IV, LP, in its capacity as the administrative agent for the lenders (incorporated by reference to Exhibit 10.1 of the Registrant’s Current Report on Form 8-K filed on July 30, 2024)</w:t>
              </w:r>
            </w:hyperlink>
          </w:p>
        </w:tc>
      </w:tr>
      <w:tr>
        <w:trPr/>
        <w:tc>
          <w:tcPr>
            <w:tcW w:w="871" w:type="dxa"/>
            <w:gridSpan w:val="3"/>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10.2◊</w:t>
            </w:r>
          </w:p>
        </w:tc>
        <w:tc>
          <w:tcPr>
            <w:tcW w:w="346" w:type="dxa"/>
            <w:tcBorders/>
            <w:vAlign w:val="center"/>
          </w:tcPr>
          <w:p>
            <w:pPr>
              <w:pStyle w:val="TableContents"/>
              <w:bidi w:val="0"/>
              <w:spacing w:before="0" w:after="0"/>
              <w:ind w:left="0" w:right="0" w:hanging="0"/>
              <w:jc w:val="left"/>
              <w:rPr/>
            </w:pPr>
            <w:r>
              <w:rPr/>
              <w:t>​</w:t>
            </w:r>
          </w:p>
        </w:tc>
        <w:tc>
          <w:tcPr>
            <w:tcW w:w="8988" w:type="dxa"/>
            <w:gridSpan w:val="3"/>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Consent and Amendment No. 1 to Credit Agreement and Guaranty and Warrant Certificate dated December 9, 2024 (incorporated by reference to Exhibit 10.2 of the Registrant’s Current Report on Form 8-K filed on December 10, 2024)</w:t>
              </w:r>
            </w:hyperlink>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10.3◊</w:t>
            </w:r>
          </w:p>
        </w:tc>
        <w:tc>
          <w:tcPr>
            <w:tcW w:w="377" w:type="dxa"/>
            <w:gridSpan w:val="2"/>
            <w:tcBorders/>
            <w:vAlign w:val="center"/>
          </w:tcPr>
          <w:p>
            <w:pPr>
              <w:pStyle w:val="TableContents"/>
              <w:bidi w:val="0"/>
              <w:spacing w:before="0" w:after="0"/>
              <w:ind w:left="0" w:right="0" w:hanging="0"/>
              <w:jc w:val="left"/>
              <w:rPr/>
            </w:pPr>
            <w:r>
              <w:rPr/>
              <w:t>​</w:t>
            </w:r>
          </w:p>
        </w:tc>
        <w:tc>
          <w:tcPr>
            <w:tcW w:w="8804" w:type="dxa"/>
            <w:gridSpan w:val="2"/>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No. 2 to Credit Agreement and Guaranty by and between the Company, as the borrower, and Perceptive, in its capacities as administrative agent for the lenders and the majority lender dated March 26, 2025 (incorporated by reference to Exhibit 10.52 of the Registrant’s Annual Report on Form 10-K filed on March 27, 2025)</w:t>
              </w:r>
            </w:hyperlink>
          </w:p>
        </w:tc>
        <w:tc>
          <w:tcPr>
            <w:tcW w:w="184" w:type="dxa"/>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77" w:type="dxa"/>
            <w:gridSpan w:val="2"/>
            <w:tcBorders/>
            <w:vAlign w:val="center"/>
          </w:tcPr>
          <w:p>
            <w:pPr>
              <w:pStyle w:val="TableContents"/>
              <w:bidi w:val="0"/>
              <w:spacing w:before="0" w:after="0"/>
              <w:ind w:left="0" w:right="0" w:hanging="0"/>
              <w:jc w:val="left"/>
              <w:rPr/>
            </w:pPr>
            <w:r>
              <w:rPr/>
              <w:t>​</w:t>
            </w:r>
          </w:p>
        </w:tc>
        <w:tc>
          <w:tcPr>
            <w:tcW w:w="8804" w:type="dxa"/>
            <w:gridSpan w:val="2"/>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Amendment No. 3 to Credit Agreement and Guaranty, dated August 1, 2025 (incorporated by reference to Exhibit 10.1 of the Registrant’s Current Report on Form 8-K filed on August 5, 2025)</w:t>
              </w:r>
            </w:hyperlink>
          </w:p>
        </w:tc>
        <w:tc>
          <w:tcPr>
            <w:tcW w:w="184" w:type="dxa"/>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10.5</w:t>
            </w:r>
          </w:p>
        </w:tc>
        <w:tc>
          <w:tcPr>
            <w:tcW w:w="377" w:type="dxa"/>
            <w:gridSpan w:val="2"/>
            <w:tcBorders/>
            <w:vAlign w:val="center"/>
          </w:tcPr>
          <w:p>
            <w:pPr>
              <w:pStyle w:val="TableContents"/>
              <w:bidi w:val="0"/>
              <w:spacing w:before="0" w:after="0"/>
              <w:ind w:left="0" w:right="0" w:hanging="0"/>
              <w:jc w:val="left"/>
              <w:rPr/>
            </w:pPr>
            <w:r>
              <w:rPr/>
              <w:t>​</w:t>
            </w:r>
          </w:p>
        </w:tc>
        <w:tc>
          <w:tcPr>
            <w:tcW w:w="8804" w:type="dxa"/>
            <w:gridSpan w:val="2"/>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Amendment No. 4 to Credit Agreement and Guaranty, dated January 15, 2026 (incorporated by reference to Exhibit 10.1 to the Registrant’s Current Report on Form 8-K filed on January 22, 2026)</w:t>
              </w:r>
            </w:hyperlink>
          </w:p>
        </w:tc>
        <w:tc>
          <w:tcPr>
            <w:tcW w:w="184" w:type="dxa"/>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10.6◊</w:t>
            </w:r>
          </w:p>
        </w:tc>
        <w:tc>
          <w:tcPr>
            <w:tcW w:w="377" w:type="dxa"/>
            <w:gridSpan w:val="2"/>
            <w:tcBorders/>
            <w:vAlign w:val="center"/>
          </w:tcPr>
          <w:p>
            <w:pPr>
              <w:pStyle w:val="TableContents"/>
              <w:bidi w:val="0"/>
              <w:spacing w:before="0" w:after="0"/>
              <w:ind w:left="0" w:right="0" w:hanging="0"/>
              <w:jc w:val="left"/>
              <w:rPr/>
            </w:pPr>
            <w:r>
              <w:rPr/>
              <w:t>​</w:t>
            </w:r>
          </w:p>
        </w:tc>
        <w:tc>
          <w:tcPr>
            <w:tcW w:w="8777"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Amendment No. 5 and Waiver to Credit Agreement and Guaranty, dated March 12, 2026 (incorporated by reference to Exhibit 10.7 to the Registrant’s Annual Report on Form 10-K filed on March 17, 2026).</w:t>
              </w:r>
            </w:hyperlink>
          </w:p>
        </w:tc>
        <w:tc>
          <w:tcPr>
            <w:tcW w:w="211"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10.7</w:t>
            </w:r>
          </w:p>
        </w:tc>
        <w:tc>
          <w:tcPr>
            <w:tcW w:w="377" w:type="dxa"/>
            <w:gridSpan w:val="2"/>
            <w:tcBorders/>
            <w:vAlign w:val="center"/>
          </w:tcPr>
          <w:p>
            <w:pPr>
              <w:pStyle w:val="TableContents"/>
              <w:bidi w:val="0"/>
              <w:spacing w:before="0" w:after="0"/>
              <w:ind w:left="0" w:right="0" w:hanging="0"/>
              <w:jc w:val="left"/>
              <w:rPr/>
            </w:pPr>
            <w:r>
              <w:rPr/>
              <w:t>​</w:t>
            </w:r>
          </w:p>
        </w:tc>
        <w:tc>
          <w:tcPr>
            <w:tcW w:w="8777"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Underwriting Agreement, dated as of February 7, 2025, by and between Neuronetics, Inc. and Canaccord Genuity LLC (incorporated by reference to Exhibit 1.1 to the Company’s Current Report on Form 8-K filed on February 10, 2025).</w:t>
              </w:r>
            </w:hyperlink>
          </w:p>
        </w:tc>
        <w:tc>
          <w:tcPr>
            <w:tcW w:w="211"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10.8</w:t>
            </w:r>
          </w:p>
        </w:tc>
        <w:tc>
          <w:tcPr>
            <w:tcW w:w="377" w:type="dxa"/>
            <w:gridSpan w:val="2"/>
            <w:tcBorders/>
            <w:vAlign w:val="center"/>
          </w:tcPr>
          <w:p>
            <w:pPr>
              <w:pStyle w:val="TableContents"/>
              <w:bidi w:val="0"/>
              <w:spacing w:before="0" w:after="0"/>
              <w:ind w:left="0" w:right="0" w:hanging="0"/>
              <w:jc w:val="left"/>
              <w:rPr/>
            </w:pPr>
            <w:r>
              <w:rPr/>
              <w:t>​</w:t>
            </w:r>
          </w:p>
        </w:tc>
        <w:tc>
          <w:tcPr>
            <w:tcW w:w="8777"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Executive Consulting and Release Agreement by and between the Company and Keith J. Sullivan dated April 1, 2026 (incorporated by reference to Exhibit 10.1 to the Company’s Current Report on Form 8-K filed on April 6, 2026).</w:t>
              </w:r>
            </w:hyperlink>
          </w:p>
        </w:tc>
        <w:tc>
          <w:tcPr>
            <w:tcW w:w="211"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10.9*</w:t>
            </w:r>
          </w:p>
        </w:tc>
        <w:tc>
          <w:tcPr>
            <w:tcW w:w="377" w:type="dxa"/>
            <w:gridSpan w:val="2"/>
            <w:tcBorders/>
            <w:vAlign w:val="center"/>
          </w:tcPr>
          <w:p>
            <w:pPr>
              <w:pStyle w:val="TableContents"/>
              <w:bidi w:val="0"/>
              <w:spacing w:before="0" w:after="0"/>
              <w:ind w:left="0" w:right="0" w:hanging="0"/>
              <w:jc w:val="left"/>
              <w:rPr/>
            </w:pPr>
            <w:r>
              <w:rPr/>
              <w:t>​</w:t>
            </w:r>
          </w:p>
        </w:tc>
        <w:tc>
          <w:tcPr>
            <w:tcW w:w="8777" w:type="dxa"/>
            <w:tcBorders/>
            <w:vAlign w:val="center"/>
          </w:tcPr>
          <w:p>
            <w:pPr>
              <w:pStyle w:val="TableContents"/>
              <w:bidi w:val="0"/>
              <w:spacing w:before="0" w:after="0"/>
              <w:ind w:left="0" w:right="0" w:hanging="0"/>
              <w:jc w:val="left"/>
              <w:rPr/>
            </w:pPr>
            <w:hyperlink w:anchor="stim-20260630xex10d9.htm">
              <w:r>
                <w:rPr>
                  <w:rStyle w:val="InternetLink"/>
                  <w:rFonts w:ascii="Times New Roman;Times;serif" w:hAnsi="Times New Roman;Times;serif"/>
                  <w:b w:val="false"/>
                  <w:i w:val="false"/>
                  <w:caps w:val="false"/>
                  <w:smallCaps w:val="false"/>
                  <w:sz w:val="20"/>
                </w:rPr>
                <w:t>Neuronetics, Inc. 2026 Equity Incentive Plan</w:t>
              </w:r>
            </w:hyperlink>
          </w:p>
        </w:tc>
        <w:tc>
          <w:tcPr>
            <w:tcW w:w="211"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10.10</w:t>
            </w:r>
          </w:p>
        </w:tc>
        <w:tc>
          <w:tcPr>
            <w:tcW w:w="377" w:type="dxa"/>
            <w:gridSpan w:val="2"/>
            <w:tcBorders/>
            <w:vAlign w:val="center"/>
          </w:tcPr>
          <w:p>
            <w:pPr>
              <w:pStyle w:val="TableContents"/>
              <w:bidi w:val="0"/>
              <w:spacing w:before="0" w:after="0"/>
              <w:ind w:left="0" w:right="0" w:hanging="0"/>
              <w:jc w:val="left"/>
              <w:rPr/>
            </w:pPr>
            <w:r>
              <w:rPr/>
              <w:t>​</w:t>
            </w:r>
          </w:p>
        </w:tc>
        <w:tc>
          <w:tcPr>
            <w:tcW w:w="8777"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Offer Letter, effective as of July 10, 2026, by and between the Company and Nir Naor (incorporated by reference to Exhibit 10.1 to the Company’s Current Report on Form 8-K filed on July 20, 2026)</w:t>
              </w:r>
            </w:hyperlink>
          </w:p>
        </w:tc>
        <w:tc>
          <w:tcPr>
            <w:tcW w:w="211"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10"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10.11</w:t>
            </w:r>
          </w:p>
        </w:tc>
        <w:tc>
          <w:tcPr>
            <w:tcW w:w="407" w:type="dxa"/>
            <w:gridSpan w:val="3"/>
            <w:tcBorders/>
            <w:vAlign w:val="center"/>
          </w:tcPr>
          <w:p>
            <w:pPr>
              <w:pStyle w:val="TableContents"/>
              <w:bidi w:val="0"/>
              <w:spacing w:before="0" w:after="0"/>
              <w:ind w:left="0" w:right="0" w:hanging="0"/>
              <w:jc w:val="left"/>
              <w:rPr/>
            </w:pPr>
            <w:r>
              <w:rPr/>
              <w:t>​</w:t>
            </w:r>
          </w:p>
        </w:tc>
        <w:tc>
          <w:tcPr>
            <w:tcW w:w="8777"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Separation Agreement dated July 17, 2026 by and between the Company and W. Andrew Macan (incorporated by reference to Exhibit 10.1 to the Company’s Current Report on Form 8-K filed on July 20, 2026)</w:t>
              </w:r>
            </w:hyperlink>
          </w:p>
        </w:tc>
        <w:tc>
          <w:tcPr>
            <w:tcW w:w="211"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23.1</w:t>
            </w:r>
          </w:p>
        </w:tc>
        <w:tc>
          <w:tcPr>
            <w:tcW w:w="377" w:type="dxa"/>
            <w:gridSpan w:val="2"/>
            <w:tcBorders/>
            <w:vAlign w:val="center"/>
          </w:tcPr>
          <w:p>
            <w:pPr>
              <w:pStyle w:val="TableContents"/>
              <w:bidi w:val="0"/>
              <w:spacing w:before="0" w:after="0"/>
              <w:ind w:left="0" w:right="0" w:hanging="0"/>
              <w:jc w:val="left"/>
              <w:rPr/>
            </w:pPr>
            <w:r>
              <w:rPr/>
              <w:t>​</w:t>
            </w:r>
          </w:p>
        </w:tc>
        <w:tc>
          <w:tcPr>
            <w:tcW w:w="8777"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Consent of Ballard Spahr LLP (incorporated by reference to Exhibit 23.1 to the Registrant’s Current Report on Form 8-K filed on February 10, 2025)</w:t>
              </w:r>
            </w:hyperlink>
            <w:r>
              <w:rPr>
                <w:rFonts w:ascii="Times New Roman;Times;serif" w:hAnsi="Times New Roman;Times;serif"/>
                <w:sz w:val="20"/>
              </w:rPr>
              <w:t>.</w:t>
            </w:r>
          </w:p>
        </w:tc>
        <w:tc>
          <w:tcPr>
            <w:tcW w:w="211"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871" w:type="dxa"/>
            <w:gridSpan w:val="3"/>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46" w:type="dxa"/>
            <w:tcBorders/>
            <w:vAlign w:val="center"/>
          </w:tcPr>
          <w:p>
            <w:pPr>
              <w:pStyle w:val="TableContents"/>
              <w:bidi w:val="0"/>
              <w:spacing w:before="0" w:after="0"/>
              <w:ind w:left="0" w:right="0" w:hanging="0"/>
              <w:jc w:val="left"/>
              <w:rPr/>
            </w:pPr>
            <w:r>
              <w:rPr/>
              <w:t>​</w:t>
            </w:r>
          </w:p>
        </w:tc>
        <w:tc>
          <w:tcPr>
            <w:tcW w:w="8988" w:type="dxa"/>
            <w:gridSpan w:val="3"/>
            <w:tcBorders/>
            <w:vAlign w:val="center"/>
          </w:tcPr>
          <w:p>
            <w:pPr>
              <w:pStyle w:val="TableContents"/>
              <w:bidi w:val="0"/>
              <w:spacing w:before="0" w:after="0"/>
              <w:ind w:left="0" w:right="0" w:hanging="0"/>
              <w:jc w:val="left"/>
              <w:rPr/>
            </w:pPr>
            <w:hyperlink w:anchor="stim-20260630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r>
      <w:tr>
        <w:trPr/>
        <w:tc>
          <w:tcPr>
            <w:tcW w:w="871" w:type="dxa"/>
            <w:gridSpan w:val="3"/>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46" w:type="dxa"/>
            <w:tcBorders/>
            <w:vAlign w:val="center"/>
          </w:tcPr>
          <w:p>
            <w:pPr>
              <w:pStyle w:val="TableContents"/>
              <w:bidi w:val="0"/>
              <w:spacing w:before="0" w:after="0"/>
              <w:ind w:left="0" w:right="0" w:hanging="0"/>
              <w:jc w:val="left"/>
              <w:rPr/>
            </w:pPr>
            <w:r>
              <w:rPr/>
              <w:t>​</w:t>
            </w:r>
          </w:p>
        </w:tc>
        <w:tc>
          <w:tcPr>
            <w:tcW w:w="8988" w:type="dxa"/>
            <w:gridSpan w:val="3"/>
            <w:tcBorders/>
            <w:vAlign w:val="center"/>
          </w:tcPr>
          <w:p>
            <w:pPr>
              <w:pStyle w:val="TableContents"/>
              <w:bidi w:val="0"/>
              <w:spacing w:before="0" w:after="0"/>
              <w:ind w:left="0" w:right="0" w:hanging="0"/>
              <w:jc w:val="left"/>
              <w:rPr/>
            </w:pPr>
            <w:hyperlink w:anchor="stim-20260630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r>
      <w:tr>
        <w:trPr/>
        <w:tc>
          <w:tcPr>
            <w:tcW w:w="871" w:type="dxa"/>
            <w:gridSpan w:val="3"/>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46" w:type="dxa"/>
            <w:tcBorders/>
            <w:vAlign w:val="center"/>
          </w:tcPr>
          <w:p>
            <w:pPr>
              <w:pStyle w:val="TableContents"/>
              <w:bidi w:val="0"/>
              <w:spacing w:before="0" w:after="0"/>
              <w:ind w:left="0" w:right="0" w:hanging="0"/>
              <w:jc w:val="left"/>
              <w:rPr/>
            </w:pPr>
            <w:r>
              <w:rPr/>
              <w:t>​</w:t>
            </w:r>
          </w:p>
        </w:tc>
        <w:tc>
          <w:tcPr>
            <w:tcW w:w="8988" w:type="dxa"/>
            <w:gridSpan w:val="3"/>
            <w:tcBorders/>
            <w:vAlign w:val="center"/>
          </w:tcPr>
          <w:p>
            <w:pPr>
              <w:pStyle w:val="TableContents"/>
              <w:bidi w:val="0"/>
              <w:spacing w:before="0" w:after="0"/>
              <w:ind w:left="0" w:right="0" w:hanging="0"/>
              <w:jc w:val="left"/>
              <w:rPr/>
            </w:pPr>
            <w:hyperlink w:anchor="stim-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71" w:type="dxa"/>
            <w:gridSpan w:val="3"/>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346" w:type="dxa"/>
            <w:tcBorders/>
            <w:vAlign w:val="center"/>
          </w:tcPr>
          <w:p>
            <w:pPr>
              <w:pStyle w:val="TableContents"/>
              <w:bidi w:val="0"/>
              <w:spacing w:before="0" w:after="0"/>
              <w:ind w:left="0" w:right="0" w:hanging="0"/>
              <w:jc w:val="left"/>
              <w:rPr/>
            </w:pPr>
            <w:r>
              <w:rPr/>
              <w:t>​</w:t>
            </w:r>
          </w:p>
        </w:tc>
        <w:tc>
          <w:tcPr>
            <w:tcW w:w="8988" w:type="dxa"/>
            <w:gridSpan w:val="3"/>
            <w:tcBorders/>
            <w:vAlign w:val="center"/>
          </w:tcPr>
          <w:p>
            <w:pPr>
              <w:pStyle w:val="TableContents"/>
              <w:bidi w:val="0"/>
              <w:spacing w:before="0" w:after="0"/>
              <w:ind w:left="0" w:right="0" w:hanging="0"/>
              <w:jc w:val="left"/>
              <w:rPr/>
            </w:pPr>
            <w:hyperlink w:anchor="stim-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77" w:type="dxa"/>
            <w:gridSpan w:val="2"/>
            <w:tcBorders/>
            <w:vAlign w:val="center"/>
          </w:tcPr>
          <w:p>
            <w:pPr>
              <w:pStyle w:val="TableContents"/>
              <w:bidi w:val="0"/>
              <w:spacing w:before="0" w:after="0"/>
              <w:ind w:left="0" w:right="0" w:hanging="0"/>
              <w:jc w:val="left"/>
              <w:rPr/>
            </w:pPr>
            <w:r>
              <w:rPr/>
              <w:t>​</w:t>
            </w:r>
          </w:p>
        </w:tc>
        <w:tc>
          <w:tcPr>
            <w:tcW w:w="880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iXBRL tags are embedded within the Inline XBRL document.</w:t>
            </w:r>
          </w:p>
        </w:tc>
        <w:tc>
          <w:tcPr>
            <w:tcW w:w="184" w:type="dxa"/>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77" w:type="dxa"/>
            <w:gridSpan w:val="2"/>
            <w:tcBorders/>
            <w:vAlign w:val="center"/>
          </w:tcPr>
          <w:p>
            <w:pPr>
              <w:pStyle w:val="TableContents"/>
              <w:bidi w:val="0"/>
              <w:spacing w:before="0" w:after="0"/>
              <w:ind w:left="0" w:right="0" w:hanging="0"/>
              <w:jc w:val="left"/>
              <w:rPr/>
            </w:pPr>
            <w:r>
              <w:rPr/>
              <w:t>​</w:t>
            </w:r>
          </w:p>
        </w:tc>
        <w:tc>
          <w:tcPr>
            <w:tcW w:w="880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c>
          <w:tcPr>
            <w:tcW w:w="184" w:type="dxa"/>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77" w:type="dxa"/>
            <w:gridSpan w:val="2"/>
            <w:tcBorders/>
            <w:vAlign w:val="center"/>
          </w:tcPr>
          <w:p>
            <w:pPr>
              <w:pStyle w:val="TableContents"/>
              <w:bidi w:val="0"/>
              <w:spacing w:before="0" w:after="0"/>
              <w:ind w:left="0" w:right="0" w:hanging="0"/>
              <w:jc w:val="left"/>
              <w:rPr/>
            </w:pPr>
            <w:r>
              <w:rPr/>
              <w:t>​</w:t>
            </w:r>
          </w:p>
        </w:tc>
        <w:tc>
          <w:tcPr>
            <w:tcW w:w="880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c>
          <w:tcPr>
            <w:tcW w:w="184" w:type="dxa"/>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77" w:type="dxa"/>
            <w:gridSpan w:val="2"/>
            <w:tcBorders/>
            <w:vAlign w:val="center"/>
          </w:tcPr>
          <w:p>
            <w:pPr>
              <w:pStyle w:val="TableContents"/>
              <w:bidi w:val="0"/>
              <w:spacing w:before="0" w:after="0"/>
              <w:ind w:left="0" w:right="0" w:hanging="0"/>
              <w:jc w:val="left"/>
              <w:rPr/>
            </w:pPr>
            <w:r>
              <w:rPr/>
              <w:t>​</w:t>
            </w:r>
          </w:p>
        </w:tc>
        <w:tc>
          <w:tcPr>
            <w:tcW w:w="880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 Document</w:t>
            </w:r>
          </w:p>
        </w:tc>
        <w:tc>
          <w:tcPr>
            <w:tcW w:w="184" w:type="dxa"/>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77" w:type="dxa"/>
            <w:gridSpan w:val="2"/>
            <w:tcBorders/>
            <w:vAlign w:val="center"/>
          </w:tcPr>
          <w:p>
            <w:pPr>
              <w:pStyle w:val="TableContents"/>
              <w:bidi w:val="0"/>
              <w:spacing w:before="0" w:after="0"/>
              <w:ind w:left="0" w:right="0" w:hanging="0"/>
              <w:jc w:val="left"/>
              <w:rPr/>
            </w:pPr>
            <w:r>
              <w:rPr/>
              <w:t>​</w:t>
            </w:r>
          </w:p>
        </w:tc>
        <w:tc>
          <w:tcPr>
            <w:tcW w:w="880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 Document</w:t>
            </w:r>
          </w:p>
        </w:tc>
        <w:tc>
          <w:tcPr>
            <w:tcW w:w="184" w:type="dxa"/>
            <w:tcBorders/>
            <w:vAlign w:val="center"/>
          </w:tcPr>
          <w:p>
            <w:pPr>
              <w:pStyle w:val="TableContents"/>
              <w:bidi w:val="0"/>
              <w:spacing w:before="0" w:after="283"/>
              <w:ind w:left="0" w:right="0" w:hanging="0"/>
              <w:jc w:val="left"/>
              <w:rPr>
                <w:sz w:val="4"/>
                <w:szCs w:val="4"/>
              </w:rPr>
            </w:pPr>
            <w:r>
              <w:rPr>
                <w:sz w:val="4"/>
                <w:szCs w:val="4"/>
              </w:rPr>
            </w:r>
          </w:p>
        </w:tc>
      </w:tr>
      <w:tr>
        <w:trPr/>
        <w:tc>
          <w:tcPr>
            <w:tcW w:w="840"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77" w:type="dxa"/>
            <w:gridSpan w:val="2"/>
            <w:tcBorders/>
            <w:vAlign w:val="center"/>
          </w:tcPr>
          <w:p>
            <w:pPr>
              <w:pStyle w:val="TableContents"/>
              <w:bidi w:val="0"/>
              <w:spacing w:before="0" w:after="0"/>
              <w:ind w:left="0" w:right="0" w:hanging="0"/>
              <w:jc w:val="left"/>
              <w:rPr/>
            </w:pPr>
            <w:r>
              <w:rPr/>
              <w:t>​</w:t>
            </w:r>
          </w:p>
        </w:tc>
        <w:tc>
          <w:tcPr>
            <w:tcW w:w="880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1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8440" w:type="dxa"/>
        <w:jc w:val="left"/>
        <w:tblInd w:w="0" w:type="dxa"/>
        <w:tblLayout w:type="fixed"/>
        <w:tblCellMar>
          <w:top w:w="0" w:type="dxa"/>
          <w:left w:w="0" w:type="dxa"/>
          <w:bottom w:w="0" w:type="dxa"/>
          <w:right w:w="0" w:type="dxa"/>
        </w:tblCellMar>
      </w:tblPr>
      <w:tblGrid>
        <w:gridCol w:w="436"/>
        <w:gridCol w:w="109"/>
        <w:gridCol w:w="7741"/>
        <w:gridCol w:w="154"/>
      </w:tblGrid>
      <w:tr>
        <w:trPr/>
        <w:tc>
          <w:tcPr>
            <w:tcW w:w="436"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109" w:type="dxa"/>
            <w:tcBorders/>
            <w:vAlign w:val="center"/>
          </w:tcPr>
          <w:p>
            <w:pPr>
              <w:pStyle w:val="TableContents"/>
              <w:bidi w:val="0"/>
              <w:spacing w:before="0" w:after="0"/>
              <w:ind w:left="0" w:right="0" w:hanging="0"/>
              <w:jc w:val="left"/>
              <w:rPr/>
            </w:pPr>
            <w:r>
              <w:rPr/>
              <w:t>​</w:t>
            </w:r>
          </w:p>
        </w:tc>
        <w:tc>
          <w:tcPr>
            <w:tcW w:w="77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(Formatted as Inline XBRL and contained Exhibit 101).</w:t>
            </w:r>
          </w:p>
        </w:tc>
        <w:tc>
          <w:tcPr>
            <w:tcW w:w="154" w:type="dxa"/>
            <w:tcBorders/>
            <w:vAlign w:val="center"/>
          </w:tcPr>
          <w:p>
            <w:pPr>
              <w:pStyle w:val="TableContents"/>
              <w:bidi w:val="0"/>
              <w:spacing w:before="0" w:after="283"/>
              <w:jc w:val="left"/>
              <w:rPr>
                <w:sz w:val="4"/>
                <w:szCs w:val="4"/>
              </w:rPr>
            </w:pPr>
            <w:r>
              <w:rPr>
                <w:sz w:val="4"/>
                <w:szCs w:val="4"/>
              </w:rPr>
            </w:r>
          </w:p>
        </w:tc>
      </w:tr>
    </w:tbl>
    <w:tbl>
      <w:tblPr>
        <w:tblW w:w="1607" w:type="dxa"/>
        <w:jc w:val="left"/>
        <w:tblInd w:w="0" w:type="dxa"/>
        <w:tblLayout w:type="fixed"/>
        <w:tblCellMar>
          <w:top w:w="0" w:type="dxa"/>
          <w:left w:w="0" w:type="dxa"/>
          <w:bottom w:w="0" w:type="dxa"/>
          <w:right w:w="0" w:type="dxa"/>
        </w:tblCellMar>
      </w:tblPr>
      <w:tblGrid>
        <w:gridCol w:w="196"/>
        <w:gridCol w:w="1411"/>
      </w:tblGrid>
      <w:tr>
        <w:trPr/>
        <w:tc>
          <w:tcPr>
            <w:tcW w:w="196" w:type="dxa"/>
            <w:tcBorders/>
            <w:vAlign w:val="center"/>
          </w:tcPr>
          <w:p>
            <w:pPr>
              <w:pStyle w:val="TableContents"/>
              <w:bidi w:val="0"/>
              <w:spacing w:before="0" w:after="200"/>
              <w:jc w:val="left"/>
              <w:rPr>
                <w:rFonts w:ascii="Arial;Helvetica;sans-serif" w:hAnsi="Arial;Helvetica;sans-serif"/>
                <w:sz w:val="18"/>
              </w:rPr>
            </w:pPr>
            <w:r>
              <w:rPr>
                <w:rFonts w:ascii="Arial;Helvetica;sans-serif" w:hAnsi="Arial;Helvetica;sans-serif"/>
                <w:sz w:val="18"/>
              </w:rPr>
              <w:t>*</w:t>
            </w:r>
          </w:p>
        </w:tc>
        <w:tc>
          <w:tcPr>
            <w:tcW w:w="141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00"/>
              <w:jc w:val="left"/>
              <w:rPr/>
            </w:pPr>
            <w:r>
              <w:rPr/>
              <w:t>◊</w:t>
            </w:r>
          </w:p>
        </w:tc>
        <w:tc>
          <w:tcPr>
            <w:tcW w:w="996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Certain portions of this exhibit have been omitted to preserve the confidentiality of such information. The Company will furnish copies of any such information to the SEC or its staff upon request.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00"/>
              <w:jc w:val="both"/>
              <w:rPr>
                <w:rFonts w:ascii="Arial;Helvetica;sans-serif" w:hAnsi="Arial;Helvetica;sans-serif"/>
                <w:sz w:val="18"/>
              </w:rPr>
            </w:pPr>
            <w:r>
              <w:rPr>
                <w:rFonts w:ascii="Arial;Helvetica;sans-serif" w:hAnsi="Arial;Helvetica;sans-serif"/>
                <w:sz w:val="18"/>
              </w:rPr>
              <w:t>**</w:t>
            </w:r>
          </w:p>
        </w:tc>
        <w:tc>
          <w:tcPr>
            <w:tcW w:w="999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1285" w:name="SIGNATURES_811098"/>
      <w:bookmarkStart w:id="1286" w:name="_6dbc27c9_f442_4a65_8acf_1025821424d5"/>
      <w:bookmarkEnd w:id="1285"/>
      <w:bookmarkEnd w:id="1286"/>
      <w:r>
        <w:rPr>
          <w:rFonts w:ascii="Arial;Helvetica;sans-serif" w:hAnsi="Arial;Helvetica;sans-serif"/>
          <w:b/>
          <w:sz w:val="20"/>
        </w:rPr>
        <w:t>SIGNATURES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requirements of the Exchange Act, the registrant has duly caused this report to be signed on its behalf by the undersigned, thereunto duly authorized.</w:t>
      </w:r>
    </w:p>
    <w:p>
      <w:pPr>
        <w:pStyle w:val="TextBody"/>
        <w:bidi w:val="0"/>
        <w:spacing w:before="0" w:after="200"/>
        <w:ind w:left="0" w:right="0" w:hanging="0"/>
        <w:jc w:val="left"/>
        <w:rPr/>
      </w:pPr>
      <w:r>
        <w:rPr/>
        <w:t>​</w:t>
      </w:r>
    </w:p>
    <w:tbl>
      <w:tblPr>
        <w:tblW w:w="7549" w:type="dxa"/>
        <w:jc w:val="left"/>
        <w:tblInd w:w="0" w:type="dxa"/>
        <w:tblLayout w:type="fixed"/>
        <w:tblCellMar>
          <w:top w:w="0" w:type="dxa"/>
          <w:left w:w="0" w:type="dxa"/>
          <w:bottom w:w="0" w:type="dxa"/>
          <w:right w:w="0" w:type="dxa"/>
        </w:tblCellMar>
      </w:tblPr>
      <w:tblGrid>
        <w:gridCol w:w="2071"/>
        <w:gridCol w:w="346"/>
        <w:gridCol w:w="676"/>
        <w:gridCol w:w="445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15085" cy="175260"/>
                      <wp:effectExtent l="0" t="0" r="0" b="0"/>
                      <wp:wrapNone/>
                      <wp:docPr id="302" name="Frame302"/>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29260" cy="175260"/>
                      <wp:effectExtent l="0" t="0" r="0" b="0"/>
                      <wp:wrapNone/>
                      <wp:docPr id="303" name="Frame3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829560" cy="175260"/>
                      <wp:effectExtent l="0" t="0" r="0" b="0"/>
                      <wp:wrapNone/>
                      <wp:docPr id="304" name="Frame304"/>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32"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NEURONETICS, INC.</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(Registrant)</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11, 2026</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456"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Daniel L. Reuvers</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4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Daniel L. Reuvers</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4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4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11, 2026</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456"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Francis X. Brown III</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4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Francis X. Brown III</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4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Interim Principal Financial and Accounting Officer</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44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240"/>
        <w:ind w:left="0" w:right="0" w:hanging="0"/>
        <w:jc w:val="right"/>
        <w:rPr>
          <w:rFonts w:ascii="Times New Roman;Times;serif" w:hAnsi="Times New Roman;Times;serif"/>
          <w:b/>
          <w:smallCaps/>
          <w:sz w:val="24"/>
        </w:rPr>
      </w:pPr>
      <w:bookmarkStart w:id="1287" w:name="_Hlk224637663"/>
      <w:bookmarkStart w:id="1288" w:name="stim-20260630xex10d9.htm"/>
      <w:bookmarkStart w:id="1289" w:name="ksstim20260630xex10d9"/>
      <w:bookmarkEnd w:id="1287"/>
      <w:bookmarkEnd w:id="1288"/>
      <w:bookmarkEnd w:id="1289"/>
      <w:r>
        <w:rPr>
          <w:rFonts w:ascii="Times New Roman;Times;serif" w:hAnsi="Times New Roman;Times;serif"/>
          <w:b/>
          <w:smallCaps/>
          <w:sz w:val="24"/>
        </w:rPr>
        <w:t>Exhibit 10.9*</w:t>
      </w:r>
      <w:r>
        <w:br w:type="page"/>
      </w:r>
    </w:p>
    <w:p>
      <w:pPr>
        <w:pStyle w:val="TextBody"/>
        <w:bidi w:val="0"/>
        <w:spacing w:before="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Neuronetics, Inc.</w:t>
      </w:r>
    </w:p>
    <w:p>
      <w:pPr>
        <w:pStyle w:val="TextBody"/>
        <w:bidi w:val="0"/>
        <w:spacing w:before="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2026 Equity Incentive Plan</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Adopted by the Board of Directors: March 18, 2026</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Approved by the Stockholders: May 28, 2026</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1.</w:t>
      </w:r>
      <w:r>
        <w:rPr>
          <w:rFonts w:ascii="Times New Roman;Times;serif" w:hAnsi="Times New Roman;Times;serif"/>
          <w:b/>
          <w:smallCaps/>
          <w:sz w:val="24"/>
        </w:rPr>
        <w:t>General.</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(a)Successor to and Continuation of Prior Plan.</w:t>
      </w:r>
      <w:r>
        <w:rPr>
          <w:rFonts w:ascii="Times New Roman;Times;serif" w:hAnsi="Times New Roman;Times;serif"/>
          <w:sz w:val="24"/>
        </w:rPr>
        <w:t xml:space="preserve"> This 2026 Equity Incentive Plan (the “</w:t>
      </w:r>
      <w:r>
        <w:rPr>
          <w:rFonts w:ascii="Times New Roman;Times;serif" w:hAnsi="Times New Roman;Times;serif"/>
          <w:b/>
          <w:i/>
          <w:sz w:val="24"/>
        </w:rPr>
        <w:t>Plan</w:t>
      </w:r>
      <w:r>
        <w:rPr>
          <w:rFonts w:ascii="Times New Roman;Times;serif" w:hAnsi="Times New Roman;Times;serif"/>
          <w:sz w:val="24"/>
        </w:rPr>
        <w:t>”) is intended as the successor to and continuation of the Company’s 2018 Equity Incentive Plan (the “</w:t>
      </w:r>
      <w:r>
        <w:rPr>
          <w:rFonts w:ascii="Times New Roman;Times;serif" w:hAnsi="Times New Roman;Times;serif"/>
          <w:b/>
          <w:i/>
          <w:sz w:val="24"/>
        </w:rPr>
        <w:t>Prior Plan</w:t>
      </w:r>
      <w:r>
        <w:rPr>
          <w:rFonts w:ascii="Times New Roman;Times;serif" w:hAnsi="Times New Roman;Times;serif"/>
          <w:sz w:val="24"/>
        </w:rPr>
        <w:t>”). From and after 12:01 a.m. Eastern Time on the date the Plan is approved by the Company’s stockholders (the “</w:t>
      </w:r>
      <w:r>
        <w:rPr>
          <w:rFonts w:ascii="Times New Roman;Times;serif" w:hAnsi="Times New Roman;Times;serif"/>
          <w:b/>
          <w:i/>
          <w:sz w:val="24"/>
        </w:rPr>
        <w:t>Stockholders</w:t>
      </w:r>
      <w:r>
        <w:rPr>
          <w:rFonts w:ascii="Times New Roman;Times;serif" w:hAnsi="Times New Roman;Times;serif"/>
          <w:sz w:val="24"/>
        </w:rPr>
        <w:t>”; such time and date, the “</w:t>
      </w:r>
      <w:r>
        <w:rPr>
          <w:rFonts w:ascii="Times New Roman;Times;serif" w:hAnsi="Times New Roman;Times;serif"/>
          <w:b/>
          <w:i/>
          <w:sz w:val="24"/>
        </w:rPr>
        <w:t>Stockholder Approval Date</w:t>
      </w:r>
      <w:r>
        <w:rPr>
          <w:rFonts w:ascii="Times New Roman;Times;serif" w:hAnsi="Times New Roman;Times;serif"/>
          <w:sz w:val="24"/>
        </w:rPr>
        <w:t>”), no additional awards will be granted under the Prior Plan. All awards granted on or after the Stockholder Approval Date will be granted under the Plan. All awards granted under the Prior Plan will remain subject to the terms of the Prior Plan. All awards granted under the Company’s Amended and Restated 2003 Stock Incentive Plan will remain subject to the terms of that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Any shares that would otherwise remain available for future grants under the Prior Plan as of the Stockholder Approval Date (the “</w:t>
      </w:r>
      <w:r>
        <w:rPr>
          <w:rFonts w:ascii="Times New Roman;Times;serif" w:hAnsi="Times New Roman;Times;serif"/>
          <w:b/>
          <w:i/>
          <w:sz w:val="24"/>
        </w:rPr>
        <w:t>Prior Plan’s Available Reserve</w:t>
      </w:r>
      <w:r>
        <w:rPr>
          <w:rFonts w:ascii="Times New Roman;Times;serif" w:hAnsi="Times New Roman;Times;serif"/>
          <w:sz w:val="24"/>
        </w:rPr>
        <w:t>”) will cease to be available under the Prior Plan as of the Stockholder Approval Date. Instead, that number of shares of Common Stock equal to the Prior Plan’s Available Reserve will be added to the Share Reserve (as further described in Section 3(a) below) and will be immediately available for grants and issuance pursuant to Stock Awards, up to the maximum number set forth in Section 3(a) below.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In addition, on and after the Stockholder Approval Date, any shares subject, at such time, to outstanding Stock Awards granted under the Prior Plan that (i) expire or terminate for any reason prior to exercise or settlement, (ii) are forfeited because of the failure to meet a contingency or condition required to vest such shares or otherwise return to the Company, or (iii) are reacquired, withheld (or not issued) to satisfy a tax withholding obligation in connection with an award or to satisfy the purchase price or exercise price of a Stock Award (such shares the “</w:t>
      </w:r>
      <w:r>
        <w:rPr>
          <w:rFonts w:ascii="Times New Roman;Times;serif" w:hAnsi="Times New Roman;Times;serif"/>
          <w:b/>
          <w:i/>
          <w:sz w:val="24"/>
        </w:rPr>
        <w:t>Returning Shares</w:t>
      </w:r>
      <w:r>
        <w:rPr>
          <w:rFonts w:ascii="Times New Roman;Times;serif" w:hAnsi="Times New Roman;Times;serif"/>
          <w:sz w:val="24"/>
        </w:rPr>
        <w:t>”), will immediately be added to the Share Reserve (as further described in Section 3(a) below) as and when such shares become Returning Shares, up to the maximum number set forth in Section 3(a) below.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(b)Eligible Award Recipients.</w:t>
      </w:r>
      <w:r>
        <w:rPr>
          <w:rFonts w:ascii="Times New Roman;Times;serif" w:hAnsi="Times New Roman;Times;serif"/>
          <w:sz w:val="24"/>
        </w:rPr>
        <w:t xml:space="preserve"> Employees, Directors and Consultants are eligible to receive Awards.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(c)Available Awards.</w:t>
      </w:r>
      <w:r>
        <w:rPr>
          <w:rFonts w:ascii="Times New Roman;Times;serif" w:hAnsi="Times New Roman;Times;serif"/>
          <w:sz w:val="24"/>
        </w:rPr>
        <w:t xml:space="preserve"> The Plan provides for the grant of the following Awards: (i) Incentive Stock Options, (ii) Nonstatutory Stock Options, (iii) Stock Appreciation Rights, (iv) Restricted Stock Awards, (v) Restricted Stock Unit Awards, (vi) Performance Stock Awards, (vii) Performance Cash Awards, and (viii) Other Stock Awards.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(d)Purpose.</w:t>
      </w:r>
      <w:r>
        <w:rPr>
          <w:rFonts w:ascii="Times New Roman;Times;serif" w:hAnsi="Times New Roman;Times;serif"/>
          <w:sz w:val="24"/>
        </w:rPr>
        <w:t xml:space="preserve"> The Plan, through the grant of Awards, is intended to help the Company secure and retain the services of eligible award recipients, provide incentives for such persons to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exert maximum efforts for the success of the Company and any Affiliate, and provide a means by which the eligible recipients may benefit from increases in value of the Common Stock.</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2.</w:t>
      </w:r>
      <w:r>
        <w:rPr>
          <w:rFonts w:ascii="Times New Roman;Times;serif" w:hAnsi="Times New Roman;Times;serif"/>
          <w:b/>
          <w:smallCaps/>
          <w:sz w:val="24"/>
        </w:rPr>
        <w:t>Administration.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(a)Administration by Board.</w:t>
      </w:r>
      <w:r>
        <w:rPr>
          <w:rFonts w:ascii="Times New Roman;Times;serif" w:hAnsi="Times New Roman;Times;serif"/>
          <w:sz w:val="24"/>
        </w:rPr>
        <w:t xml:space="preserve"> The Board will administer the Plan. The Board may delegate administration of the Plan to a Committee or Committees, as provided in Section 2(c).</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(b)Powers of Board.</w:t>
      </w:r>
      <w:r>
        <w:rPr>
          <w:rFonts w:ascii="Times New Roman;Times;serif" w:hAnsi="Times New Roman;Times;serif"/>
          <w:sz w:val="24"/>
        </w:rPr>
        <w:t xml:space="preserve"> The Board will have the power, subject to, and within the limitations of, the express provisions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To settle all controversies regarding the Plan and Awards granted under it.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To accelerate, in whole or in part, the time at which an Award may be exercised or vest (or the time at which cash or shares of Common Stock may be issued in settlement thereof).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w:t>
      </w:r>
      <w:r>
        <w:rPr>
          <w:rFonts w:ascii="Times New Roman;Times;serif" w:hAnsi="Times New Roman;Times;serif"/>
          <w:sz w:val="24"/>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(vi)</w:t>
      </w:r>
      <w:r>
        <w:rPr>
          <w:rFonts w:ascii="Times New Roman;Times;serif" w:hAnsi="Times New Roman;Times;serif"/>
          <w:sz w:val="24"/>
        </w:rPr>
        <w:t xml:space="preserve">To amend the Plan in any respect the Board deems necessary or advisable, including, without limitation, by adopting amendments relating to Incentive Stock Options and certain nonqualified deferred compensation under Section 409A of the Code 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the Stockholders’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(vii)</w:t>
      </w:r>
      <w:r>
        <w:rPr>
          <w:rFonts w:ascii="Times New Roman;Times;serif" w:hAnsi="Times New Roman;Times;serif"/>
          <w:sz w:val="24"/>
        </w:rPr>
        <w:t>To submit any amendment to the Plan for the Stockholders’ approval, including, but not limited to, amendments to the Plan intended to satisfy the requirements of (A) Section 422 of the Code regarding “incentive stock options” or (B) Rule 16b-3.</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(viii)</w:t>
      </w:r>
      <w:r>
        <w:rPr>
          <w:rFonts w:ascii="Times New Roman;Times;serif" w:hAnsi="Times New Roman;Times;serif"/>
          <w:sz w:val="24"/>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(ix)</w:t>
      </w:r>
      <w:r>
        <w:rPr>
          <w:rFonts w:ascii="Times New Roman;Times;serif" w:hAnsi="Times New Roman;Times;serif"/>
          <w:sz w:val="24"/>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(x)</w:t>
      </w:r>
      <w:r>
        <w:rPr>
          <w:rFonts w:ascii="Times New Roman;Times;serif" w:hAnsi="Times New Roman;Times;serif"/>
          <w:sz w:val="24"/>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(xi)</w:t>
      </w:r>
      <w:r>
        <w:rPr>
          <w:rFonts w:ascii="Times New Roman;Times;serif" w:hAnsi="Times New Roman;Times;serif"/>
          <w:sz w:val="24"/>
        </w:rPr>
        <w:t>To grant new Stock Awards in exchange for outstanding Stock Awards; provided, however, the Board shall not have the right to: (i) lower the exercise price of an existing Option or strike price of an existing Stock Appreciation Right; (ii) take any action that would be treated as a “repricing” under generally accepted accounting principles; or (iii) cancel an existing Option or Stock Appreciation Right at a time when its exercise price or strike price exceeds the Fair Market Value of the underlying stock subject to such Option or Stock Appreciation Right in exchange for another Stock Award, including cash or other equity in the Company.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(c)Delegation to Committee.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(i)General.</w:t>
      </w:r>
      <w:r>
        <w:rPr>
          <w:rFonts w:ascii="Times New Roman;Times;serif" w:hAnsi="Times New Roman;Times;serif"/>
          <w:sz w:val="24"/>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the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(ii)Rule 16b-3 Compliance.</w:t>
      </w:r>
      <w:r>
        <w:rPr>
          <w:rFonts w:ascii="Times New Roman;Times;serif" w:hAnsi="Times New Roman;Times;serif"/>
          <w:sz w:val="24"/>
        </w:rPr>
        <w:t xml:space="preserve"> The Committee may consist solely of two or more Non-Employee Directors in accordance with Rule 16b-3.</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(d)Delegation to an Officer.</w:t>
      </w:r>
      <w:r>
        <w:rPr>
          <w:rFonts w:ascii="Times New Roman;Times;serif" w:hAnsi="Times New Roman;Times;serif"/>
          <w:sz w:val="24"/>
        </w:rPr>
        <w:t xml:space="preserve"> The Board may delegate to one (1) or more Officers the authority to do one or both of the following (i) designate 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provided, however,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(e)Effect of Board’s Decision.</w:t>
      </w:r>
      <w:r>
        <w:rPr>
          <w:rFonts w:ascii="Times New Roman;Times;serif" w:hAnsi="Times New Roman;Times;serif"/>
          <w:sz w:val="24"/>
        </w:rPr>
        <w:t xml:space="preserve"> All determinations, interpretations and constructions made by the Board in good faith will not be subject to review by any person and will be final, binding and conclusive on all persons.</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3.</w:t>
      </w:r>
      <w:r>
        <w:rPr>
          <w:rFonts w:ascii="Times New Roman;Times;serif" w:hAnsi="Times New Roman;Times;serif"/>
          <w:b/>
          <w:smallCaps/>
          <w:sz w:val="24"/>
        </w:rPr>
        <w:t>Shares Subject to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(a)Share Reserve. </w:t>
      </w:r>
      <w:r>
        <w:rPr>
          <w:rFonts w:ascii="Times New Roman;Times;serif" w:hAnsi="Times New Roman;Times;serif"/>
          <w:sz w:val="24"/>
        </w:rPr>
        <w:t>Subject to Section 9(a) relating to Capitalization Adjustments, and the following sentence regarding the annual increase, the aggregate number of shares of Common Stock that may be issued pursuant to Stock Awards will not exceed the sum of (i) 5,780,542 shares, which is the number of shares subject to the Prior Plan’s Available Reserve, plus (ii) the number of shares that are Returning Shares, as such shares become available from time to time (collectively, the “</w:t>
      </w:r>
      <w:r>
        <w:rPr>
          <w:rFonts w:ascii="Times New Roman;Times;serif" w:hAnsi="Times New Roman;Times;serif"/>
          <w:b/>
          <w:i/>
          <w:sz w:val="24"/>
        </w:rPr>
        <w:t>Share Reserve</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In addition, the Share Reserve will automatically increase on January 1st of each year, for a period of not more than ten years, commencing on January 1st of the year following the year in which the Stockholder Approval Date occurs and ending on (and including) January 1, 2036, in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an amount equal to 4% of the total number of shares of Capital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Common Stock than would otherwise occur pursuant to the preceding sentence.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(b)Reversion of Shares to the Share Reserve. </w:t>
      </w:r>
      <w:r>
        <w:rPr>
          <w:rFonts w:ascii="Times New Roman;Times;serif" w:hAnsi="Times New Roman;Times;serif"/>
          <w:sz w:val="24"/>
        </w:rPr>
        <w:t>If a Stock Award or any portion thereof (i) expires or otherwise terminates without all of the shares covered by such Stock Award having been issued or (ii) is settled in cash (i.e.,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(c)Incentive Stock Option Limit. </w:t>
      </w:r>
      <w:r>
        <w:rPr>
          <w:rFonts w:ascii="Times New Roman;Times;serif" w:hAnsi="Times New Roman;Times;serif"/>
          <w:sz w:val="24"/>
        </w:rPr>
        <w:t>Subject to the provisions of Section 9(a) relating to Capitalization Adjustments, the aggregate maximum number of shares of Common Stock that may be issued pursuant to the exercise of Incentive Stock Options will be 5,780,542 shares of Common Stock.</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(d)Limitation on Grants to Non-Employee Directors. </w:t>
      </w:r>
      <w:r>
        <w:rPr>
          <w:rFonts w:ascii="Times New Roman;Times;serif" w:hAnsi="Times New Roman;Times;serif"/>
          <w:sz w:val="24"/>
        </w:rPr>
        <w:t>The maximum number of shares of Common Stock subject to Stock Awards granted under the Plan or otherwise during any one calendar year to any Non-Employee Director, taken together with any cash fees paid by the Company to such Non-Employee Director during such calendar year for service on the Board, will not exceed $750,000 in total value (calculating the value of any such Stock Awards based on the grant date fair value of such Stock Awards for financial reporting purposes), or, with respect to the calendar year in which a Non-Employee Director is first appointed or elected to the Board, $1,000,000.</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(e)Source of Shares.</w:t>
      </w:r>
      <w:r>
        <w:rPr>
          <w:rFonts w:ascii="Times New Roman;Times;serif" w:hAnsi="Times New Roman;Times;serif"/>
          <w:sz w:val="24"/>
        </w:rPr>
        <w:t xml:space="preserve"> The stock issuable under the Plan will be shares of authorized but unissued or reacquired Common Stock, including shares repurchased by the Company on the open market or otherwise.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4.</w:t>
      </w:r>
      <w:r>
        <w:rPr>
          <w:rFonts w:ascii="Times New Roman;Times;serif" w:hAnsi="Times New Roman;Times;serif"/>
          <w:b/>
          <w:smallCaps/>
          <w:sz w:val="24"/>
        </w:rPr>
        <w:t>Eligibility.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(a)Eligibility for Specific Stock Awards</w:t>
      </w:r>
      <w:r>
        <w:rPr>
          <w:rFonts w:ascii="Times New Roman;Times;serif" w:hAnsi="Times New Roman;Times;serif"/>
          <w:sz w:val="24"/>
        </w:rPr>
        <w:t>. 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(b)Ten Percent Stockholders.</w:t>
      </w:r>
      <w:r>
        <w:rPr>
          <w:rFonts w:ascii="Times New Roman;Times;serif" w:hAnsi="Times New Roman;Times;serif"/>
          <w:sz w:val="24"/>
        </w:rPr>
        <w:t xml:space="preserve"> A Ten Percent Stockholder will not be granted an Incentive Stock Option unless the exercise price of such Option is at least 110% of the Fair Market Value on the date of grant and the Option is not exercisable after the expiration of five years from the date of grant.</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5.</w:t>
      </w:r>
      <w:r>
        <w:rPr>
          <w:rFonts w:ascii="Times New Roman;Times;serif" w:hAnsi="Times New Roman;Times;serif"/>
          <w:b/>
          <w:smallCaps/>
          <w:sz w:val="24"/>
        </w:rPr>
        <w:t>Provisions Relating to Options and Stock Appreciation Rights.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provided, however, that each Award Agreement will conform to (through incorporation of provisions hereof by reference in the applicable Award Agreement or otherwise) the substance of each of the following provisions: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(a)Term.</w:t>
      </w:r>
      <w:r>
        <w:rPr>
          <w:rFonts w:ascii="Times New Roman;Times;serif" w:hAnsi="Times New Roman;Times;serif"/>
          <w:sz w:val="24"/>
        </w:rPr>
        <w:t xml:space="preserve"> Subject to the provisions of Section 4(b) regarding Ten Percent Stockholders, no Option or SAR will be exercisable after the expiration of ten years from the date of its grant or such shorter period specified in the Award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(b)Exercise Price.</w:t>
      </w:r>
      <w:r>
        <w:rPr>
          <w:rFonts w:ascii="Times New Roman;Times;serif" w:hAnsi="Times New Roman;Times;serif"/>
          <w:sz w:val="24"/>
        </w:rPr>
        <w:t xml:space="preserve"> Subject to the provisions of Section 4(b) regarding Ten Percent Stockholders, the exercise or strike 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the provisions of Section 409A of the Code and, if applicable, Section 424(a) of the Code. Each SAR will be denominated in shares of Common Stock equivalents.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(c)Purchase Price for Options.</w:t>
      </w:r>
      <w:r>
        <w:rPr>
          <w:rFonts w:ascii="Times New Roman;Times;serif" w:hAnsi="Times New Roman;Times;serif"/>
          <w:sz w:val="24"/>
        </w:rPr>
        <w:t xml:space="preserve"> 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by cash, check, bank draft or money order payable to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by delivery to the Company (either by actual delivery or attestation) of shares of Common Stock;</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w:t>
      </w:r>
      <w:r>
        <w:rPr>
          <w:rFonts w:ascii="Times New Roman;Times;serif" w:hAnsi="Times New Roman;Times;serif"/>
          <w:sz w:val="24"/>
        </w:rPr>
        <w:t>in any other form of legal consideration that may be acceptable to the Board and specified in the applicable Award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(d)Exercise and Payment of a SAR.</w:t>
      </w:r>
      <w:r>
        <w:rPr>
          <w:rFonts w:ascii="Times New Roman;Times;serif" w:hAnsi="Times New Roman;Times;serif"/>
          <w:sz w:val="24"/>
        </w:rPr>
        <w:t xml:space="preserve"> 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(e)Transferability of Options and SARs.</w:t>
      </w:r>
      <w:r>
        <w:rPr>
          <w:rFonts w:ascii="Times New Roman;Times;serif" w:hAnsi="Times New Roman;Times;serif"/>
          <w:sz w:val="24"/>
        </w:rPr>
        <w:t xml:space="preserve"> 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(i)Restrictions on Transfer.</w:t>
      </w:r>
      <w:r>
        <w:rPr>
          <w:rFonts w:ascii="Times New Roman;Times;serif" w:hAnsi="Times New Roman;Times;serif"/>
          <w:sz w:val="24"/>
        </w:rPr>
        <w:t xml:space="preserve"> 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(ii)Domestic Relations Orders.</w:t>
      </w:r>
      <w:r>
        <w:rPr>
          <w:rFonts w:ascii="Times New Roman;Times;serif" w:hAnsi="Times New Roman;Times;serif"/>
          <w:sz w:val="24"/>
        </w:rPr>
        <w:t xml:space="preserve"> 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(iii)Beneficiary Designation.</w:t>
      </w:r>
      <w:r>
        <w:rPr>
          <w:rFonts w:ascii="Times New Roman;Times;serif" w:hAnsi="Times New Roman;Times;serif"/>
          <w:sz w:val="24"/>
        </w:rPr>
        <w:t xml:space="preserve"> Subject to the approval of the Board or a duly authorized Officer, a Participant 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(f)Vesting Generally.</w:t>
      </w:r>
      <w:r>
        <w:rPr>
          <w:rFonts w:ascii="Times New Roman;Times;serif" w:hAnsi="Times New Roman;Times;serif"/>
          <w:sz w:val="24"/>
        </w:rPr>
        <w:t xml:space="preserve"> 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(g)Termination of Continuous Service.</w:t>
      </w:r>
      <w:r>
        <w:rPr>
          <w:rFonts w:ascii="Times New Roman;Times;serif" w:hAnsi="Times New Roman;Times;serif"/>
          <w:sz w:val="24"/>
        </w:rPr>
        <w:t xml:space="preserve"> 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 in the applicable Award Agreement), and (ii) the expiration of the term of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Option or SAR as set forth in the Award Agreement. If, after termination of Continuous Service, the Participant does not exercise his or her Option or SAR (as applicable) within the applicable time frame, the Option or SAR will terminate.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(h)Extension of Termination Date.</w:t>
      </w:r>
      <w:r>
        <w:rPr>
          <w:rFonts w:ascii="Times New Roman;Times;serif" w:hAnsi="Times New Roman;Times;serif"/>
          <w:sz w:val="24"/>
        </w:rPr>
        <w:t xml:space="preserve">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(i)Disability of Participant.</w:t>
      </w:r>
      <w:r>
        <w:rPr>
          <w:rFonts w:ascii="Times New Roman;Times;serif" w:hAnsi="Times New Roman;Times;serif"/>
          <w:sz w:val="24"/>
        </w:rPr>
        <w:t xml:space="preserve"> 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(j)Death of Participant.</w:t>
      </w:r>
      <w:r>
        <w:rPr>
          <w:rFonts w:ascii="Times New Roman;Times;serif" w:hAnsi="Times New Roman;Times;serif"/>
          <w:sz w:val="24"/>
        </w:rPr>
        <w:t xml:space="preserve"> 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(k)Termination for Cause.</w:t>
      </w:r>
      <w:r>
        <w:rPr>
          <w:rFonts w:ascii="Times New Roman;Times;serif" w:hAnsi="Times New Roman;Times;serif"/>
          <w:sz w:val="24"/>
        </w:rPr>
        <w:t xml:space="preserve"> Except as explicitly provided otherwise in a Participant’s Award Agreement or other individual written agreement 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(l)Non-Exempt Employees</w:t>
      </w:r>
      <w:r>
        <w:rPr>
          <w:rFonts w:ascii="Times New Roman;Times;serif" w:hAnsi="Times New Roman;Times;serif"/>
          <w:sz w:val="24"/>
        </w:rPr>
        <w:t>. If an Option or SAR is granted to an Employee who is a non-exempt employee for purposes of the 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or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6.</w:t>
      </w:r>
      <w:r>
        <w:rPr>
          <w:rFonts w:ascii="Times New Roman;Times;serif" w:hAnsi="Times New Roman;Times;serif"/>
          <w:b/>
          <w:smallCaps/>
          <w:sz w:val="24"/>
        </w:rPr>
        <w:t>Provisions of Stock Awards Other Than Options and SARs.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(a)Restricted Stock Awards.</w:t>
      </w:r>
      <w:r>
        <w:rPr>
          <w:rFonts w:ascii="Times New Roman;Times;serif" w:hAnsi="Times New Roman;Times;serif"/>
          <w:sz w:val="24"/>
        </w:rPr>
        <w:t xml:space="preserve"> Each Restricted Stock Award Agreement will be in such form and will contain such terms and 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(i)Consideration.</w:t>
      </w:r>
      <w:r>
        <w:rPr>
          <w:rFonts w:ascii="Times New Roman;Times;serif" w:hAnsi="Times New Roman;Times;serif"/>
          <w:sz w:val="24"/>
        </w:rPr>
        <w:t xml:space="preserve"> A Restricted Stock Award may be awarded in consideration for (A) cash, check, bank draft or money order payable to the Company, (B) past or future services to the Company or an Affiliate, or (C) any other form of legal consideration that may be acceptable to the Board, in its sole discretion, and permissible under applicable law.</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(ii)Vesting. </w:t>
      </w:r>
      <w:r>
        <w:rPr>
          <w:rFonts w:ascii="Times New Roman;Times;serif" w:hAnsi="Times New Roman;Times;serif"/>
          <w:sz w:val="24"/>
        </w:rPr>
        <w:t>Shares of Common Stock awarded under the Restricted Stock Award Agreement may be subject to forfeiture to the Company in accordance with a vesting schedule to be determined by the Board.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(iii)Termination of Participant’s Continuous Service.</w:t>
      </w:r>
      <w:r>
        <w:rPr>
          <w:rFonts w:ascii="Times New Roman;Times;serif" w:hAnsi="Times New Roman;Times;serif"/>
          <w:sz w:val="24"/>
        </w:rPr>
        <w:t xml:space="preserve">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(iv)Transferability.</w:t>
      </w:r>
      <w:r>
        <w:rPr>
          <w:rFonts w:ascii="Times New Roman;Times;serif" w:hAnsi="Times New Roman;Times;serif"/>
          <w:sz w:val="24"/>
        </w:rPr>
        <w:t xml:space="preserve"> 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(v)Dividends. </w:t>
      </w:r>
      <w:r>
        <w:rPr>
          <w:rFonts w:ascii="Times New Roman;Times;serif" w:hAnsi="Times New Roman;Times;serif"/>
          <w:sz w:val="24"/>
        </w:rPr>
        <w:t>A Restricted Stock Award Agreement may provide that any dividends paid on Restricted Stock Award will be subject to the same vesting and forfeiture restrictions as apply to the shares subject to the Restricted Stock Award to which they relate.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(b)Restricted Stock Unit Awards. </w:t>
      </w:r>
      <w:r>
        <w:rPr>
          <w:rFonts w:ascii="Times New Roman;Times;serif" w:hAnsi="Times New Roman;Times;serif"/>
          <w:sz w:val="24"/>
        </w:rPr>
        <w:t>Each Restricted Stock Unit Award Agreement will be in such form and will contain such 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Restricted Stock Unit Award Agreement or otherwise) the substance of each of the following provisions: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(i)Consideration.</w:t>
      </w:r>
      <w:r>
        <w:rPr>
          <w:rFonts w:ascii="Times New Roman;Times;serif" w:hAnsi="Times New Roman;Times;serif"/>
          <w:sz w:val="24"/>
        </w:rPr>
        <w:t xml:space="preserve"> 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(ii)Vesting. </w:t>
      </w:r>
      <w:r>
        <w:rPr>
          <w:rFonts w:ascii="Times New Roman;Times;serif" w:hAnsi="Times New Roman;Times;serif"/>
          <w:sz w:val="24"/>
        </w:rPr>
        <w:t>At the time of the grant of a Restricted Stock Unit Award, the Board may impose such restrictions on or conditions to the vesting of the Restricted Stock Unit Award as it, in its sole discretion, deems appropriate.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(iii)Payment</w:t>
      </w:r>
      <w:r>
        <w:rPr>
          <w:rFonts w:ascii="Times New Roman;Times;serif" w:hAnsi="Times New Roman;Times;serif"/>
          <w:sz w:val="24"/>
        </w:rPr>
        <w:t>. 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(iv)Additional Restrictions. </w:t>
      </w:r>
      <w:r>
        <w:rPr>
          <w:rFonts w:ascii="Times New Roman;Times;serif" w:hAnsi="Times New Roman;Times;serif"/>
          <w:sz w:val="24"/>
        </w:rPr>
        <w:t>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(v)Dividend Equivalents. </w:t>
      </w:r>
      <w:r>
        <w:rPr>
          <w:rFonts w:ascii="Times New Roman;Times;serif" w:hAnsi="Times New Roman;Times;serif"/>
          <w:sz w:val="24"/>
        </w:rPr>
        <w:t>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(vi)Termination of Participant’s Continuous Service. </w:t>
      </w:r>
      <w:r>
        <w:rPr>
          <w:rFonts w:ascii="Times New Roman;Times;serif" w:hAnsi="Times New Roman;Times;serif"/>
          <w:sz w:val="24"/>
        </w:rPr>
        <w:t>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(c)Performance Awards.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(i)Performance Stock Awards</w:t>
      </w:r>
      <w:r>
        <w:rPr>
          <w:rFonts w:ascii="Times New Roman;Times;serif" w:hAnsi="Times New Roman;Times;serif"/>
          <w:sz w:val="24"/>
        </w:rPr>
        <w:t>. A Performance Stock Award is a Stock Award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Committee, as the case may be) may determine that cash may be used in payment of Performance Stock Awards.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(ii)Performance Cash Awards</w:t>
      </w:r>
      <w:r>
        <w:rPr>
          <w:rFonts w:ascii="Times New Roman;Times;serif" w:hAnsi="Times New Roman;Times;serif"/>
          <w:sz w:val="24"/>
        </w:rPr>
        <w:t>. A Performance Cash Award is a cash award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Board (or Committee, as the case may be) may specify the form of payment of Performance Cash Awards, which may be cash or other property, or may provide for a Participant to have the option for his or her Performance Cash Award, or such portion thereof as the Board (or Committee, as the case may be) may specify, to be paid in whole or in part in cash or other property.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(iii)Board Discretion</w:t>
      </w:r>
      <w:r>
        <w:rPr>
          <w:rFonts w:ascii="Times New Roman;Times;serif" w:hAnsi="Times New Roman;Times;serif"/>
          <w:sz w:val="24"/>
        </w:rPr>
        <w:t>. The Board (or Committee, as the case may be) retains the discretion to adjust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(d)Other Stock Awards</w:t>
      </w:r>
      <w:r>
        <w:rPr>
          <w:rFonts w:ascii="Times New Roman;Times;serif" w:hAnsi="Times New Roman;Times;serif"/>
          <w:sz w:val="24"/>
        </w:rPr>
        <w:t>.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7.</w:t>
      </w:r>
      <w:r>
        <w:rPr>
          <w:rFonts w:ascii="Times New Roman;Times;serif" w:hAnsi="Times New Roman;Times;serif"/>
          <w:b/>
          <w:smallCaps/>
          <w:sz w:val="24"/>
        </w:rPr>
        <w:t>Covenants of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(a)Availability of Shares.</w:t>
      </w:r>
      <w:r>
        <w:rPr>
          <w:rFonts w:ascii="Times New Roman;Times;serif" w:hAnsi="Times New Roman;Times;serif"/>
          <w:sz w:val="24"/>
        </w:rPr>
        <w:t xml:space="preserve"> The Company will keep available at all times the number of shares of Common Stock reasonably required to satisfy then-outstanding Awards.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(b)Securities Law Compliance.</w:t>
      </w:r>
      <w:r>
        <w:rPr>
          <w:rFonts w:ascii="Times New Roman;Times;serif" w:hAnsi="Times New Roman;Times;serif"/>
          <w:sz w:val="24"/>
        </w:rPr>
        <w:t xml:space="preserve"> The Company will seek to obtain from each regulatory commission or agency, as necessary, such authority as may be required to grant Stock Awards and to issue and sell shares of Common Stock upon exercise or vesting of the Stock Awards; provided, however,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(c)No Obligation to Notify or Minimize Taxes. </w:t>
      </w:r>
      <w:r>
        <w:rPr>
          <w:rFonts w:ascii="Times New Roman;Times;serif" w:hAnsi="Times New Roman;Times;serif"/>
          <w:sz w:val="24"/>
        </w:rPr>
        <w:t>The Company will have no duty or obligation to any Participant to advise such holder as to the 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8.</w:t>
      </w:r>
      <w:r>
        <w:rPr>
          <w:rFonts w:ascii="Times New Roman;Times;serif" w:hAnsi="Times New Roman;Times;serif"/>
          <w:b/>
          <w:smallCaps/>
          <w:sz w:val="24"/>
        </w:rPr>
        <w:t>Miscellaneous.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(a)Use of Proceeds from Sales of Common Stock. </w:t>
      </w:r>
      <w:r>
        <w:rPr>
          <w:rFonts w:ascii="Times New Roman;Times;serif" w:hAnsi="Times New Roman;Times;serif"/>
          <w:sz w:val="24"/>
        </w:rPr>
        <w:t>Proceeds from the sale of shares of Common Stock pursuant to Awards will constitute general funds of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(b)Corporate Action Constituting Grant of Awards.</w:t>
      </w:r>
      <w:r>
        <w:rPr>
          <w:rFonts w:ascii="Times New Roman;Times;serif" w:hAnsi="Times New Roman;Times;serif"/>
          <w:sz w:val="24"/>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(c)Stockholder Rights.</w:t>
      </w:r>
      <w:r>
        <w:rPr>
          <w:rFonts w:ascii="Times New Roman;Times;serif" w:hAnsi="Times New Roman;Times;serif"/>
          <w:sz w:val="24"/>
        </w:rPr>
        <w:t xml:space="preserve"> No Participant will be deemed to be the holder of, or to have 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(d)No Employment or Other Service Rights.</w:t>
      </w:r>
      <w:r>
        <w:rPr>
          <w:rFonts w:ascii="Times New Roman;Times;serif" w:hAnsi="Times New Roman;Times;serif"/>
          <w:sz w:val="24"/>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(e)Change in Time Commitment.</w:t>
      </w:r>
      <w:r>
        <w:rPr>
          <w:rFonts w:ascii="Times New Roman;Times;serif" w:hAnsi="Times New Roman;Times;serif"/>
          <w:sz w:val="24"/>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(f)Incentive Stock Option Limitations.</w:t>
      </w:r>
      <w:r>
        <w:rPr>
          <w:rFonts w:ascii="Times New Roman;Times;serif" w:hAnsi="Times New Roman;Times;serif"/>
          <w:sz w:val="24"/>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(g)Investment Assurances.</w:t>
      </w:r>
      <w:r>
        <w:rPr>
          <w:rFonts w:ascii="Times New Roman;Times;serif" w:hAnsi="Times New Roman;Times;serif"/>
          <w:sz w:val="24"/>
        </w:rPr>
        <w:t xml:space="preserve"> The Company may require a Participant, as a condition of exercising or acquiring Common Stock under any Award, (i) to give written assurances satisfactory to the Company as to the Participant’s knowledge and experience in financial and business matters and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(h)Withholding Obligations.</w:t>
      </w:r>
      <w:r>
        <w:rPr>
          <w:rFonts w:ascii="Times New Roman;Times;serif" w:hAnsi="Times New Roman;Times;serif"/>
          <w:sz w:val="24"/>
        </w:rPr>
        <w:t xml:space="preserve"> Unless prohibited by the terms of an Award Agreement, the Company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however, that no shares of Common Stock are withheld with a value exceeding the maximum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(i)Electronic Delivery</w:t>
      </w:r>
      <w:r>
        <w:rPr>
          <w:rFonts w:ascii="Times New Roman;Times;serif" w:hAnsi="Times New Roman;Times;serif"/>
          <w:sz w:val="24"/>
        </w:rPr>
        <w:t xml:space="preserve">. Any reference herein to a “written” agreement or document will include any agreement or document delivered electronically, filed publicly at </w:t>
      </w:r>
      <w:r>
        <w:rPr>
          <w:rFonts w:ascii="Times New Roman;Times;serif" w:hAnsi="Times New Roman;Times;serif"/>
          <w:sz w:val="24"/>
          <w:u w:val="single"/>
        </w:rPr>
        <w:t>www.sec.gov</w:t>
      </w:r>
      <w:r>
        <w:rPr>
          <w:rFonts w:ascii="Times New Roman;Times;serif" w:hAnsi="Times New Roman;Times;serif"/>
          <w:sz w:val="24"/>
        </w:rPr>
        <w:t xml:space="preserve"> (or any successor website thereto) or posted on the Company’s intranet (or other shared electronic medium controlled by the Company to which the Participant has access).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(j)Deferrals.</w:t>
      </w:r>
      <w:r>
        <w:rPr>
          <w:rFonts w:ascii="Times New Roman;Times;serif" w:hAnsi="Times New Roman;Times;serif"/>
          <w:sz w:val="24"/>
        </w:rPr>
        <w:t xml:space="preserve"> 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 xml:space="preserve">(k)Compliance with Section 409A of the Code. </w:t>
      </w:r>
      <w:r>
        <w:rPr>
          <w:rFonts w:ascii="Times New Roman;Times;serif" w:hAnsi="Times New Roman;Times;serif"/>
          <w:sz w:val="24"/>
        </w:rPr>
        <w:t>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the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(l)Clawback/Recovery</w:t>
      </w:r>
      <w:r>
        <w:rPr>
          <w:rFonts w:ascii="Times New Roman;Times;serif" w:hAnsi="Times New Roman;Times;serif"/>
          <w:sz w:val="24"/>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9.</w:t>
      </w:r>
      <w:r>
        <w:rPr>
          <w:rFonts w:ascii="Times New Roman;Times;serif" w:hAnsi="Times New Roman;Times;serif"/>
          <w:b/>
          <w:smallCaps/>
          <w:sz w:val="24"/>
        </w:rPr>
        <w:t>Adjustments upon Changes in Common Stock; Other Corporate Events.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(a)Capitalization Adjustments</w:t>
      </w:r>
      <w:r>
        <w:rPr>
          <w:rFonts w:ascii="Times New Roman;Times;serif" w:hAnsi="Times New Roman;Times;serif"/>
          <w:sz w:val="24"/>
        </w:rPr>
        <w:t>. In the event of a Capitalization Adjustment, the Board will appropriately and proportionately adjust: (i) the class (es) and maximum number of securities subject to the Plan pursuant to Section 3(a), (ii) the class(es) of securities by which the share reserve is to increase automatically each year pursuant to Section 3(a), (iii) the class(es) and maximum number of securities that may be issued pursuant to the exercise of Incentive Stock Options pursuant to Section 3(c) and (iv) the class(es) and number of securities and price per share of stock subject to outstanding Stock Awards. The Board will make such adjustments, and its determination will be final, binding and conclusive.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(b)Dissolution</w:t>
      </w:r>
      <w:r>
        <w:rPr>
          <w:rFonts w:ascii="Times New Roman;Times;serif" w:hAnsi="Times New Roman;Times;serif"/>
          <w:sz w:val="24"/>
        </w:rPr>
        <w:t xml:space="preserve">. Except as otherwise provided in the Stock Award Agreement, in the event of a Dissolution of the Company, all outstanding Stock Awards (other than Stock Awards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Board may, in its sole discretion, cause some or all Stock Awards to become fully vested, exercisable or no longer subject to repurchase or forfeiture (to the extent such Stock Awards have not previously expired or terminated) before the Dissolution is completed but contingent on its completion.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(c)Transaction.</w:t>
      </w:r>
      <w:r>
        <w:rPr>
          <w:rFonts w:ascii="Times New Roman;Times;serif" w:hAnsi="Times New Roman;Times;serif"/>
          <w:sz w:val="24"/>
        </w:rPr>
        <w:t xml:space="preserve"> The following provisions shall apply to Stock Awards in the event of a Transaction unless otherwise provided in the instrument 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pursuant to the Transaction);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arrange for the lapse, in whole or in part, of any reacquisition or repurchase rights held by the Company with respect to the Stock Award;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w:t>
      </w:r>
      <w:r>
        <w:rPr>
          <w:rFonts w:ascii="Times New Roman;Times;serif" w:hAnsi="Times New Roman;Times;serif"/>
          <w:sz w:val="24"/>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(vi)</w:t>
      </w:r>
      <w:r>
        <w:rPr>
          <w:rFonts w:ascii="Times New Roman;Times;serif" w:hAnsi="Times New Roman;Times;serif"/>
          <w:sz w:val="24"/>
        </w:rPr>
        <w:t xml:space="preserve">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Payments under this provision may be delayed to the same extent that payment of consideration to the holders of Common Stock in connection with the Transaction is delayed as a result of escrows, earn outs, holdbacks or other contingencies.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The Board need not take the same action or actions with respect to all Stock Awards or portions thereof or with respect to all Participants. The Board may take different actions with respect to the vested and unvested portions of a Stock Award.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(d)Change in Control.</w:t>
      </w:r>
      <w:r>
        <w:rPr>
          <w:rFonts w:ascii="Times New Roman;Times;serif" w:hAnsi="Times New Roman;Times;serif"/>
          <w:sz w:val="24"/>
        </w:rPr>
        <w:t xml:space="preserve"> 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10.</w:t>
      </w:r>
      <w:r>
        <w:rPr>
          <w:rFonts w:ascii="Times New Roman;Times;serif" w:hAnsi="Times New Roman;Times;serif"/>
          <w:b/>
          <w:smallCaps/>
          <w:sz w:val="24"/>
        </w:rPr>
        <w:t>Plan Term; Earlier Termination or Suspension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The Board may suspend or terminate the Plan at any time. No Incentive Stock Options may be granted after the tenth anniversary of the earlier of (i) the date the Plan is adopted by the Board (the “</w:t>
      </w:r>
      <w:r>
        <w:rPr>
          <w:rFonts w:ascii="Times New Roman;Times;serif" w:hAnsi="Times New Roman;Times;serif"/>
          <w:b/>
          <w:i/>
          <w:sz w:val="24"/>
        </w:rPr>
        <w:t>Board Adoption Date</w:t>
      </w:r>
      <w:r>
        <w:rPr>
          <w:rFonts w:ascii="Times New Roman;Times;serif" w:hAnsi="Times New Roman;Times;serif"/>
          <w:sz w:val="24"/>
        </w:rPr>
        <w:t>”), or (ii) the date the Plan is approved by the Stockholders. No Awards may be granted under the Plan while the Plan is suspended or after it is terminated.</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11.</w:t>
      </w:r>
      <w:r>
        <w:rPr>
          <w:rFonts w:ascii="Times New Roman;Times;serif" w:hAnsi="Times New Roman;Times;serif"/>
          <w:b/>
          <w:smallCaps/>
          <w:sz w:val="24"/>
        </w:rPr>
        <w:t>Existence of the Plan; Timing of First Grant or Exercise.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The Plan will be effective on the Stockholder Approval Date. No Stock Award will be exercised (or, in the case of a Restricted Stock Award, Restricted Stock Unit Award, Performance Stock Award, or Other Stock Award, no Stock Award will be granted) and no Performance Cash Award will be settled until the Stockholder Approval Date.</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12.</w:t>
      </w:r>
      <w:r>
        <w:rPr>
          <w:rFonts w:ascii="Times New Roman;Times;serif" w:hAnsi="Times New Roman;Times;serif"/>
          <w:b/>
          <w:smallCaps/>
          <w:sz w:val="24"/>
        </w:rPr>
        <w:t>Choice of Law.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The law of the State of Delaware will govern all questions concerning the construction, validity and interpretation of the Plan, without regard to that state’s conflict of laws rules.</w:t>
      </w:r>
    </w:p>
    <w:p>
      <w:pPr>
        <w:pStyle w:val="TextBody"/>
        <w:bidi w:val="0"/>
        <w:spacing w:before="0" w:after="240"/>
        <w:ind w:left="0" w:right="0" w:hanging="0"/>
        <w:jc w:val="left"/>
        <w:rPr>
          <w:rFonts w:ascii="Times New Roman;Times;serif" w:hAnsi="Times New Roman;Times;serif"/>
          <w:b/>
          <w:smallCaps/>
          <w:sz w:val="24"/>
        </w:rPr>
      </w:pPr>
      <w:r>
        <w:rPr>
          <w:rFonts w:ascii="Times New Roman;Times;serif" w:hAnsi="Times New Roman;Times;serif"/>
          <w:b/>
          <w:smallCaps/>
          <w:color w:val="010000"/>
          <w:sz w:val="24"/>
        </w:rPr>
        <w:t>13.</w:t>
      </w:r>
      <w:r>
        <w:rPr>
          <w:rFonts w:ascii="Times New Roman;Times;serif" w:hAnsi="Times New Roman;Times;serif"/>
          <w:b/>
          <w:smallCaps/>
          <w:sz w:val="24"/>
        </w:rPr>
        <w:t>DEFINITIONS.</w:t>
      </w:r>
      <w:r>
        <w:rPr>
          <w:rFonts w:ascii="Times New Roman;Times;serif" w:hAnsi="Times New Roman;Times;serif"/>
          <w:b/>
          <w:caps w:val="false"/>
          <w:smallCaps w:val="false"/>
          <w:sz w:val="24"/>
        </w:rPr>
        <w:t xml:space="preserve"> </w:t>
      </w:r>
      <w:r>
        <w:rPr>
          <w:rFonts w:ascii="Times New Roman;Times;serif" w:hAnsi="Times New Roman;Times;serif"/>
          <w:b w:val="false"/>
          <w:caps w:val="false"/>
          <w:smallCaps w:val="false"/>
          <w:sz w:val="24"/>
        </w:rPr>
        <w:t>As used in the Plan, the following definitions will apply to the capitalized terms indicated below: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w:t>
      </w:r>
      <w:r>
        <w:rPr>
          <w:rFonts w:ascii="Times New Roman;Times;serif" w:hAnsi="Times New Roman;Times;serif"/>
          <w:b/>
          <w:i/>
          <w:sz w:val="24"/>
        </w:rPr>
        <w:t>Affiliate</w:t>
      </w:r>
      <w:r>
        <w:rPr>
          <w:rFonts w:ascii="Times New Roman;Times;serif" w:hAnsi="Times New Roman;Times;serif"/>
          <w:sz w:val="24"/>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w:t>
      </w:r>
      <w:r>
        <w:rPr>
          <w:rFonts w:ascii="Times New Roman;Times;serif" w:hAnsi="Times New Roman;Times;serif"/>
          <w:b/>
          <w:i/>
          <w:sz w:val="24"/>
        </w:rPr>
        <w:t>Award</w:t>
      </w:r>
      <w:r>
        <w:rPr>
          <w:rFonts w:ascii="Times New Roman;Times;serif" w:hAnsi="Times New Roman;Times;serif"/>
          <w:sz w:val="24"/>
        </w:rPr>
        <w:t>” means a Stock Award or a Performance Cash Award.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(c)</w:t>
      </w:r>
      <w:r>
        <w:rPr>
          <w:rFonts w:ascii="Times New Roman;Times;serif" w:hAnsi="Times New Roman;Times;serif"/>
          <w:sz w:val="24"/>
        </w:rPr>
        <w:t>“</w:t>
      </w:r>
      <w:r>
        <w:rPr>
          <w:rFonts w:ascii="Times New Roman;Times;serif" w:hAnsi="Times New Roman;Times;serif"/>
          <w:b/>
          <w:i/>
          <w:sz w:val="24"/>
        </w:rPr>
        <w:t>Award Agreement</w:t>
      </w:r>
      <w:r>
        <w:rPr>
          <w:rFonts w:ascii="Times New Roman;Times;serif" w:hAnsi="Times New Roman;Times;serif"/>
          <w:sz w:val="24"/>
        </w:rPr>
        <w:t>” means a written agreement between the Company and a Participant evidencing the terms and conditions of an Award.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4"/>
        </w:rPr>
        <w:t>“</w:t>
      </w:r>
      <w:r>
        <w:rPr>
          <w:rFonts w:ascii="Times New Roman;Times;serif" w:hAnsi="Times New Roman;Times;serif"/>
          <w:b/>
          <w:i/>
          <w:sz w:val="24"/>
        </w:rPr>
        <w:t>Board</w:t>
      </w:r>
      <w:r>
        <w:rPr>
          <w:rFonts w:ascii="Times New Roman;Times;serif" w:hAnsi="Times New Roman;Times;serif"/>
          <w:sz w:val="24"/>
        </w:rPr>
        <w:t>” means the Board of Directors of the Company.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(e)</w:t>
      </w:r>
      <w:r>
        <w:rPr>
          <w:rFonts w:ascii="Times New Roman;Times;serif" w:hAnsi="Times New Roman;Times;serif"/>
          <w:sz w:val="24"/>
        </w:rPr>
        <w:t>“</w:t>
      </w:r>
      <w:r>
        <w:rPr>
          <w:rFonts w:ascii="Times New Roman;Times;serif" w:hAnsi="Times New Roman;Times;serif"/>
          <w:b/>
          <w:i/>
          <w:sz w:val="24"/>
        </w:rPr>
        <w:t>Capital Stock</w:t>
      </w:r>
      <w:r>
        <w:rPr>
          <w:rFonts w:ascii="Times New Roman;Times;serif" w:hAnsi="Times New Roman;Times;serif"/>
          <w:sz w:val="24"/>
        </w:rPr>
        <w:t>” means each and every class of common stock of the Company, regardless of the number of votes per share.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(f)</w:t>
      </w:r>
      <w:r>
        <w:rPr>
          <w:rFonts w:ascii="Times New Roman;Times;serif" w:hAnsi="Times New Roman;Times;serif"/>
          <w:sz w:val="24"/>
        </w:rPr>
        <w:t>“</w:t>
      </w:r>
      <w:r>
        <w:rPr>
          <w:rFonts w:ascii="Times New Roman;Times;serif" w:hAnsi="Times New Roman;Times;serif"/>
          <w:b/>
          <w:i/>
          <w:sz w:val="24"/>
        </w:rPr>
        <w:t>Capitalization Adjustment</w:t>
      </w:r>
      <w:r>
        <w:rPr>
          <w:rFonts w:ascii="Times New Roman;Times;serif" w:hAnsi="Times New Roman;Times;serif"/>
          <w:sz w:val="24"/>
        </w:rPr>
        <w:t>” means any change that is made in, or other events that occur with respect to, the Common Stock subject to the Plan or subject to any Stock Award after the Board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(g)</w:t>
      </w:r>
      <w:r>
        <w:rPr>
          <w:rFonts w:ascii="Times New Roman;Times;serif" w:hAnsi="Times New Roman;Times;serif"/>
          <w:sz w:val="24"/>
        </w:rPr>
        <w:t>“</w:t>
      </w:r>
      <w:r>
        <w:rPr>
          <w:rFonts w:ascii="Times New Roman;Times;serif" w:hAnsi="Times New Roman;Times;serif"/>
          <w:b/>
          <w:i/>
          <w:sz w:val="24"/>
        </w:rPr>
        <w:t>Cause</w:t>
      </w:r>
      <w:r>
        <w:rPr>
          <w:rFonts w:ascii="Times New Roman;Times;serif" w:hAnsi="Times New Roman;Times;serif"/>
          <w:sz w:val="24"/>
        </w:rPr>
        <w:t>” shall have the meaning ascribed to such term in any written agreement between the Participant and the Company defining such term and, in the absence of such agreement, such term means the termination of a Participant’s Continuous Service with the Company and its Subsidiaries due to (i) such Participant’s commission of any felony or any crime involving fraud, dishonesty or moral turpitude under the laws of the United States or any state thereof; (ii) such Participant’s attempted commission of, or participation in, a fraud or act of dishonesty against the Company or its Subsidiaries; (iii) such Participant’s material violation of (A) any contract or agreement between the Participant and the Company or a Subsidiary of the Company or (B) any statutory duty owed to the Company or its Subsidiaries; (iv) such Participant’s unauthorized use or disclosure of confidential information or trade secrets of the Company or its Subsidiaries; or (v) such Participant’s gross negligence or willful misconduct in the performance of the Participant’s duties. The determination that a termination of the Participant’s Continuous Service is either for Cause or without Cause (within the meaning of the preceding clauses (i) through (v))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(h)</w:t>
      </w:r>
      <w:r>
        <w:rPr>
          <w:rFonts w:ascii="Times New Roman;Times;serif" w:hAnsi="Times New Roman;Times;serif"/>
          <w:sz w:val="24"/>
        </w:rPr>
        <w:t>“</w:t>
      </w:r>
      <w:r>
        <w:rPr>
          <w:rFonts w:ascii="Times New Roman;Times;serif" w:hAnsi="Times New Roman;Times;serif"/>
          <w:b/>
          <w:i/>
          <w:sz w:val="24"/>
        </w:rPr>
        <w:t>Change in Control</w:t>
      </w:r>
      <w:r>
        <w:rPr>
          <w:rFonts w:ascii="Times New Roman;Times;serif" w:hAnsi="Times New Roman;Times;serif"/>
          <w:sz w:val="24"/>
        </w:rPr>
        <w:t>” means the occurrence, in a single transaction or in a series of related transactions, of any one or more of the following events: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b/>
          <w:i/>
          <w:sz w:val="24"/>
        </w:rPr>
        <w:t>Subject Person</w:t>
      </w:r>
      <w:r>
        <w:rPr>
          <w:rFonts w:ascii="Times New Roman;Times;serif" w:hAnsi="Times New Roman;Times;serif"/>
          <w:sz w:val="24"/>
        </w:rPr>
        <w:t xml:space="preserve">”) exceeds the designated percentage threshold of the outstanding voting securities as a result of a repurchase or other acquisition of voting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there is consummated a merger, consolidation or similar transaction involving (directly or indirectly) the Company and, immediately after the consummation of such merger, consolidation or similar transaction, the Stockholders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provided, however, that a merger, consolidation or similar transaction will not constitute a Change in Control under this prong of the definition if the outstanding voting securities representing more than 50% of the combined voting power of the surviving Entity or its parent are owned by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the Stockholders in substantially the same proportions as their Ownership of the outstanding voting securities of the Company immediately prior to such sale, lease, license or other disposition; provided, however,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the Stockholders approve or the Board approves a plan of complete dissolution or liquidation of the Company, or a complete dissolution or liquidation of the Company will otherwise occur, except for a liquidation into a parent corporation; or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w:t>
      </w:r>
      <w:r>
        <w:rPr>
          <w:rFonts w:ascii="Times New Roman;Times;serif" w:hAnsi="Times New Roman;Times;serif"/>
          <w:sz w:val="24"/>
        </w:rPr>
        <w:t>individuals who, on the date the Plan is adopted by the Board, are members of the Board (the “</w:t>
      </w:r>
      <w:r>
        <w:rPr>
          <w:rFonts w:ascii="Times New Roman;Times;serif" w:hAnsi="Times New Roman;Times;serif"/>
          <w:b/>
          <w:i/>
          <w:sz w:val="24"/>
        </w:rPr>
        <w:t>Incumbent Board</w:t>
      </w:r>
      <w:r>
        <w:rPr>
          <w:rFonts w:ascii="Times New Roman;Times;serif" w:hAnsi="Times New Roman;Times;serif"/>
          <w:sz w:val="24"/>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the Plan, be considered as a member of the Incumbent Board.</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any analogous term) in an individual written agreement between the Company or any Affiliate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w:t>
      </w:r>
      <w:r>
        <w:rPr>
          <w:rFonts w:ascii="Times New Roman;Times;serif" w:hAnsi="Times New Roman;Times;serif"/>
          <w:b/>
          <w:i/>
          <w:sz w:val="24"/>
        </w:rPr>
        <w:t>Code</w:t>
      </w:r>
      <w:r>
        <w:rPr>
          <w:rFonts w:ascii="Times New Roman;Times;serif" w:hAnsi="Times New Roman;Times;serif"/>
          <w:sz w:val="24"/>
        </w:rPr>
        <w:t>” means the Internal Revenue Code of 1986, as amended, including any applicable regulations and guidance thereunder.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(j)</w:t>
      </w:r>
      <w:r>
        <w:rPr>
          <w:rFonts w:ascii="Times New Roman;Times;serif" w:hAnsi="Times New Roman;Times;serif"/>
          <w:sz w:val="24"/>
        </w:rPr>
        <w:t>“</w:t>
      </w:r>
      <w:r>
        <w:rPr>
          <w:rFonts w:ascii="Times New Roman;Times;serif" w:hAnsi="Times New Roman;Times;serif"/>
          <w:b/>
          <w:i/>
          <w:sz w:val="24"/>
        </w:rPr>
        <w:t>Committee</w:t>
      </w:r>
      <w:r>
        <w:rPr>
          <w:rFonts w:ascii="Times New Roman;Times;serif" w:hAnsi="Times New Roman;Times;serif"/>
          <w:sz w:val="24"/>
        </w:rPr>
        <w:t>” means a committee of one or more Directors to whom authority has been delegated by the Board in accordance with Section 2(c).</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(k)</w:t>
      </w:r>
      <w:r>
        <w:rPr>
          <w:rFonts w:ascii="Times New Roman;Times;serif" w:hAnsi="Times New Roman;Times;serif"/>
          <w:sz w:val="24"/>
        </w:rPr>
        <w:t>“</w:t>
      </w:r>
      <w:r>
        <w:rPr>
          <w:rFonts w:ascii="Times New Roman;Times;serif" w:hAnsi="Times New Roman;Times;serif"/>
          <w:b/>
          <w:i/>
          <w:sz w:val="24"/>
        </w:rPr>
        <w:t>Common Stock</w:t>
      </w:r>
      <w:r>
        <w:rPr>
          <w:rFonts w:ascii="Times New Roman;Times;serif" w:hAnsi="Times New Roman;Times;serif"/>
          <w:sz w:val="24"/>
        </w:rPr>
        <w:t>” means, as of the Board Adoption Date, the common stock of the Company, having one vote per share.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(l)</w:t>
      </w:r>
      <w:r>
        <w:rPr>
          <w:rFonts w:ascii="Times New Roman;Times;serif" w:hAnsi="Times New Roman;Times;serif"/>
          <w:sz w:val="24"/>
        </w:rPr>
        <w:t>“</w:t>
      </w:r>
      <w:r>
        <w:rPr>
          <w:rFonts w:ascii="Times New Roman;Times;serif" w:hAnsi="Times New Roman;Times;serif"/>
          <w:b/>
          <w:i/>
          <w:sz w:val="24"/>
        </w:rPr>
        <w:t>Company</w:t>
      </w:r>
      <w:r>
        <w:rPr>
          <w:rFonts w:ascii="Times New Roman;Times;serif" w:hAnsi="Times New Roman;Times;serif"/>
          <w:sz w:val="24"/>
        </w:rPr>
        <w:t>” means Neuronetics, Inc., a Delaware corporation.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(m)</w:t>
      </w:r>
      <w:r>
        <w:rPr>
          <w:rFonts w:ascii="Times New Roman;Times;serif" w:hAnsi="Times New Roman;Times;serif"/>
          <w:sz w:val="24"/>
        </w:rPr>
        <w:t>“</w:t>
      </w:r>
      <w:r>
        <w:rPr>
          <w:rFonts w:ascii="Times New Roman;Times;serif" w:hAnsi="Times New Roman;Times;serif"/>
          <w:b/>
          <w:i/>
          <w:sz w:val="24"/>
        </w:rPr>
        <w:t>Consultant</w:t>
      </w:r>
      <w:r>
        <w:rPr>
          <w:rFonts w:ascii="Times New Roman;Times;serif" w:hAnsi="Times New Roman;Times;serif"/>
          <w:sz w:val="24"/>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the Plan only if a Form S-8 Registration Statement under the Securities Act is available to register either the offer or the sale of the Company’s securities to such person.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(n)</w:t>
      </w:r>
      <w:r>
        <w:rPr>
          <w:rFonts w:ascii="Times New Roman;Times;serif" w:hAnsi="Times New Roman;Times;serif"/>
          <w:sz w:val="24"/>
        </w:rPr>
        <w:t>“</w:t>
      </w:r>
      <w:r>
        <w:rPr>
          <w:rFonts w:ascii="Times New Roman;Times;serif" w:hAnsi="Times New Roman;Times;serif"/>
          <w:b/>
          <w:i/>
          <w:sz w:val="24"/>
        </w:rPr>
        <w:t>Continuous Service</w:t>
      </w:r>
      <w:r>
        <w:rPr>
          <w:rFonts w:ascii="Times New Roman;Times;serif" w:hAnsi="Times New Roman;Times;serif"/>
          <w:sz w:val="24"/>
        </w:rPr>
        <w:t>”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(o)</w:t>
      </w:r>
      <w:r>
        <w:rPr>
          <w:rFonts w:ascii="Times New Roman;Times;serif" w:hAnsi="Times New Roman;Times;serif"/>
          <w:sz w:val="24"/>
        </w:rPr>
        <w:t>“</w:t>
      </w:r>
      <w:r>
        <w:rPr>
          <w:rFonts w:ascii="Times New Roman;Times;serif" w:hAnsi="Times New Roman;Times;serif"/>
          <w:b/>
          <w:i/>
          <w:sz w:val="24"/>
        </w:rPr>
        <w:t>Corporate Transaction</w:t>
      </w:r>
      <w:r>
        <w:rPr>
          <w:rFonts w:ascii="Times New Roman;Times;serif" w:hAnsi="Times New Roman;Times;serif"/>
          <w:sz w:val="24"/>
        </w:rPr>
        <w:t>” means the consummation, in a single transaction or in a series of related transactions, of any one or more of the following events: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a sale or other disposition of all or substantially all, as determined by the Board, in its sole discretion, of the consolidated assets of the Company and its Subsidiaries;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a sale or other disposition of more than 50% of the outstanding securities of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a merger, consolidation or similar transaction following which the Company is not the surviving corporation; or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(p)</w:t>
      </w:r>
      <w:r>
        <w:rPr>
          <w:rFonts w:ascii="Times New Roman;Times;serif" w:hAnsi="Times New Roman;Times;serif"/>
          <w:sz w:val="24"/>
        </w:rPr>
        <w:t>“</w:t>
      </w:r>
      <w:r>
        <w:rPr>
          <w:rFonts w:ascii="Times New Roman;Times;serif" w:hAnsi="Times New Roman;Times;serif"/>
          <w:b/>
          <w:i/>
          <w:sz w:val="24"/>
        </w:rPr>
        <w:t>Director</w:t>
      </w:r>
      <w:r>
        <w:rPr>
          <w:rFonts w:ascii="Times New Roman;Times;serif" w:hAnsi="Times New Roman;Times;serif"/>
          <w:sz w:val="24"/>
        </w:rPr>
        <w:t>” means a member of the Board.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(q)</w:t>
      </w:r>
      <w:r>
        <w:rPr>
          <w:rFonts w:ascii="Times New Roman;Times;serif" w:hAnsi="Times New Roman;Times;serif"/>
          <w:sz w:val="24"/>
        </w:rPr>
        <w:t>“</w:t>
      </w:r>
      <w:r>
        <w:rPr>
          <w:rFonts w:ascii="Times New Roman;Times;serif" w:hAnsi="Times New Roman;Times;serif"/>
          <w:b/>
          <w:i/>
          <w:sz w:val="24"/>
        </w:rPr>
        <w:t>Disability</w:t>
      </w:r>
      <w:r>
        <w:rPr>
          <w:rFonts w:ascii="Times New Roman;Times;serif" w:hAnsi="Times New Roman;Times;serif"/>
          <w:sz w:val="24"/>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(r)</w:t>
      </w:r>
      <w:r>
        <w:rPr>
          <w:rFonts w:ascii="Times New Roman;Times;serif" w:hAnsi="Times New Roman;Times;serif"/>
          <w:sz w:val="24"/>
        </w:rPr>
        <w:t>“</w:t>
      </w:r>
      <w:r>
        <w:rPr>
          <w:rFonts w:ascii="Times New Roman;Times;serif" w:hAnsi="Times New Roman;Times;serif"/>
          <w:b/>
          <w:i/>
          <w:sz w:val="24"/>
        </w:rPr>
        <w:t>Dissolution</w:t>
      </w:r>
      <w:r>
        <w:rPr>
          <w:rFonts w:ascii="Times New Roman;Times;serif" w:hAnsi="Times New Roman;Times;serif"/>
          <w:sz w:val="24"/>
        </w:rPr>
        <w:t>”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(s)</w:t>
      </w:r>
      <w:r>
        <w:rPr>
          <w:rFonts w:ascii="Times New Roman;Times;serif" w:hAnsi="Times New Roman;Times;serif"/>
          <w:sz w:val="24"/>
        </w:rPr>
        <w:t>“</w:t>
      </w:r>
      <w:r>
        <w:rPr>
          <w:rFonts w:ascii="Times New Roman;Times;serif" w:hAnsi="Times New Roman;Times;serif"/>
          <w:b/>
          <w:i/>
          <w:sz w:val="24"/>
        </w:rPr>
        <w:t>Employee</w:t>
      </w:r>
      <w:r>
        <w:rPr>
          <w:rFonts w:ascii="Times New Roman;Times;serif" w:hAnsi="Times New Roman;Times;serif"/>
          <w:sz w:val="24"/>
        </w:rPr>
        <w:t>” 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(t)</w:t>
      </w:r>
      <w:r>
        <w:rPr>
          <w:rFonts w:ascii="Times New Roman;Times;serif" w:hAnsi="Times New Roman;Times;serif"/>
          <w:sz w:val="24"/>
        </w:rPr>
        <w:t>“</w:t>
      </w:r>
      <w:r>
        <w:rPr>
          <w:rFonts w:ascii="Times New Roman;Times;serif" w:hAnsi="Times New Roman;Times;serif"/>
          <w:b/>
          <w:i/>
          <w:sz w:val="24"/>
        </w:rPr>
        <w:t>Entity</w:t>
      </w:r>
      <w:r>
        <w:rPr>
          <w:rFonts w:ascii="Times New Roman;Times;serif" w:hAnsi="Times New Roman;Times;serif"/>
          <w:sz w:val="24"/>
        </w:rPr>
        <w:t>” means a corporation, partnership, limited liability company or other entity.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(u)</w:t>
      </w:r>
      <w:r>
        <w:rPr>
          <w:rFonts w:ascii="Times New Roman;Times;serif" w:hAnsi="Times New Roman;Times;serif"/>
          <w:sz w:val="24"/>
        </w:rPr>
        <w:t>“</w:t>
      </w:r>
      <w:r>
        <w:rPr>
          <w:rFonts w:ascii="Times New Roman;Times;serif" w:hAnsi="Times New Roman;Times;serif"/>
          <w:b/>
          <w:i/>
          <w:sz w:val="24"/>
        </w:rPr>
        <w:t>Exchange Act</w:t>
      </w:r>
      <w:r>
        <w:rPr>
          <w:rFonts w:ascii="Times New Roman;Times;serif" w:hAnsi="Times New Roman;Times;serif"/>
          <w:sz w:val="24"/>
        </w:rPr>
        <w:t>” means the Securities Exchange Act of 1934, as amended, and the rules and regulations promulgated thereunder.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w:t>
      </w:r>
      <w:r>
        <w:rPr>
          <w:rFonts w:ascii="Times New Roman;Times;serif" w:hAnsi="Times New Roman;Times;serif"/>
          <w:sz w:val="24"/>
        </w:rPr>
        <w:t>“</w:t>
      </w:r>
      <w:r>
        <w:rPr>
          <w:rFonts w:ascii="Times New Roman;Times;serif" w:hAnsi="Times New Roman;Times;serif"/>
          <w:b/>
          <w:i/>
          <w:sz w:val="24"/>
        </w:rPr>
        <w:t>Exchange Act Person</w:t>
      </w:r>
      <w:r>
        <w:rPr>
          <w:rFonts w:ascii="Times New Roman;Times;serif" w:hAnsi="Times New Roman;Times;serif"/>
          <w:sz w:val="24"/>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in substantially the same proportions as their Ownership of stock of the Company; or (v) any natural person, Entity or “group” (within the meaning of Section 13(d) or 14(d) of the Exchange Act) that, as of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Board Adoption Date, is the Owner, directly or indirectly, of securities of the Company representing more than 50% of the combined voting power of the Company’s then outstanding securities.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(w)</w:t>
      </w:r>
      <w:r>
        <w:rPr>
          <w:rFonts w:ascii="Times New Roman;Times;serif" w:hAnsi="Times New Roman;Times;serif"/>
          <w:sz w:val="24"/>
        </w:rPr>
        <w:t>“</w:t>
      </w:r>
      <w:r>
        <w:rPr>
          <w:rFonts w:ascii="Times New Roman;Times;serif" w:hAnsi="Times New Roman;Times;serif"/>
          <w:b/>
          <w:i/>
          <w:sz w:val="24"/>
        </w:rPr>
        <w:t>Fair Market Value</w:t>
      </w:r>
      <w:r>
        <w:rPr>
          <w:rFonts w:ascii="Times New Roman;Times;serif" w:hAnsi="Times New Roman;Times;serif"/>
          <w:sz w:val="24"/>
        </w:rPr>
        <w:t>” means, as of any date, the value of the Common Stock determined as follows: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Unless otherwise provided by the Board, if there is no closing sales price for the Common Stock on the date of determination, then the Fair Market Value will be the closing selling price on the last preceding date for which such quotation exists.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In the absence of such markets for the Common Stock, the Fair Market Value will be determined by the Board in good faith and in a manner that complies with Sections 409A and 422 of the Code.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(x)</w:t>
      </w:r>
      <w:r>
        <w:rPr>
          <w:rFonts w:ascii="Times New Roman;Times;serif" w:hAnsi="Times New Roman;Times;serif"/>
          <w:sz w:val="24"/>
        </w:rPr>
        <w:t>“</w:t>
      </w:r>
      <w:r>
        <w:rPr>
          <w:rFonts w:ascii="Times New Roman;Times;serif" w:hAnsi="Times New Roman;Times;serif"/>
          <w:b/>
          <w:i/>
          <w:sz w:val="24"/>
        </w:rPr>
        <w:t>Incentive Stock Option</w:t>
      </w:r>
      <w:r>
        <w:rPr>
          <w:rFonts w:ascii="Times New Roman;Times;serif" w:hAnsi="Times New Roman;Times;serif"/>
          <w:sz w:val="24"/>
        </w:rPr>
        <w:t>” means an option granted pursuant to Section 5 of the Plan that is intended to be, and qualifies as, an “incentive stock option” within the meaning of Section 422 of the Code.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(y)</w:t>
      </w:r>
      <w:r>
        <w:rPr>
          <w:rFonts w:ascii="Times New Roman;Times;serif" w:hAnsi="Times New Roman;Times;serif"/>
          <w:sz w:val="24"/>
        </w:rPr>
        <w:t>“</w:t>
      </w:r>
      <w:r>
        <w:rPr>
          <w:rFonts w:ascii="Times New Roman;Times;serif" w:hAnsi="Times New Roman;Times;serif"/>
          <w:b/>
          <w:i/>
          <w:sz w:val="24"/>
        </w:rPr>
        <w:t>Non-Employee Director</w:t>
      </w:r>
      <w:r>
        <w:rPr>
          <w:rFonts w:ascii="Times New Roman;Times;serif" w:hAnsi="Times New Roman;Times;serif"/>
          <w:sz w:val="24"/>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i/>
          <w:sz w:val="24"/>
        </w:rPr>
        <w:t>Regulation S-K</w:t>
      </w:r>
      <w:r>
        <w:rPr>
          <w:rFonts w:ascii="Times New Roman;Times;serif" w:hAnsi="Times New Roman;Times;serif"/>
          <w:sz w:val="24"/>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(z)</w:t>
      </w:r>
      <w:r>
        <w:rPr>
          <w:rFonts w:ascii="Times New Roman;Times;serif" w:hAnsi="Times New Roman;Times;serif"/>
          <w:sz w:val="24"/>
        </w:rPr>
        <w:t>“</w:t>
      </w:r>
      <w:r>
        <w:rPr>
          <w:rFonts w:ascii="Times New Roman;Times;serif" w:hAnsi="Times New Roman;Times;serif"/>
          <w:b/>
          <w:i/>
          <w:sz w:val="24"/>
        </w:rPr>
        <w:t>Nonstatutory Stock Option</w:t>
      </w:r>
      <w:r>
        <w:rPr>
          <w:rFonts w:ascii="Times New Roman;Times;serif" w:hAnsi="Times New Roman;Times;serif"/>
          <w:sz w:val="24"/>
        </w:rPr>
        <w:t>” means any Option granted pursuant to Section 5 of the Plan that does not qualify as an Incentive Stock Option.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(aa)</w:t>
      </w:r>
      <w:r>
        <w:rPr>
          <w:rFonts w:ascii="Times New Roman;Times;serif" w:hAnsi="Times New Roman;Times;serif"/>
          <w:sz w:val="24"/>
        </w:rPr>
        <w:t>“</w:t>
      </w:r>
      <w:r>
        <w:rPr>
          <w:rFonts w:ascii="Times New Roman;Times;serif" w:hAnsi="Times New Roman;Times;serif"/>
          <w:b/>
          <w:i/>
          <w:sz w:val="24"/>
        </w:rPr>
        <w:t>Officer</w:t>
      </w:r>
      <w:r>
        <w:rPr>
          <w:rFonts w:ascii="Times New Roman;Times;serif" w:hAnsi="Times New Roman;Times;serif"/>
          <w:sz w:val="24"/>
        </w:rPr>
        <w:t>” means a person who is an officer of the Company within the meaning of Section 16 of the Exchange Act.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(bb)</w:t>
      </w:r>
      <w:r>
        <w:rPr>
          <w:rFonts w:ascii="Times New Roman;Times;serif" w:hAnsi="Times New Roman;Times;serif"/>
          <w:sz w:val="24"/>
        </w:rPr>
        <w:t>“</w:t>
      </w:r>
      <w:r>
        <w:rPr>
          <w:rFonts w:ascii="Times New Roman;Times;serif" w:hAnsi="Times New Roman;Times;serif"/>
          <w:b/>
          <w:i/>
          <w:sz w:val="24"/>
        </w:rPr>
        <w:t>Option</w:t>
      </w:r>
      <w:r>
        <w:rPr>
          <w:rFonts w:ascii="Times New Roman;Times;serif" w:hAnsi="Times New Roman;Times;serif"/>
          <w:sz w:val="24"/>
        </w:rPr>
        <w:t>” means an Incentive Stock Option or a Nonstatutory Stock Option to purchase shares of Common Stock granted pursuant to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(cc)</w:t>
      </w:r>
      <w:r>
        <w:rPr>
          <w:rFonts w:ascii="Times New Roman;Times;serif" w:hAnsi="Times New Roman;Times;serif"/>
          <w:sz w:val="24"/>
        </w:rPr>
        <w:t>“</w:t>
      </w:r>
      <w:r>
        <w:rPr>
          <w:rFonts w:ascii="Times New Roman;Times;serif" w:hAnsi="Times New Roman;Times;serif"/>
          <w:b/>
          <w:i/>
          <w:sz w:val="24"/>
        </w:rPr>
        <w:t>Option Agreement</w:t>
      </w:r>
      <w:r>
        <w:rPr>
          <w:rFonts w:ascii="Times New Roman;Times;serif" w:hAnsi="Times New Roman;Times;serif"/>
          <w:sz w:val="24"/>
        </w:rPr>
        <w:t>” means a written agreement between the Company and an Optionholder evidencing the terms and conditions of an Option grant. Each Option Agreement will be subject to the terms and conditions of the Plan.</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(dd)</w:t>
      </w:r>
      <w:r>
        <w:rPr>
          <w:rFonts w:ascii="Times New Roman;Times;serif" w:hAnsi="Times New Roman;Times;serif"/>
          <w:sz w:val="24"/>
        </w:rPr>
        <w:t>“</w:t>
      </w:r>
      <w:r>
        <w:rPr>
          <w:rFonts w:ascii="Times New Roman;Times;serif" w:hAnsi="Times New Roman;Times;serif"/>
          <w:b/>
          <w:i/>
          <w:sz w:val="24"/>
        </w:rPr>
        <w:t>Optionholder</w:t>
      </w:r>
      <w:r>
        <w:rPr>
          <w:rFonts w:ascii="Times New Roman;Times;serif" w:hAnsi="Times New Roman;Times;serif"/>
          <w:sz w:val="24"/>
        </w:rPr>
        <w:t>” means a person to whom an Option is granted pursuant to the Plan or, if applicable, such other person who holds an outstanding Option.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(ee)</w:t>
      </w:r>
      <w:r>
        <w:rPr>
          <w:rFonts w:ascii="Times New Roman;Times;serif" w:hAnsi="Times New Roman;Times;serif"/>
          <w:sz w:val="24"/>
        </w:rPr>
        <w:t>“</w:t>
      </w:r>
      <w:r>
        <w:rPr>
          <w:rFonts w:ascii="Times New Roman;Times;serif" w:hAnsi="Times New Roman;Times;serif"/>
          <w:b/>
          <w:i/>
          <w:sz w:val="24"/>
        </w:rPr>
        <w:t>Other Stock Award</w:t>
      </w:r>
      <w:r>
        <w:rPr>
          <w:rFonts w:ascii="Times New Roman;Times;serif" w:hAnsi="Times New Roman;Times;serif"/>
          <w:sz w:val="24"/>
        </w:rPr>
        <w:t>” means an award based in whole or in part by reference to the Common Stock which is granted pursuant to the terms and conditions of Section 6(d).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(ff)</w:t>
      </w:r>
      <w:r>
        <w:rPr>
          <w:rFonts w:ascii="Times New Roman;Times;serif" w:hAnsi="Times New Roman;Times;serif"/>
          <w:sz w:val="24"/>
        </w:rPr>
        <w:t>“</w:t>
      </w:r>
      <w:r>
        <w:rPr>
          <w:rFonts w:ascii="Times New Roman;Times;serif" w:hAnsi="Times New Roman;Times;serif"/>
          <w:b/>
          <w:i/>
          <w:sz w:val="24"/>
        </w:rPr>
        <w:t>Other Stock Award Agreement</w:t>
      </w:r>
      <w:r>
        <w:rPr>
          <w:rFonts w:ascii="Times New Roman;Times;serif" w:hAnsi="Times New Roman;Times;serif"/>
          <w:sz w:val="24"/>
        </w:rPr>
        <w:t>” means a written agreement between the Company and a holder of an Other Stock Award evidencing the terms and conditions of an Other Stock Award grant. Each Other Stock Award Agreement will be subject to the terms and conditions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(gg)</w:t>
      </w:r>
      <w:r>
        <w:rPr>
          <w:rFonts w:ascii="Times New Roman;Times;serif" w:hAnsi="Times New Roman;Times;serif"/>
          <w:sz w:val="24"/>
        </w:rPr>
        <w:t>“</w:t>
      </w:r>
      <w:r>
        <w:rPr>
          <w:rFonts w:ascii="Times New Roman;Times;serif" w:hAnsi="Times New Roman;Times;serif"/>
          <w:b/>
          <w:i/>
          <w:sz w:val="24"/>
        </w:rPr>
        <w:t>Own,</w:t>
      </w:r>
      <w:r>
        <w:rPr>
          <w:rFonts w:ascii="Times New Roman;Times;serif" w:hAnsi="Times New Roman;Times;serif"/>
          <w:sz w:val="24"/>
        </w:rPr>
        <w:t>” “</w:t>
      </w:r>
      <w:r>
        <w:rPr>
          <w:rFonts w:ascii="Times New Roman;Times;serif" w:hAnsi="Times New Roman;Times;serif"/>
          <w:b/>
          <w:i/>
          <w:sz w:val="24"/>
        </w:rPr>
        <w:t>Owned,</w:t>
      </w:r>
      <w:r>
        <w:rPr>
          <w:rFonts w:ascii="Times New Roman;Times;serif" w:hAnsi="Times New Roman;Times;serif"/>
          <w:sz w:val="24"/>
        </w:rPr>
        <w:t>” “</w:t>
      </w:r>
      <w:r>
        <w:rPr>
          <w:rFonts w:ascii="Times New Roman;Times;serif" w:hAnsi="Times New Roman;Times;serif"/>
          <w:b/>
          <w:i/>
          <w:sz w:val="24"/>
        </w:rPr>
        <w:t>Owner,</w:t>
      </w:r>
      <w:r>
        <w:rPr>
          <w:rFonts w:ascii="Times New Roman;Times;serif" w:hAnsi="Times New Roman;Times;serif"/>
          <w:sz w:val="24"/>
        </w:rPr>
        <w:t>” “</w:t>
      </w:r>
      <w:r>
        <w:rPr>
          <w:rFonts w:ascii="Times New Roman;Times;serif" w:hAnsi="Times New Roman;Times;serif"/>
          <w:b/>
          <w:i/>
          <w:sz w:val="24"/>
        </w:rPr>
        <w:t>Ownership</w:t>
      </w:r>
      <w:r>
        <w:rPr>
          <w:rFonts w:ascii="Times New Roman;Times;serif" w:hAnsi="Times New Roman;Times;serif"/>
          <w:sz w:val="24"/>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(hh)</w:t>
      </w:r>
      <w:r>
        <w:rPr>
          <w:rFonts w:ascii="Times New Roman;Times;serif" w:hAnsi="Times New Roman;Times;serif"/>
          <w:sz w:val="24"/>
        </w:rPr>
        <w:t>“</w:t>
      </w:r>
      <w:r>
        <w:rPr>
          <w:rFonts w:ascii="Times New Roman;Times;serif" w:hAnsi="Times New Roman;Times;serif"/>
          <w:b/>
          <w:i/>
          <w:sz w:val="24"/>
        </w:rPr>
        <w:t>Participant</w:t>
      </w:r>
      <w:r>
        <w:rPr>
          <w:rFonts w:ascii="Times New Roman;Times;serif" w:hAnsi="Times New Roman;Times;serif"/>
          <w:sz w:val="24"/>
        </w:rPr>
        <w:t>” means a person to whom an Award is granted pursuant to the Plan or, if applicable, such other person who holds an outstanding Stock Award.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w:t>
      </w:r>
      <w:r>
        <w:rPr>
          <w:rFonts w:ascii="Times New Roman;Times;serif" w:hAnsi="Times New Roman;Times;serif"/>
          <w:b/>
          <w:i/>
          <w:sz w:val="24"/>
        </w:rPr>
        <w:t>Performance Cash Award</w:t>
      </w:r>
      <w:r>
        <w:rPr>
          <w:rFonts w:ascii="Times New Roman;Times;serif" w:hAnsi="Times New Roman;Times;serif"/>
          <w:sz w:val="24"/>
        </w:rPr>
        <w:t>” means an award of cash granted pursuant to the terms and conditions of Section 6(c)(ii).</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(jj)</w:t>
      </w:r>
      <w:r>
        <w:rPr>
          <w:rFonts w:ascii="Times New Roman;Times;serif" w:hAnsi="Times New Roman;Times;serif"/>
          <w:sz w:val="24"/>
        </w:rPr>
        <w:t>“</w:t>
      </w:r>
      <w:r>
        <w:rPr>
          <w:rFonts w:ascii="Times New Roman;Times;serif" w:hAnsi="Times New Roman;Times;serif"/>
          <w:b/>
          <w:i/>
          <w:sz w:val="24"/>
        </w:rPr>
        <w:t>Performance Criteria</w:t>
      </w:r>
      <w:r>
        <w:rPr>
          <w:rFonts w:ascii="Times New Roman;Times;serif" w:hAnsi="Times New Roman;Times;serif"/>
          <w:sz w:val="24"/>
        </w:rPr>
        <w:t xml:space="preserve">” 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customer satisfaction; (xxv) stockholders’ equity; (xxvi) capital expenditures; (xxvii) debt levels; (xxviii) operating profit or net operating profit; (xxix) workforce diversity; (xxx) growth of net income or operating income; (xxxi) billings; (xxxii) pre-clinical development related compound goals; (xxxiii) financing; (xxxiv) regulatory milestones, including approval of a compound; (xxxv) stockholder liquidity; (xxxvi)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 (xlv) completing phases of a clinical study (including the treatment phase); (xlvi) announcing or presenting preliminary or final data from clinical studies; in each case, whether on particular timelines or generally; (xlvii) timely completion of clinical trials;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(xlviii) regulatory achievements; (xlix) partner or collaborator achievements; (l) internal controls, including those related to the Sarbanes-Oxley Act of 2002; (li) research progress, including the development of programs; (lii)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(including with group purchasing organizations, distributors and other vendors); (lvi) supply chain achievements (including establishing relationships with manufacturers or suppliers of active pharmaceutical ingredients and other component materials and manufacturers of the Company’s products); (lvii) co-development, co-marketing, profit sharing, joint venture or other similar arrangements; (lviii) individual performance goals; (lix) corporate development and planning goals; and (lx) other measures of performance selected by the Board or Committee.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(kk)</w:t>
      </w:r>
      <w:r>
        <w:rPr>
          <w:rFonts w:ascii="Times New Roman;Times;serif" w:hAnsi="Times New Roman;Times;serif"/>
          <w:sz w:val="24"/>
        </w:rPr>
        <w:t>“</w:t>
      </w:r>
      <w:r>
        <w:rPr>
          <w:rFonts w:ascii="Times New Roman;Times;serif" w:hAnsi="Times New Roman;Times;serif"/>
          <w:b/>
          <w:i/>
          <w:sz w:val="24"/>
        </w:rPr>
        <w:t>Performance Goals</w:t>
      </w:r>
      <w:r>
        <w:rPr>
          <w:rFonts w:ascii="Times New Roman;Times;serif" w:hAnsi="Times New Roman;Times;serif"/>
          <w:sz w:val="24"/>
        </w:rPr>
        <w:t>” 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may appropriately make adjustments in the method of calculating the attainment of Performance Goals for a Performance Period as follows: (1) to exclude restructuring and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Committee (as applicable) retains the discretion to adjust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(ll)</w:t>
      </w:r>
      <w:r>
        <w:rPr>
          <w:rFonts w:ascii="Times New Roman;Times;serif" w:hAnsi="Times New Roman;Times;serif"/>
          <w:sz w:val="24"/>
        </w:rPr>
        <w:t>“</w:t>
      </w:r>
      <w:r>
        <w:rPr>
          <w:rFonts w:ascii="Times New Roman;Times;serif" w:hAnsi="Times New Roman;Times;serif"/>
          <w:b/>
          <w:i/>
          <w:sz w:val="24"/>
        </w:rPr>
        <w:t>Performance Period</w:t>
      </w:r>
      <w:r>
        <w:rPr>
          <w:rFonts w:ascii="Times New Roman;Times;serif" w:hAnsi="Times New Roman;Times;serif"/>
          <w:sz w:val="24"/>
        </w:rPr>
        <w:t>” 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(mm)</w:t>
      </w:r>
      <w:r>
        <w:rPr>
          <w:rFonts w:ascii="Times New Roman;Times;serif" w:hAnsi="Times New Roman;Times;serif"/>
          <w:sz w:val="24"/>
        </w:rPr>
        <w:t>“</w:t>
      </w:r>
      <w:r>
        <w:rPr>
          <w:rFonts w:ascii="Times New Roman;Times;serif" w:hAnsi="Times New Roman;Times;serif"/>
          <w:b/>
          <w:i/>
          <w:sz w:val="24"/>
        </w:rPr>
        <w:t>Performance Stock Award</w:t>
      </w:r>
      <w:r>
        <w:rPr>
          <w:rFonts w:ascii="Times New Roman;Times;serif" w:hAnsi="Times New Roman;Times;serif"/>
          <w:sz w:val="24"/>
        </w:rPr>
        <w:t>” means a Stock Award granted under the terms and conditions of Section 6(c)(i).</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(nn)</w:t>
      </w:r>
      <w:r>
        <w:rPr>
          <w:rFonts w:ascii="Times New Roman;Times;serif" w:hAnsi="Times New Roman;Times;serif"/>
          <w:sz w:val="24"/>
        </w:rPr>
        <w:t>“</w:t>
      </w:r>
      <w:r>
        <w:rPr>
          <w:rFonts w:ascii="Times New Roman;Times;serif" w:hAnsi="Times New Roman;Times;serif"/>
          <w:b/>
          <w:i/>
          <w:sz w:val="24"/>
        </w:rPr>
        <w:t>Plan</w:t>
      </w:r>
      <w:r>
        <w:rPr>
          <w:rFonts w:ascii="Times New Roman;Times;serif" w:hAnsi="Times New Roman;Times;serif"/>
          <w:sz w:val="24"/>
        </w:rPr>
        <w:t>” means this Neuronetics, Inc. 2026 Equity Incentive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(oo)</w:t>
      </w:r>
      <w:r>
        <w:rPr>
          <w:rFonts w:ascii="Times New Roman;Times;serif" w:hAnsi="Times New Roman;Times;serif"/>
          <w:sz w:val="24"/>
        </w:rPr>
        <w:t>“</w:t>
      </w:r>
      <w:r>
        <w:rPr>
          <w:rFonts w:ascii="Times New Roman;Times;serif" w:hAnsi="Times New Roman;Times;serif"/>
          <w:b/>
          <w:i/>
          <w:sz w:val="24"/>
        </w:rPr>
        <w:t>Restricted Stock Award</w:t>
      </w:r>
      <w:r>
        <w:rPr>
          <w:rFonts w:ascii="Times New Roman;Times;serif" w:hAnsi="Times New Roman;Times;serif"/>
          <w:sz w:val="24"/>
        </w:rPr>
        <w:t>” means an award of shares of Common Stock which is granted pursuant to the terms and conditions of Section 6(a).</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(pp)</w:t>
      </w:r>
      <w:r>
        <w:rPr>
          <w:rFonts w:ascii="Times New Roman;Times;serif" w:hAnsi="Times New Roman;Times;serif"/>
          <w:sz w:val="24"/>
        </w:rPr>
        <w:t>“</w:t>
      </w:r>
      <w:r>
        <w:rPr>
          <w:rFonts w:ascii="Times New Roman;Times;serif" w:hAnsi="Times New Roman;Times;serif"/>
          <w:b/>
          <w:i/>
          <w:sz w:val="24"/>
        </w:rPr>
        <w:t>Restricted Stock Award Agreement</w:t>
      </w:r>
      <w:r>
        <w:rPr>
          <w:rFonts w:ascii="Times New Roman;Times;serif" w:hAnsi="Times New Roman;Times;serif"/>
          <w:sz w:val="24"/>
        </w:rPr>
        <w:t>” 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(qq)</w:t>
      </w:r>
      <w:r>
        <w:rPr>
          <w:rFonts w:ascii="Times New Roman;Times;serif" w:hAnsi="Times New Roman;Times;serif"/>
          <w:sz w:val="24"/>
        </w:rPr>
        <w:t>“</w:t>
      </w:r>
      <w:r>
        <w:rPr>
          <w:rFonts w:ascii="Times New Roman;Times;serif" w:hAnsi="Times New Roman;Times;serif"/>
          <w:b/>
          <w:i/>
          <w:sz w:val="24"/>
        </w:rPr>
        <w:t>Restricted Stock Unit Award</w:t>
      </w:r>
      <w:r>
        <w:rPr>
          <w:rFonts w:ascii="Times New Roman;Times;serif" w:hAnsi="Times New Roman;Times;serif"/>
          <w:sz w:val="24"/>
        </w:rPr>
        <w:t>” means a right to receive shares of Common Stock which is granted pursuant to the terms and conditions of Section 6(b).</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(rr)</w:t>
      </w:r>
      <w:r>
        <w:rPr>
          <w:rFonts w:ascii="Times New Roman;Times;serif" w:hAnsi="Times New Roman;Times;serif"/>
          <w:sz w:val="24"/>
        </w:rPr>
        <w:t>“</w:t>
      </w:r>
      <w:r>
        <w:rPr>
          <w:rFonts w:ascii="Times New Roman;Times;serif" w:hAnsi="Times New Roman;Times;serif"/>
          <w:b/>
          <w:i/>
          <w:sz w:val="24"/>
        </w:rPr>
        <w:t>Restricted Stock Unit Award Agreement</w:t>
      </w:r>
      <w:r>
        <w:rPr>
          <w:rFonts w:ascii="Times New Roman;Times;serif" w:hAnsi="Times New Roman;Times;serif"/>
          <w:sz w:val="24"/>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(ss)</w:t>
      </w:r>
      <w:r>
        <w:rPr>
          <w:rFonts w:ascii="Times New Roman;Times;serif" w:hAnsi="Times New Roman;Times;serif"/>
          <w:sz w:val="24"/>
        </w:rPr>
        <w:t>“</w:t>
      </w:r>
      <w:r>
        <w:rPr>
          <w:rFonts w:ascii="Times New Roman;Times;serif" w:hAnsi="Times New Roman;Times;serif"/>
          <w:b/>
          <w:i/>
          <w:sz w:val="24"/>
        </w:rPr>
        <w:t>Rule 16b-3</w:t>
      </w:r>
      <w:r>
        <w:rPr>
          <w:rFonts w:ascii="Times New Roman;Times;serif" w:hAnsi="Times New Roman;Times;serif"/>
          <w:sz w:val="24"/>
        </w:rPr>
        <w:t>” means Rule 16b-3 promulgated under the Exchange Act or any successor to Rule 16b-3, as in effect from time to time.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(tt)</w:t>
      </w:r>
      <w:r>
        <w:rPr>
          <w:rFonts w:ascii="Times New Roman;Times;serif" w:hAnsi="Times New Roman;Times;serif"/>
          <w:sz w:val="24"/>
        </w:rPr>
        <w:t>“</w:t>
      </w:r>
      <w:r>
        <w:rPr>
          <w:rFonts w:ascii="Times New Roman;Times;serif" w:hAnsi="Times New Roman;Times;serif"/>
          <w:b/>
          <w:i/>
          <w:sz w:val="24"/>
        </w:rPr>
        <w:t>Securities Act</w:t>
      </w:r>
      <w:r>
        <w:rPr>
          <w:rFonts w:ascii="Times New Roman;Times;serif" w:hAnsi="Times New Roman;Times;serif"/>
          <w:sz w:val="24"/>
        </w:rPr>
        <w:t>” means the Securities Act of 1933, as amended.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(uu)</w:t>
      </w:r>
      <w:r>
        <w:rPr>
          <w:rFonts w:ascii="Times New Roman;Times;serif" w:hAnsi="Times New Roman;Times;serif"/>
          <w:sz w:val="24"/>
        </w:rPr>
        <w:t>“</w:t>
      </w:r>
      <w:r>
        <w:rPr>
          <w:rFonts w:ascii="Times New Roman;Times;serif" w:hAnsi="Times New Roman;Times;serif"/>
          <w:b/>
          <w:i/>
          <w:sz w:val="24"/>
        </w:rPr>
        <w:t>Stock Appreciation Right</w:t>
      </w:r>
      <w:r>
        <w:rPr>
          <w:rFonts w:ascii="Times New Roman;Times;serif" w:hAnsi="Times New Roman;Times;serif"/>
          <w:sz w:val="24"/>
        </w:rPr>
        <w:t>” or “</w:t>
      </w:r>
      <w:r>
        <w:rPr>
          <w:rFonts w:ascii="Times New Roman;Times;serif" w:hAnsi="Times New Roman;Times;serif"/>
          <w:b/>
          <w:i/>
          <w:sz w:val="24"/>
        </w:rPr>
        <w:t>SAR</w:t>
      </w:r>
      <w:r>
        <w:rPr>
          <w:rFonts w:ascii="Times New Roman;Times;serif" w:hAnsi="Times New Roman;Times;serif"/>
          <w:sz w:val="24"/>
        </w:rPr>
        <w:t>” means a right to receive the appreciation on Common Stock that is granted pursuant to the terms and conditions of Section 5.</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(vv)</w:t>
      </w:r>
      <w:r>
        <w:rPr>
          <w:rFonts w:ascii="Times New Roman;Times;serif" w:hAnsi="Times New Roman;Times;serif"/>
          <w:sz w:val="24"/>
        </w:rPr>
        <w:t>“</w:t>
      </w:r>
      <w:r>
        <w:rPr>
          <w:rFonts w:ascii="Times New Roman;Times;serif" w:hAnsi="Times New Roman;Times;serif"/>
          <w:b/>
          <w:i/>
          <w:sz w:val="24"/>
        </w:rPr>
        <w:t>Stock Appreciation Right Agreement</w:t>
      </w:r>
      <w:r>
        <w:rPr>
          <w:rFonts w:ascii="Times New Roman;Times;serif" w:hAnsi="Times New Roman;Times;serif"/>
          <w:sz w:val="24"/>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(ww)</w:t>
      </w:r>
      <w:r>
        <w:rPr>
          <w:rFonts w:ascii="Times New Roman;Times;serif" w:hAnsi="Times New Roman;Times;serif"/>
          <w:sz w:val="24"/>
        </w:rPr>
        <w:t>“</w:t>
      </w:r>
      <w:r>
        <w:rPr>
          <w:rFonts w:ascii="Times New Roman;Times;serif" w:hAnsi="Times New Roman;Times;serif"/>
          <w:b/>
          <w:i/>
          <w:sz w:val="24"/>
        </w:rPr>
        <w:t>Stock Award</w:t>
      </w:r>
      <w:r>
        <w:rPr>
          <w:rFonts w:ascii="Times New Roman;Times;serif" w:hAnsi="Times New Roman;Times;serif"/>
          <w:sz w:val="24"/>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(xx)</w:t>
      </w:r>
      <w:r>
        <w:rPr>
          <w:rFonts w:ascii="Times New Roman;Times;serif" w:hAnsi="Times New Roman;Times;serif"/>
          <w:sz w:val="24"/>
        </w:rPr>
        <w:t>“</w:t>
      </w:r>
      <w:r>
        <w:rPr>
          <w:rFonts w:ascii="Times New Roman;Times;serif" w:hAnsi="Times New Roman;Times;serif"/>
          <w:b/>
          <w:i/>
          <w:sz w:val="24"/>
        </w:rPr>
        <w:t>Stock Award Agreement</w:t>
      </w:r>
      <w:r>
        <w:rPr>
          <w:rFonts w:ascii="Times New Roman;Times;serif" w:hAnsi="Times New Roman;Times;serif"/>
          <w:sz w:val="24"/>
        </w:rPr>
        <w:t>” means a written agreement between the Company and a Participant evidencing the terms and conditions of a Stock Award grant. Each Stock Award Agreement will be subject to the terms and conditions of the Plan.</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(yy)</w:t>
      </w:r>
      <w:r>
        <w:rPr>
          <w:rFonts w:ascii="Times New Roman;Times;serif" w:hAnsi="Times New Roman;Times;serif"/>
          <w:sz w:val="24"/>
        </w:rPr>
        <w:t>“</w:t>
      </w:r>
      <w:r>
        <w:rPr>
          <w:rFonts w:ascii="Times New Roman;Times;serif" w:hAnsi="Times New Roman;Times;serif"/>
          <w:b/>
          <w:i/>
          <w:sz w:val="24"/>
        </w:rPr>
        <w:t>Subsidiary</w:t>
      </w:r>
      <w:r>
        <w:rPr>
          <w:rFonts w:ascii="Times New Roman;Times;serif" w:hAnsi="Times New Roman;Times;serif"/>
          <w:sz w:val="24"/>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(zz)</w:t>
      </w:r>
      <w:r>
        <w:rPr>
          <w:rFonts w:ascii="Times New Roman;Times;serif" w:hAnsi="Times New Roman;Times;serif"/>
          <w:sz w:val="24"/>
        </w:rPr>
        <w:t>“</w:t>
      </w:r>
      <w:r>
        <w:rPr>
          <w:rFonts w:ascii="Times New Roman;Times;serif" w:hAnsi="Times New Roman;Times;serif"/>
          <w:b/>
          <w:i/>
          <w:sz w:val="24"/>
        </w:rPr>
        <w:t>Ten Percent Stockholder</w:t>
      </w:r>
      <w:r>
        <w:rPr>
          <w:rFonts w:ascii="Times New Roman;Times;serif" w:hAnsi="Times New Roman;Times;serif"/>
          <w:sz w:val="24"/>
        </w:rPr>
        <w:t>” means a person who Owns (or is deemed to Own pursuant to Section 424(d) of the Code) stock possessing more than 10% of the total combined voting power of all classes of stock of the Company or any Affiliate.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sz w:val="24"/>
        </w:rPr>
        <w:t>(aaa)</w:t>
      </w:r>
      <w:r>
        <w:rPr>
          <w:rFonts w:ascii="Times New Roman;Times;serif" w:hAnsi="Times New Roman;Times;serif"/>
          <w:sz w:val="24"/>
        </w:rPr>
        <w:t>“</w:t>
      </w:r>
      <w:r>
        <w:rPr>
          <w:rFonts w:ascii="Times New Roman;Times;serif" w:hAnsi="Times New Roman;Times;serif"/>
          <w:b/>
          <w:i/>
          <w:sz w:val="24"/>
        </w:rPr>
        <w:t>Transaction</w:t>
      </w:r>
      <w:r>
        <w:rPr>
          <w:rFonts w:ascii="Times New Roman;Times;serif" w:hAnsi="Times New Roman;Times;serif"/>
          <w:sz w:val="24"/>
        </w:rPr>
        <w:t>” means a Corporate Transaction or a Change in Control.</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1290" w:name="stim-20260630xex31d1.htm"/>
      <w:bookmarkStart w:id="1291" w:name="ksstim20260630xex31d1"/>
      <w:bookmarkEnd w:id="1290"/>
      <w:bookmarkEnd w:id="1291"/>
      <w:r>
        <w:rPr>
          <w:rFonts w:ascii="Times New Roman;Times;serif" w:hAnsi="Times New Roman;Times;serif"/>
          <w:b/>
          <w:sz w:val="18"/>
        </w:rPr>
        <w:t>Exhibit 31.1</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 Dan Reuvers, certify that:</w:t>
      </w:r>
    </w:p>
    <w:tbl>
      <w:tblPr>
        <w:tblW w:w="5320" w:type="dxa"/>
        <w:jc w:val="left"/>
        <w:tblInd w:w="0" w:type="dxa"/>
        <w:tblLayout w:type="fixed"/>
        <w:tblCellMar>
          <w:top w:w="0" w:type="dxa"/>
          <w:left w:w="0" w:type="dxa"/>
          <w:bottom w:w="0" w:type="dxa"/>
          <w:right w:w="0" w:type="dxa"/>
        </w:tblCellMar>
      </w:tblPr>
      <w:tblGrid>
        <w:gridCol w:w="155"/>
        <w:gridCol w:w="5165"/>
      </w:tblGrid>
      <w:tr>
        <w:trPr/>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100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5148" w:type="dxa"/>
        <w:jc w:val="center"/>
        <w:tblInd w:w="0" w:type="dxa"/>
        <w:tblLayout w:type="fixed"/>
        <w:tblCellMar>
          <w:top w:w="0" w:type="dxa"/>
          <w:left w:w="0" w:type="dxa"/>
          <w:bottom w:w="0" w:type="dxa"/>
          <w:right w:w="0" w:type="dxa"/>
        </w:tblCellMar>
      </w:tblPr>
      <w:tblGrid>
        <w:gridCol w:w="1741"/>
        <w:gridCol w:w="571"/>
        <w:gridCol w:w="2836"/>
      </w:tblGrid>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August 11, 2026</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 Reuvers</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Reuvers</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1292" w:name="stim-20260630xex31d2.htm"/>
      <w:bookmarkStart w:id="1293" w:name="ksstim20260630xex31d2"/>
      <w:bookmarkEnd w:id="1292"/>
      <w:bookmarkEnd w:id="1293"/>
      <w:r>
        <w:rPr>
          <w:rFonts w:ascii="Times New Roman;Times;serif" w:hAnsi="Times New Roman;Times;serif"/>
          <w:b/>
          <w:sz w:val="18"/>
        </w:rPr>
        <w:t>Exhibit 31.2</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 Francis X. Brown III, certify that:</w:t>
      </w:r>
    </w:p>
    <w:tbl>
      <w:tblPr>
        <w:tblW w:w="5320" w:type="dxa"/>
        <w:jc w:val="left"/>
        <w:tblInd w:w="0" w:type="dxa"/>
        <w:tblLayout w:type="fixed"/>
        <w:tblCellMar>
          <w:top w:w="0" w:type="dxa"/>
          <w:left w:w="0" w:type="dxa"/>
          <w:bottom w:w="0" w:type="dxa"/>
          <w:right w:w="0" w:type="dxa"/>
        </w:tblCellMar>
      </w:tblPr>
      <w:tblGrid>
        <w:gridCol w:w="155"/>
        <w:gridCol w:w="5165"/>
      </w:tblGrid>
      <w:tr>
        <w:trPr/>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6588" w:type="dxa"/>
        <w:jc w:val="center"/>
        <w:tblInd w:w="0" w:type="dxa"/>
        <w:tblLayout w:type="fixed"/>
        <w:tblCellMar>
          <w:top w:w="0" w:type="dxa"/>
          <w:left w:w="0" w:type="dxa"/>
          <w:bottom w:w="0" w:type="dxa"/>
          <w:right w:w="0" w:type="dxa"/>
        </w:tblCellMar>
      </w:tblPr>
      <w:tblGrid>
        <w:gridCol w:w="1741"/>
        <w:gridCol w:w="571"/>
        <w:gridCol w:w="4276"/>
      </w:tblGrid>
      <w:tr>
        <w:trPr/>
        <w:tc>
          <w:tcPr>
            <w:tcW w:w="17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62585" cy="175260"/>
                      <wp:effectExtent l="0" t="0" r="0" b="0"/>
                      <wp:wrapNone/>
                      <wp:docPr id="305" name="Frame3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August 11, 2026</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42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Francis X. Brown III</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42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Francis X. Brown III</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Principal Financial and Accounting Officer</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1294" w:name="stim-20260630xex32d1.htm"/>
      <w:bookmarkStart w:id="1295" w:name="ksstim20260630xex32d1"/>
      <w:bookmarkEnd w:id="1294"/>
      <w:bookmarkEnd w:id="1295"/>
      <w:r>
        <w:rPr>
          <w:rFonts w:ascii="Times New Roman;Times;serif" w:hAnsi="Times New Roman;Times;serif"/>
          <w:b/>
          <w:sz w:val="18"/>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June 30, 2026 as filed with the Securities and Exchange Commission on the date hereof (the “Report”), I certify, pursuant to 18 U.S.C. Section 1350, as adopted pursuant to Section 906 of the Sarbanes-Oxley Act of 2002, that:</w:t>
      </w:r>
    </w:p>
    <w:tbl>
      <w:tblPr>
        <w:tblW w:w="8583" w:type="dxa"/>
        <w:jc w:val="left"/>
        <w:tblInd w:w="0" w:type="dxa"/>
        <w:tblLayout w:type="fixed"/>
        <w:tblCellMar>
          <w:top w:w="0" w:type="dxa"/>
          <w:left w:w="0" w:type="dxa"/>
          <w:bottom w:w="0" w:type="dxa"/>
          <w:right w:w="0" w:type="dxa"/>
        </w:tblCellMar>
      </w:tblPr>
      <w:tblGrid>
        <w:gridCol w:w="23"/>
        <w:gridCol w:w="23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tbl>
      <w:tblPr>
        <w:tblW w:w="5148" w:type="dxa"/>
        <w:jc w:val="center"/>
        <w:tblInd w:w="0" w:type="dxa"/>
        <w:tblLayout w:type="fixed"/>
        <w:tblCellMar>
          <w:top w:w="0" w:type="dxa"/>
          <w:left w:w="0" w:type="dxa"/>
          <w:bottom w:w="0" w:type="dxa"/>
          <w:right w:w="0" w:type="dxa"/>
        </w:tblCellMar>
      </w:tblPr>
      <w:tblGrid>
        <w:gridCol w:w="1741"/>
        <w:gridCol w:w="571"/>
        <w:gridCol w:w="2836"/>
      </w:tblGrid>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August 11, 2026</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 Reuvers</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Reuvers</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1296" w:name="stim-20260630xex32d2.htm"/>
      <w:bookmarkStart w:id="1297" w:name="ksstim20260630xex32d2"/>
      <w:bookmarkEnd w:id="1296"/>
      <w:bookmarkEnd w:id="1297"/>
      <w:r>
        <w:rPr>
          <w:rFonts w:ascii="Times New Roman;Times;serif" w:hAnsi="Times New Roman;Times;serif"/>
          <w:b/>
          <w:sz w:val="18"/>
        </w:rPr>
        <w:t>Exhibit 32.2</w:t>
      </w:r>
      <w:r>
        <w:br w:type="page"/>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June 30, 2026 as filed with the Securities and Exchange Commission on the date hereof (the “Report”), I certify, pursuant to 18 U.S.C. Section 1350, as adopted pursuant to Section 906 of the Sarbanes-Oxley Act of 2002, that:</w:t>
      </w:r>
    </w:p>
    <w:tbl>
      <w:tblPr>
        <w:tblW w:w="8583" w:type="dxa"/>
        <w:jc w:val="left"/>
        <w:tblInd w:w="0" w:type="dxa"/>
        <w:tblLayout w:type="fixed"/>
        <w:tblCellMar>
          <w:top w:w="0" w:type="dxa"/>
          <w:left w:w="0" w:type="dxa"/>
          <w:bottom w:w="0" w:type="dxa"/>
          <w:right w:w="0" w:type="dxa"/>
        </w:tblCellMar>
      </w:tblPr>
      <w:tblGrid>
        <w:gridCol w:w="23"/>
        <w:gridCol w:w="23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6063" w:type="dxa"/>
        <w:jc w:val="center"/>
        <w:tblInd w:w="0" w:type="dxa"/>
        <w:tblLayout w:type="fixed"/>
        <w:tblCellMar>
          <w:top w:w="0" w:type="dxa"/>
          <w:left w:w="0" w:type="dxa"/>
          <w:bottom w:w="0" w:type="dxa"/>
          <w:right w:w="0" w:type="dxa"/>
        </w:tblCellMar>
      </w:tblPr>
      <w:tblGrid>
        <w:gridCol w:w="1741"/>
        <w:gridCol w:w="571"/>
        <w:gridCol w:w="3751"/>
      </w:tblGrid>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August 11, 2026</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Francis X. Brown III</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37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Francis X. Brown III</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Interim Principal Financial and Accounting Officer</w:t>
            </w:r>
          </w:p>
        </w:tc>
      </w:tr>
      <w:tr>
        <w:trPr/>
        <w:tc>
          <w:tcPr>
            <w:tcW w:w="174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7636/000119312524188309/d848541dex101.htm" TargetMode="External"/><Relationship Id="rId3" Type="http://schemas.openxmlformats.org/officeDocument/2006/relationships/hyperlink" Target="https://www.sec.gov/Archives/edgar/data/1227636/000119312524274383/d897369dex102.htm" TargetMode="External"/><Relationship Id="rId4" Type="http://schemas.openxmlformats.org/officeDocument/2006/relationships/hyperlink" Target="https://www.sec.gov/Archives/edgar/data/1227636/000155837025003833/stim-20241231xex10d52.htm" TargetMode="External"/><Relationship Id="rId5" Type="http://schemas.openxmlformats.org/officeDocument/2006/relationships/hyperlink" Target="https://www.sec.gov/Archives/edgar/data/1227636/000119312525173033/d72601dex101.htm" TargetMode="External"/><Relationship Id="rId6" Type="http://schemas.openxmlformats.org/officeDocument/2006/relationships/hyperlink" Target="https://www.sec.gov/Archives/edgar/data/1227636/000119312526018674/d60753dex101.htm" TargetMode="External"/><Relationship Id="rId7" Type="http://schemas.openxmlformats.org/officeDocument/2006/relationships/hyperlink" Target="https://www.sec.gov/Archives/edgar/data/1227636/000110465926029004/stim-20251231xex10d7.htm" TargetMode="External"/><Relationship Id="rId8" Type="http://schemas.openxmlformats.org/officeDocument/2006/relationships/hyperlink" Target="https://www.sec.gov/Archives/edgar/data/1227636/000119312525022833/d928209dex11.htm" TargetMode="External"/><Relationship Id="rId9" Type="http://schemas.openxmlformats.org/officeDocument/2006/relationships/hyperlink" Target="https://www.sec.gov/Archives/edgar/data/1227636/000119312526143876/d107138dex101.htm" TargetMode="External"/><Relationship Id="rId10" Type="http://schemas.openxmlformats.org/officeDocument/2006/relationships/hyperlink" Target="https://www.sec.gov/Archives/edgar/data/1227636/000119312526308921/d226320dex101.htm" TargetMode="External"/><Relationship Id="rId11" Type="http://schemas.openxmlformats.org/officeDocument/2006/relationships/hyperlink" Target="https://www.sec.gov/Archives/edgar/data/1227636/000119312526308921/d226320dex101.htm" TargetMode="External"/><Relationship Id="rId12" Type="http://schemas.openxmlformats.org/officeDocument/2006/relationships/hyperlink" Target="https://www.sec.gov/Archives/edgar/data/1227636/000119312525022833/d928209dex5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33476</Words>
  <Characters>180015</Characters>
  <CharactersWithSpaces>215204</CharactersWithSpaces>
  <Paragraphs>5939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