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4"/>
          <w:szCs w:val="24"/>
          <w:color w:val="auto"/>
        </w:rPr>
      </w:pPr>
    </w:p>
    <w:p>
      <w:pPr>
        <w:ind w:left="3880" w:right="2180" w:hanging="3872"/>
        <w:spacing w:after="0" w:line="261" w:lineRule="auto"/>
        <w:tabs>
          <w:tab w:leader="none" w:pos="52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2019</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3880" w:right="2160" w:hanging="3872"/>
        <w:spacing w:after="0" w:line="277" w:lineRule="auto"/>
        <w:tabs>
          <w:tab w:leader="none" w:pos="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 to 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NEURONETICS,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5920" w:type="dxa"/>
            <w:vAlign w:val="bottom"/>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jc w:val="right"/>
              <w:ind w:right="539"/>
              <w:spacing w:after="0"/>
              <w:rPr>
                <w:sz w:val="20"/>
                <w:szCs w:val="20"/>
                <w:color w:val="auto"/>
              </w:rPr>
            </w:pPr>
            <w:r>
              <w:rPr>
                <w:rFonts w:ascii="Arial" w:cs="Arial" w:eastAsia="Arial" w:hAnsi="Arial"/>
                <w:sz w:val="18"/>
                <w:szCs w:val="18"/>
                <w:b w:val="1"/>
                <w:bCs w:val="1"/>
                <w:color w:val="auto"/>
              </w:rPr>
              <w:t>33-1051425</w:t>
            </w:r>
          </w:p>
        </w:tc>
      </w:tr>
      <w:tr>
        <w:trPr>
          <w:trHeight w:val="149"/>
        </w:trPr>
        <w:tc>
          <w:tcPr>
            <w:tcW w:w="5920" w:type="dxa"/>
            <w:vAlign w:val="bottom"/>
          </w:tcPr>
          <w:p>
            <w:pPr>
              <w:jc w:val="center"/>
              <w:ind w:right="3040"/>
              <w:spacing w:after="0" w:line="149" w:lineRule="exact"/>
              <w:rPr>
                <w:sz w:val="20"/>
                <w:szCs w:val="20"/>
                <w:color w:val="auto"/>
              </w:rPr>
            </w:pPr>
            <w:r>
              <w:rPr>
                <w:rFonts w:ascii="Arial" w:cs="Arial" w:eastAsia="Arial" w:hAnsi="Arial"/>
                <w:sz w:val="14"/>
                <w:szCs w:val="14"/>
                <w:color w:val="auto"/>
                <w:w w:val="95"/>
              </w:rPr>
              <w:t>(State or other jurisdiction of</w:t>
            </w:r>
          </w:p>
        </w:tc>
        <w:tc>
          <w:tcPr>
            <w:tcW w:w="2240" w:type="dxa"/>
            <w:vAlign w:val="bottom"/>
          </w:tcPr>
          <w:p>
            <w:pPr>
              <w:jc w:val="center"/>
              <w:ind w:left="5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5920" w:type="dxa"/>
            <w:vAlign w:val="bottom"/>
          </w:tcPr>
          <w:p>
            <w:pPr>
              <w:jc w:val="center"/>
              <w:ind w:right="3020"/>
              <w:spacing w:after="0"/>
              <w:rPr>
                <w:sz w:val="20"/>
                <w:szCs w:val="20"/>
                <w:color w:val="auto"/>
              </w:rPr>
            </w:pPr>
            <w:r>
              <w:rPr>
                <w:rFonts w:ascii="Arial" w:cs="Arial" w:eastAsia="Arial" w:hAnsi="Arial"/>
                <w:sz w:val="14"/>
                <w:szCs w:val="14"/>
                <w:color w:val="auto"/>
                <w:w w:val="95"/>
              </w:rPr>
              <w:t>incorporation or organization)</w:t>
            </w:r>
          </w:p>
        </w:tc>
        <w:tc>
          <w:tcPr>
            <w:tcW w:w="2240" w:type="dxa"/>
            <w:vAlign w:val="bottom"/>
          </w:tcPr>
          <w:p>
            <w:pPr>
              <w:spacing w:after="0"/>
              <w:rPr>
                <w:sz w:val="15"/>
                <w:szCs w:val="15"/>
                <w:color w:val="auto"/>
              </w:rPr>
            </w:pPr>
          </w:p>
        </w:tc>
      </w:tr>
      <w:tr>
        <w:trPr>
          <w:trHeight w:val="398"/>
        </w:trPr>
        <w:tc>
          <w:tcPr>
            <w:tcW w:w="5920" w:type="dxa"/>
            <w:vAlign w:val="bottom"/>
          </w:tcPr>
          <w:p>
            <w:pPr>
              <w:jc w:val="center"/>
              <w:ind w:right="3040"/>
              <w:spacing w:after="0"/>
              <w:rPr>
                <w:sz w:val="20"/>
                <w:szCs w:val="20"/>
                <w:color w:val="auto"/>
              </w:rPr>
            </w:pPr>
            <w:r>
              <w:rPr>
                <w:rFonts w:ascii="Arial" w:cs="Arial" w:eastAsia="Arial" w:hAnsi="Arial"/>
                <w:sz w:val="18"/>
                <w:szCs w:val="18"/>
                <w:b w:val="1"/>
                <w:bCs w:val="1"/>
                <w:color w:val="auto"/>
                <w:w w:val="91"/>
              </w:rPr>
              <w:t>3222 Phoenixville Pike, Malvern, PA</w:t>
            </w:r>
          </w:p>
        </w:tc>
        <w:tc>
          <w:tcPr>
            <w:tcW w:w="2240" w:type="dxa"/>
            <w:vAlign w:val="bottom"/>
          </w:tcPr>
          <w:p>
            <w:pPr>
              <w:jc w:val="right"/>
              <w:ind w:right="739"/>
              <w:spacing w:after="0"/>
              <w:rPr>
                <w:sz w:val="20"/>
                <w:szCs w:val="20"/>
                <w:color w:val="auto"/>
              </w:rPr>
            </w:pPr>
            <w:r>
              <w:rPr>
                <w:rFonts w:ascii="Arial" w:cs="Arial" w:eastAsia="Arial" w:hAnsi="Arial"/>
                <w:sz w:val="18"/>
                <w:szCs w:val="18"/>
                <w:b w:val="1"/>
                <w:bCs w:val="1"/>
                <w:color w:val="auto"/>
              </w:rPr>
              <w:t>19355</w:t>
            </w:r>
          </w:p>
        </w:tc>
      </w:tr>
      <w:tr>
        <w:trPr>
          <w:trHeight w:val="182"/>
        </w:trPr>
        <w:tc>
          <w:tcPr>
            <w:tcW w:w="5920" w:type="dxa"/>
            <w:vAlign w:val="bottom"/>
          </w:tcPr>
          <w:p>
            <w:pPr>
              <w:jc w:val="center"/>
              <w:ind w:right="3040"/>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jc w:val="center"/>
              <w:ind w:left="59"/>
              <w:spacing w:after="0"/>
              <w:rPr>
                <w:sz w:val="20"/>
                <w:szCs w:val="20"/>
                <w:color w:val="auto"/>
              </w:rPr>
            </w:pPr>
            <w:r>
              <w:rPr>
                <w:rFonts w:ascii="Arial" w:cs="Arial" w:eastAsia="Arial" w:hAnsi="Arial"/>
                <w:sz w:val="14"/>
                <w:szCs w:val="14"/>
                <w:color w:val="auto"/>
                <w:w w:val="93"/>
              </w:rPr>
              <w:t>(Zip Code)</w:t>
            </w:r>
          </w:p>
        </w:tc>
      </w:tr>
      <w:tr>
        <w:trPr>
          <w:trHeight w:val="290"/>
        </w:trPr>
        <w:tc>
          <w:tcPr>
            <w:tcW w:w="5920" w:type="dxa"/>
            <w:vAlign w:val="bottom"/>
          </w:tcPr>
          <w:p>
            <w:pPr>
              <w:jc w:val="right"/>
              <w:ind w:right="1020"/>
              <w:spacing w:after="0"/>
              <w:rPr>
                <w:sz w:val="20"/>
                <w:szCs w:val="20"/>
                <w:color w:val="auto"/>
              </w:rPr>
            </w:pPr>
            <w:r>
              <w:rPr>
                <w:rFonts w:ascii="Arial" w:cs="Arial" w:eastAsia="Arial" w:hAnsi="Arial"/>
                <w:sz w:val="18"/>
                <w:szCs w:val="18"/>
                <w:b w:val="1"/>
                <w:bCs w:val="1"/>
                <w:color w:val="auto"/>
              </w:rPr>
              <w:t>(610) 640-4202</w:t>
            </w:r>
          </w:p>
        </w:tc>
        <w:tc>
          <w:tcPr>
            <w:tcW w:w="2240" w:type="dxa"/>
            <w:vAlign w:val="bottom"/>
          </w:tcPr>
          <w:p>
            <w:pPr>
              <w:spacing w:after="0"/>
              <w:rPr>
                <w:sz w:val="24"/>
                <w:szCs w:val="24"/>
                <w:color w:val="auto"/>
              </w:rPr>
            </w:pPr>
          </w:p>
        </w:tc>
      </w:tr>
      <w:tr>
        <w:trPr>
          <w:trHeight w:val="182"/>
        </w:trPr>
        <w:tc>
          <w:tcPr>
            <w:tcW w:w="5920" w:type="dxa"/>
            <w:vAlign w:val="bottom"/>
          </w:tcPr>
          <w:p>
            <w:pPr>
              <w:jc w:val="center"/>
              <w:ind w:left="2520"/>
              <w:spacing w:after="0"/>
              <w:rPr>
                <w:sz w:val="20"/>
                <w:szCs w:val="20"/>
                <w:color w:val="auto"/>
              </w:rPr>
            </w:pPr>
            <w:r>
              <w:rPr>
                <w:rFonts w:ascii="Arial" w:cs="Arial" w:eastAsia="Arial" w:hAnsi="Arial"/>
                <w:sz w:val="14"/>
                <w:szCs w:val="14"/>
                <w:color w:val="auto"/>
                <w:w w:val="92"/>
              </w:rPr>
              <w:t>(Registrant’s telephone number, including area code)</w:t>
            </w:r>
          </w:p>
        </w:tc>
        <w:tc>
          <w:tcPr>
            <w:tcW w:w="2240" w:type="dxa"/>
            <w:vAlign w:val="bottom"/>
          </w:tcPr>
          <w:p>
            <w:pPr>
              <w:spacing w:after="0"/>
              <w:rPr>
                <w:sz w:val="15"/>
                <w:szCs w:val="15"/>
                <w:color w:val="auto"/>
              </w:rPr>
            </w:pP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19"/>
        </w:trPr>
        <w:tc>
          <w:tcPr>
            <w:tcW w:w="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2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4640" w:type="dxa"/>
            <w:vAlign w:val="bottom"/>
            <w:gridSpan w:val="2"/>
          </w:tcPr>
          <w:p>
            <w:pPr>
              <w:ind w:left="1520"/>
              <w:spacing w:after="0"/>
              <w:rPr>
                <w:sz w:val="20"/>
                <w:szCs w:val="20"/>
                <w:color w:val="auto"/>
              </w:rPr>
            </w:pPr>
            <w:r>
              <w:rPr>
                <w:rFonts w:ascii="Arial" w:cs="Arial" w:eastAsia="Arial" w:hAnsi="Arial"/>
                <w:sz w:val="18"/>
                <w:szCs w:val="18"/>
                <w:b w:val="1"/>
                <w:bCs w:val="1"/>
                <w:color w:val="auto"/>
              </w:rPr>
              <w:t>Title of each class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6"/>
              </w:rPr>
              <w:t>Symbol (s)</w:t>
            </w:r>
          </w:p>
        </w:tc>
        <w:tc>
          <w:tcPr>
            <w:tcW w:w="240" w:type="dxa"/>
            <w:vAlign w:val="bottom"/>
          </w:tcPr>
          <w:p>
            <w:pPr>
              <w:spacing w:after="0"/>
              <w:rPr>
                <w:sz w:val="20"/>
                <w:szCs w:val="20"/>
                <w:color w:val="auto"/>
              </w:rPr>
            </w:pPr>
          </w:p>
        </w:tc>
        <w:tc>
          <w:tcPr>
            <w:tcW w:w="4420" w:type="dxa"/>
            <w:vAlign w:val="bottom"/>
          </w:tcPr>
          <w:p>
            <w:pPr>
              <w:ind w:left="520"/>
              <w:spacing w:after="0"/>
              <w:rPr>
                <w:sz w:val="20"/>
                <w:szCs w:val="20"/>
                <w:color w:val="auto"/>
              </w:rPr>
            </w:pPr>
            <w:r>
              <w:rPr>
                <w:rFonts w:ascii="Arial" w:cs="Arial" w:eastAsia="Arial" w:hAnsi="Arial"/>
                <w:sz w:val="18"/>
                <w:szCs w:val="18"/>
                <w:b w:val="1"/>
                <w:bCs w:val="1"/>
                <w:color w:val="auto"/>
              </w:rPr>
              <w:t>Name on each exchange on which registered</w:t>
            </w:r>
          </w:p>
        </w:tc>
      </w:tr>
      <w:tr>
        <w:trPr>
          <w:trHeight w:val="224"/>
        </w:trPr>
        <w:tc>
          <w:tcPr>
            <w:tcW w:w="80" w:type="dxa"/>
            <w:vAlign w:val="bottom"/>
          </w:tcPr>
          <w:p>
            <w:pPr>
              <w:spacing w:after="0"/>
              <w:rPr>
                <w:sz w:val="19"/>
                <w:szCs w:val="19"/>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STIM</w:t>
            </w:r>
          </w:p>
        </w:tc>
        <w:tc>
          <w:tcPr>
            <w:tcW w:w="240" w:type="dxa"/>
            <w:vAlign w:val="bottom"/>
          </w:tcPr>
          <w:p>
            <w:pPr>
              <w:spacing w:after="0"/>
              <w:rPr>
                <w:sz w:val="19"/>
                <w:szCs w:val="19"/>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50800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7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60" w:type="dxa"/>
            <w:vAlign w:val="bottom"/>
          </w:tcPr>
          <w:p>
            <w:pPr>
              <w:ind w:left="340"/>
              <w:spacing w:after="0"/>
              <w:rPr>
                <w:sz w:val="20"/>
                <w:szCs w:val="20"/>
                <w:color w:val="auto"/>
              </w:rPr>
            </w:pPr>
            <w:r>
              <w:rPr>
                <w:rFonts w:ascii="Arial" w:cs="Arial" w:eastAsia="Arial" w:hAnsi="Arial"/>
                <w:sz w:val="18"/>
                <w:szCs w:val="18"/>
                <w:color w:val="auto"/>
              </w:rPr>
              <w:t>[  ]</w:t>
            </w:r>
          </w:p>
        </w:tc>
        <w:tc>
          <w:tcPr>
            <w:tcW w:w="52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20"/>
              <w:spacing w:after="0"/>
              <w:rPr>
                <w:sz w:val="20"/>
                <w:szCs w:val="20"/>
                <w:color w:val="auto"/>
              </w:rPr>
            </w:pPr>
            <w:r>
              <w:rPr>
                <w:rFonts w:ascii="Arial" w:cs="Arial" w:eastAsia="Arial" w:hAnsi="Arial"/>
                <w:sz w:val="18"/>
                <w:szCs w:val="18"/>
                <w:color w:val="auto"/>
              </w:rPr>
              <w:t>[  ]</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560" w:type="dxa"/>
            <w:vAlign w:val="bottom"/>
          </w:tcPr>
          <w:p>
            <w:pPr>
              <w:ind w:left="340"/>
              <w:spacing w:after="0"/>
              <w:rPr>
                <w:sz w:val="20"/>
                <w:szCs w:val="20"/>
                <w:color w:val="auto"/>
              </w:rPr>
            </w:pPr>
            <w:r>
              <w:rPr>
                <w:rFonts w:ascii="Arial" w:cs="Arial" w:eastAsia="Arial" w:hAnsi="Arial"/>
                <w:sz w:val="18"/>
                <w:szCs w:val="18"/>
                <w:color w:val="auto"/>
              </w:rPr>
              <w:t>[X]</w:t>
            </w:r>
          </w:p>
        </w:tc>
        <w:tc>
          <w:tcPr>
            <w:tcW w:w="52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30"/>
        </w:trPr>
        <w:tc>
          <w:tcPr>
            <w:tcW w:w="1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2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320"/>
              <w:spacing w:after="0"/>
              <w:rPr>
                <w:sz w:val="20"/>
                <w:szCs w:val="20"/>
                <w:color w:val="auto"/>
              </w:rPr>
            </w:pPr>
            <w:r>
              <w:rPr>
                <w:rFonts w:ascii="Arial" w:cs="Arial" w:eastAsia="Arial" w:hAnsi="Arial"/>
                <w:sz w:val="18"/>
                <w:szCs w:val="18"/>
                <w:color w:val="auto"/>
              </w:rPr>
              <w:t>[X]</w:t>
            </w:r>
          </w:p>
        </w:tc>
      </w:tr>
    </w:tbl>
    <w:p>
      <w:pPr>
        <w:spacing w:after="0" w:line="12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2" w:lineRule="exact"/>
        <w:rPr>
          <w:sz w:val="24"/>
          <w:szCs w:val="24"/>
          <w:color w:val="auto"/>
        </w:rPr>
      </w:pPr>
    </w:p>
    <w:p>
      <w:pPr>
        <w:ind w:right="19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 There were 18,632,268 shares of the registrant’s common stock outstanding as of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173355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quarterly period ended September 30, 2019</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0" w:type="dxa"/>
            <w:vAlign w:val="bottom"/>
            <w:gridSpan w:val="13"/>
            <w:vMerge w:val="restart"/>
          </w:tcPr>
          <w:p>
            <w:pPr>
              <w:jc w:val="center"/>
              <w:ind w:right="350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0" w:type="dxa"/>
            <w:vAlign w:val="bottom"/>
            <w:gridSpan w:val="13"/>
            <w:vMerge w:val="continue"/>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8"/>
                <w:szCs w:val="18"/>
                <w:b w:val="1"/>
                <w:bCs w:val="1"/>
                <w:color w:val="auto"/>
              </w:rPr>
              <w:t>Item 1.</w:t>
            </w:r>
          </w:p>
        </w:tc>
        <w:tc>
          <w:tcPr>
            <w:tcW w:w="440" w:type="dxa"/>
            <w:vAlign w:val="bottom"/>
          </w:tcPr>
          <w:p>
            <w:pPr>
              <w:spacing w:after="0"/>
              <w:rPr>
                <w:sz w:val="16"/>
                <w:szCs w:val="16"/>
                <w:color w:val="auto"/>
              </w:rPr>
            </w:pPr>
          </w:p>
        </w:tc>
        <w:tc>
          <w:tcPr>
            <w:tcW w:w="8960" w:type="dxa"/>
            <w:vAlign w:val="bottom"/>
            <w:gridSpan w:val="22"/>
          </w:tcPr>
          <w:p>
            <w:pPr>
              <w:spacing w:after="0" w:line="194"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92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 as of September 30, 2019 and December 31, 2018</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for the Three and Nine Months ended September 30, 2019 and 2018</w:t>
              </w:r>
            </w:hyperlink>
          </w:p>
        </w:tc>
        <w:tc>
          <w:tcPr>
            <w:tcW w:w="198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Statement of Changes in Convertible Preferred Stock and Stockholders’ Equity (Deficit) for the Three and Nine Months</w:t>
              </w:r>
            </w:hyperlink>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2019 and 2018</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Nine Months ended September 30, 2019 and 2018</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Financial Statements</w:t>
              </w:r>
            </w:hyperlink>
          </w:p>
        </w:tc>
        <w:tc>
          <w:tcPr>
            <w:tcW w:w="3320" w:type="dxa"/>
            <w:vAlign w:val="bottom"/>
            <w:tcBorders>
              <w:top w:val="single" w:sz="8" w:color="0000EE"/>
            </w:tcBorders>
            <w:gridSpan w:val="7"/>
          </w:tcPr>
          <w:p>
            <w:pPr>
              <w:spacing w:after="0"/>
              <w:rPr>
                <w:sz w:val="24"/>
                <w:szCs w:val="24"/>
                <w:color w:val="auto"/>
              </w:rPr>
            </w:pPr>
          </w:p>
        </w:tc>
        <w:tc>
          <w:tcPr>
            <w:tcW w:w="270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40" w:type="dxa"/>
            <w:vAlign w:val="bottom"/>
          </w:tcPr>
          <w:p>
            <w:pPr>
              <w:spacing w:after="0"/>
              <w:rPr>
                <w:sz w:val="24"/>
                <w:szCs w:val="24"/>
                <w:color w:val="auto"/>
              </w:rPr>
            </w:pPr>
          </w:p>
        </w:tc>
        <w:tc>
          <w:tcPr>
            <w:tcW w:w="6880" w:type="dxa"/>
            <w:vAlign w:val="bottom"/>
            <w:tcBorders>
              <w:bottom w:val="single" w:sz="8" w:color="0000EE"/>
            </w:tcBorders>
            <w:gridSpan w:val="19"/>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Management’s Discussion and Analysis of Financial Condition and Results of Operations.</w:t>
              </w:r>
            </w:hyperlink>
          </w:p>
        </w:tc>
        <w:tc>
          <w:tcPr>
            <w:tcW w:w="208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Quantitative and Qualitative Disclosures About Market Risk.</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470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Controls and Procedures.</w:t>
              </w:r>
            </w:hyperlink>
          </w:p>
        </w:tc>
        <w:tc>
          <w:tcPr>
            <w:tcW w:w="426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5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0" w:type="dxa"/>
            <w:vAlign w:val="bottom"/>
            <w:gridSpan w:val="13"/>
          </w:tcPr>
          <w:p>
            <w:pPr>
              <w:jc w:val="center"/>
              <w:ind w:right="3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44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Legal Proceedings.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440" w:type="dxa"/>
            <w:vAlign w:val="bottom"/>
          </w:tcPr>
          <w:p>
            <w:pPr>
              <w:spacing w:after="0"/>
              <w:rPr>
                <w:sz w:val="24"/>
                <w:szCs w:val="24"/>
                <w:color w:val="auto"/>
              </w:rPr>
            </w:pPr>
          </w:p>
        </w:tc>
        <w:tc>
          <w:tcPr>
            <w:tcW w:w="10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7520" w:type="dxa"/>
            <w:vAlign w:val="bottom"/>
            <w:gridSpan w:val="1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40" w:type="dxa"/>
            <w:vAlign w:val="bottom"/>
          </w:tcPr>
          <w:p>
            <w:pPr>
              <w:spacing w:after="0"/>
              <w:rPr>
                <w:sz w:val="24"/>
                <w:szCs w:val="24"/>
                <w:color w:val="auto"/>
              </w:rPr>
            </w:pPr>
          </w:p>
        </w:tc>
        <w:tc>
          <w:tcPr>
            <w:tcW w:w="4620" w:type="dxa"/>
            <w:vAlign w:val="bottom"/>
            <w:tcBorders>
              <w:bottom w:val="single" w:sz="8" w:color="0000EE"/>
            </w:tcBorders>
            <w:gridSpan w:val="15"/>
          </w:tcPr>
          <w:p>
            <w:pPr>
              <w:spacing w:after="0"/>
              <w:rPr>
                <w:rFonts w:ascii="Arial" w:cs="Arial" w:eastAsia="Arial" w:hAnsi="Arial"/>
                <w:sz w:val="18"/>
                <w:szCs w:val="18"/>
                <w:b w:val="1"/>
                <w:bCs w:val="1"/>
                <w:color w:val="0000EE"/>
                <w:w w:val="87"/>
              </w:rPr>
            </w:pPr>
            <w:hyperlink w:anchor="page38">
              <w:r>
                <w:rPr>
                  <w:rFonts w:ascii="Arial" w:cs="Arial" w:eastAsia="Arial" w:hAnsi="Arial"/>
                  <w:sz w:val="18"/>
                  <w:szCs w:val="18"/>
                  <w:b w:val="1"/>
                  <w:bCs w:val="1"/>
                  <w:color w:val="0000EE"/>
                  <w:w w:val="87"/>
                </w:rPr>
                <w:t>Unregistered Sales of Equity Securities and Use of Proceeds.</w:t>
              </w:r>
            </w:hyperlink>
          </w:p>
        </w:tc>
        <w:tc>
          <w:tcPr>
            <w:tcW w:w="4340" w:type="dxa"/>
            <w:vAlign w:val="bottom"/>
            <w:gridSpan w:val="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Defaults Upon Senior Securities.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44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Mine Safety Disclosures.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440" w:type="dxa"/>
            <w:vAlign w:val="bottom"/>
          </w:tcPr>
          <w:p>
            <w:pPr>
              <w:spacing w:after="0"/>
              <w:rPr>
                <w:sz w:val="24"/>
                <w:szCs w:val="24"/>
                <w:color w:val="auto"/>
              </w:rPr>
            </w:pPr>
          </w:p>
        </w:tc>
        <w:tc>
          <w:tcPr>
            <w:tcW w:w="18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7100" w:type="dxa"/>
            <w:vAlign w:val="bottom"/>
            <w:gridSpan w:val="1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440" w:type="dxa"/>
            <w:vAlign w:val="bottom"/>
          </w:tcPr>
          <w:p>
            <w:pPr>
              <w:spacing w:after="0"/>
              <w:rPr>
                <w:sz w:val="24"/>
                <w:szCs w:val="24"/>
                <w:color w:val="auto"/>
              </w:rPr>
            </w:pPr>
          </w:p>
        </w:tc>
        <w:tc>
          <w:tcPr>
            <w:tcW w:w="14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Exhibits.</w:t>
              </w:r>
            </w:hyperlink>
          </w:p>
        </w:tc>
        <w:tc>
          <w:tcPr>
            <w:tcW w:w="7480" w:type="dxa"/>
            <w:vAlign w:val="bottom"/>
            <w:gridSpan w:val="1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60" w:type="dxa"/>
            <w:vAlign w:val="bottom"/>
            <w:gridSpan w:val="9"/>
          </w:tcPr>
          <w:p>
            <w:pPr>
              <w:jc w:val="right"/>
              <w:ind w:right="4760"/>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SIGNATURES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885"/>
        </w:trPr>
        <w:tc>
          <w:tcPr>
            <w:tcW w:w="1120" w:type="dxa"/>
            <w:vAlign w:val="bottom"/>
          </w:tcPr>
          <w:p>
            <w:pPr>
              <w:spacing w:after="0"/>
              <w:rPr>
                <w:sz w:val="24"/>
                <w:szCs w:val="24"/>
                <w:color w:val="auto"/>
              </w:rPr>
            </w:pPr>
          </w:p>
        </w:tc>
        <w:tc>
          <w:tcPr>
            <w:tcW w:w="3540" w:type="dxa"/>
            <w:vAlign w:val="bottom"/>
            <w:gridSpan w:val="14"/>
          </w:tcPr>
          <w:p>
            <w:pPr>
              <w:spacing w:after="0"/>
              <w:rPr>
                <w:sz w:val="24"/>
                <w:szCs w:val="24"/>
                <w:color w:val="auto"/>
              </w:rPr>
            </w:pPr>
          </w:p>
        </w:tc>
        <w:tc>
          <w:tcPr>
            <w:tcW w:w="11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jc w:val="center"/>
              <w:ind w:left="83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68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tcPr>
          <w:p>
            <w:pPr>
              <w:jc w:val="center"/>
              <w:ind w:left="810"/>
              <w:spacing w:after="0"/>
              <w:rPr>
                <w:sz w:val="20"/>
                <w:szCs w:val="20"/>
                <w:color w:val="auto"/>
              </w:rPr>
            </w:pPr>
            <w:r>
              <w:rPr>
                <w:rFonts w:ascii="Arial" w:cs="Arial" w:eastAsia="Arial" w:hAnsi="Arial"/>
                <w:sz w:val="18"/>
                <w:szCs w:val="18"/>
                <w:b w:val="1"/>
                <w:bCs w:val="1"/>
                <w:color w:val="auto"/>
              </w:rPr>
              <w:t>NEURONETICS,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tcPr>
          <w:p>
            <w:pPr>
              <w:jc w:val="center"/>
              <w:ind w:left="810"/>
              <w:spacing w:after="0"/>
              <w:rPr>
                <w:sz w:val="20"/>
                <w:szCs w:val="20"/>
                <w:color w:val="auto"/>
              </w:rPr>
            </w:pPr>
            <w:r>
              <w:rPr>
                <w:rFonts w:ascii="Arial" w:cs="Arial" w:eastAsia="Arial" w:hAnsi="Arial"/>
                <w:sz w:val="18"/>
                <w:szCs w:val="18"/>
                <w:b w:val="1"/>
                <w:bCs w:val="1"/>
                <w:color w:val="auto"/>
                <w:w w:val="85"/>
              </w:rPr>
              <w:t>Balance Sheets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49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FF0FC"/>
          </w:tcPr>
          <w:p>
            <w:pPr>
              <w:spacing w:after="0"/>
              <w:rPr>
                <w:sz w:val="15"/>
                <w:szCs w:val="15"/>
                <w:color w:val="auto"/>
              </w:rPr>
            </w:pPr>
          </w:p>
        </w:tc>
        <w:tc>
          <w:tcPr>
            <w:tcW w:w="4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4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82,370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Current portion of net investments in sales-type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Current portion of prepaid commission expense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Net investments in sales-type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Prepaid commission expense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84"/>
              </w:rPr>
              <w:t>Other assets</w:t>
            </w:r>
          </w:p>
        </w:tc>
        <w:tc>
          <w:tcPr>
            <w:tcW w:w="1880" w:type="dxa"/>
            <w:vAlign w:val="bottom"/>
            <w:tcBorders>
              <w:bottom w:val="single" w:sz="8" w:color="CFF0FC"/>
            </w:tcBorders>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2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105,481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4,109</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Current portion of long-term debt, net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5"/>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726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Preferred stock, $0.01 par value: 10,000 shares authorized; no shares issued or</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outstanding at September 30, 2019 and December 31, 2018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Common stock, $0.01 par value: 200,000 shares authorized; 18,602 and 17,744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4"/>
          </w:tcPr>
          <w:p>
            <w:pPr>
              <w:ind w:left="360"/>
              <w:spacing w:after="0"/>
              <w:rPr>
                <w:sz w:val="20"/>
                <w:szCs w:val="20"/>
                <w:color w:val="auto"/>
              </w:rPr>
            </w:pPr>
            <w:r>
              <w:rPr>
                <w:rFonts w:ascii="Arial" w:cs="Arial" w:eastAsia="Arial" w:hAnsi="Arial"/>
                <w:sz w:val="18"/>
                <w:szCs w:val="18"/>
                <w:color w:val="auto"/>
              </w:rPr>
              <w:t>shares issued and outstanding at September 30, 2019 and December 31, 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4"/>
          </w:tcPr>
          <w:p>
            <w:pPr>
              <w:ind w:left="3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(242,533)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7260" w:type="dxa"/>
            <w:vAlign w:val="bottom"/>
            <w:tcBorders>
              <w:top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6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of common stock outstanding, basic and 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8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Statement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40" w:type="dxa"/>
            <w:vAlign w:val="bottom"/>
            <w:tcBorders>
              <w:right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4"/>
                <w:szCs w:val="14"/>
                <w:color w:val="auto"/>
              </w:rPr>
            </w:pPr>
          </w:p>
        </w:tc>
        <w:tc>
          <w:tcPr>
            <w:tcW w:w="1800" w:type="dxa"/>
            <w:vAlign w:val="bottom"/>
            <w:gridSpan w:val="5"/>
            <w:vMerge w:val="restart"/>
          </w:tcPr>
          <w:p>
            <w:pPr>
              <w:jc w:val="right"/>
              <w:ind w:right="33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40" w:type="dxa"/>
            <w:vAlign w:val="bottom"/>
            <w:tcBorders>
              <w:right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0" w:type="dxa"/>
            <w:vAlign w:val="bottom"/>
            <w:tcBorders>
              <w:top w:val="single" w:sz="8" w:color="auto"/>
            </w:tcBorders>
            <w:gridSpan w:val="3"/>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116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(196,946)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(192,652)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Share-based awards and options exercises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(202,443)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(197,974)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Share-based awards and options exercises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187,136</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4,665</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(209,939)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(205,271)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Conversion of convertible preferred stock</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into common stock</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(304,958)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3"/>
              </w:rPr>
              <w:t>(187,136)</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187,027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Conversion of convertible preferred stock</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warrants into common stock warrants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Issuance of common stock in initial public</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offering, net of issuance costs of $3,465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96,471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Exercises of stock 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17,579</w:t>
            </w:r>
          </w:p>
        </w:tc>
        <w:tc>
          <w:tcPr>
            <w:tcW w:w="2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291,072</w:t>
            </w:r>
          </w:p>
        </w:tc>
        <w:tc>
          <w:tcPr>
            <w:tcW w:w="200" w:type="dxa"/>
            <w:vAlign w:val="bottom"/>
            <w:gridSpan w:val="2"/>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(214,900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291,908</w:t>
            </w: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 (221,043)</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Share-based awards and options exercises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293,811</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(228,572)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Share-based awards and options exercises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295,301</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(235,666)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Share-based awards and options exercises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296,677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(242,533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(Unaudited;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(21,490)</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(17,954)</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Cost of rental units purchased by customers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certain assets and liabilities:</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r>
      <w:tr>
        <w:trPr>
          <w:trHeight w:val="230"/>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(767)</w:t>
            </w: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Net investments in sales-type leases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commission expense</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30"/>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(594)</w:t>
            </w: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(1,461)</w:t>
            </w:r>
          </w:p>
        </w:tc>
      </w:tr>
      <w:tr>
        <w:trPr>
          <w:trHeight w:val="230"/>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w:t>
            </w: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23"/>
        </w:trPr>
        <w:tc>
          <w:tcPr>
            <w:tcW w:w="69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(24,079)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(18,315)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capitalized software</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(650)</w:t>
            </w:r>
          </w:p>
        </w:tc>
      </w:tr>
      <w:tr>
        <w:trPr>
          <w:trHeight w:val="223"/>
        </w:trPr>
        <w:tc>
          <w:tcPr>
            <w:tcW w:w="69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Proceeds from issuances of common stock in initial public offering</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99,998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public offering costs</w:t>
            </w:r>
          </w:p>
        </w:tc>
        <w:tc>
          <w:tcPr>
            <w:tcW w:w="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(3,465)</w:t>
            </w:r>
          </w:p>
        </w:tc>
      </w:tr>
      <w:tr>
        <w:trPr>
          <w:trHeight w:val="230"/>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9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96,578</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1000"/>
              <w:spacing w:after="0"/>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(22,213)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77,613</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104,583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29,147</w:t>
            </w:r>
          </w:p>
        </w:tc>
        <w:tc>
          <w:tcPr>
            <w:tcW w:w="120" w:type="dxa"/>
            <w:vAlign w:val="bottom"/>
            <w:shd w:val="clear" w:color="auto" w:fill="CFF0FC"/>
          </w:tcPr>
          <w:p>
            <w:pPr>
              <w:spacing w:after="0"/>
              <w:rPr>
                <w:sz w:val="19"/>
                <w:szCs w:val="19"/>
                <w:color w:val="auto"/>
              </w:rPr>
            </w:pPr>
          </w:p>
        </w:tc>
      </w:tr>
      <w:tr>
        <w:trPr>
          <w:trHeight w:val="263"/>
        </w:trPr>
        <w:tc>
          <w:tcPr>
            <w:tcW w:w="69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106,760</w:t>
            </w:r>
          </w:p>
        </w:tc>
        <w:tc>
          <w:tcPr>
            <w:tcW w:w="120" w:type="dxa"/>
            <w:vAlign w:val="bottom"/>
            <w:tcBorders>
              <w:bottom w:val="single" w:sz="8" w:color="CFF0FC"/>
            </w:tcBorders>
          </w:tcPr>
          <w:p>
            <w:pPr>
              <w:spacing w:after="0"/>
              <w:rPr>
                <w:sz w:val="22"/>
                <w:szCs w:val="22"/>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88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2,240</w:t>
            </w:r>
          </w:p>
        </w:tc>
        <w:tc>
          <w:tcPr>
            <w:tcW w:w="16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88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capitalized</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software in accounts payable and accrued expenses</w:t>
            </w:r>
          </w:p>
        </w:tc>
        <w:tc>
          <w:tcPr>
            <w:tcW w:w="188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Conversion of convertible preferred stock into common stock</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187,136</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convertible preferred stock warrants into common stock warrants</w:t>
            </w:r>
          </w:p>
        </w:tc>
        <w:tc>
          <w:tcPr>
            <w:tcW w:w="188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8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2019, the Company had cash and cash equivalents of $82.4 million and an accumulated deficit of $242.5 million. The Company incurred negative cash flows from operating activities of $20.6 million for the year ended December 31, 2018 and $24.1 million for the nine months ended September 30, 2019.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proceeds from its IPO, private placements of its convertible preferred securities, borrowings under its credit facilities and revenues from sales of its products. As of September 30, 2019, the Company had $30.0 million of borrowings outstanding under its credit facility, which matures in March 2022. Management believes that the Company’s cash and cash equivalents as of September 30, 2019 and anticipated revenues from sales of its products are sufficient to fund the Company’s operations for at least the next 24 months after September 30, 2019.</w:t>
      </w:r>
    </w:p>
    <w:p>
      <w:pPr>
        <w:spacing w:after="0" w:line="13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1"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changes in convertible preferred stock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nine months ended September 30, 2019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5, 2019, wherein a more complete discussion of significant accounting policies and certain other information can be found.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 The most significant estimates and judgments impact share-based compensation prior to the initial public offering (IPO).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5, 2019.</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As of January 1, 2019, the Company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 The Company’s accounting policies have been modified accordingly: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January 1, 2019, the Company adopted Topic 606 using the modified retrospective method applying the open contract practical expedient and accounted for those contracts which were not completed as of January 1, 2019 under Topic 606. Results for reporting periods beginning after January 1, 2019 are presented under Topic 606, while prior period amounts are not adjusted and continue to be reported in accordance with the Company’s historic accounting under Topic 605.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Topic 606 on Financial Statement Line Items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had no impact to retained earnings or revenue as of January 1, 2019.</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accordance with the new revenue standard requirements, the disclosure of the impact of adoption on prepaid commissions expense on the balance sheet as of September 30, 2019 and the statement of operations for the three and nine months ended September 30, 2019 is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As of September 30, 2019</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Balance Without</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Effect of Change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Higher/(Lower)</w:t>
            </w:r>
          </w:p>
        </w:tc>
        <w:tc>
          <w:tcPr>
            <w:tcW w:w="0" w:type="dxa"/>
            <w:vAlign w:val="bottom"/>
          </w:tcPr>
          <w:p>
            <w:pPr>
              <w:spacing w:after="0"/>
              <w:rPr>
                <w:sz w:val="1"/>
                <w:szCs w:val="1"/>
                <w:color w:val="auto"/>
              </w:rPr>
            </w:pPr>
          </w:p>
        </w:tc>
      </w:tr>
      <w:tr>
        <w:trPr>
          <w:trHeight w:val="142"/>
        </w:trPr>
        <w:tc>
          <w:tcPr>
            <w:tcW w:w="570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Sheet</w:t>
            </w:r>
          </w:p>
        </w:tc>
        <w:tc>
          <w:tcPr>
            <w:tcW w:w="13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auto"/>
            </w:tcBorders>
            <w:shd w:val="clear" w:color="auto" w:fill="CFF0FC"/>
          </w:tcPr>
          <w:p>
            <w:pPr>
              <w:spacing w:after="0"/>
              <w:rPr>
                <w:sz w:val="5"/>
                <w:szCs w:val="5"/>
                <w:color w:val="auto"/>
              </w:rPr>
            </w:pPr>
          </w:p>
        </w:tc>
        <w:tc>
          <w:tcPr>
            <w:tcW w:w="484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4"/>
          </w:tcPr>
          <w:p>
            <w:pPr>
              <w:ind w:left="580"/>
              <w:spacing w:after="0"/>
              <w:rPr>
                <w:sz w:val="20"/>
                <w:szCs w:val="20"/>
                <w:color w:val="auto"/>
              </w:rPr>
            </w:pPr>
            <w:r>
              <w:rPr>
                <w:rFonts w:ascii="Arial" w:cs="Arial" w:eastAsia="Arial" w:hAnsi="Arial"/>
                <w:sz w:val="18"/>
                <w:szCs w:val="18"/>
                <w:color w:val="auto"/>
              </w:rPr>
              <w:t>Current portion of prepaid commission expense</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commission expense</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9"/>
          </w:tcPr>
          <w:p>
            <w:pPr>
              <w:jc w:val="center"/>
              <w:ind w:right="117"/>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Balance Without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Change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Higher/(Lower)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Income Statement</w:t>
            </w:r>
          </w:p>
        </w:tc>
        <w:tc>
          <w:tcPr>
            <w:tcW w:w="14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580" w:type="dxa"/>
            <w:vAlign w:val="bottom"/>
            <w:vMerge w:val="restart"/>
          </w:tcPr>
          <w:p>
            <w:pPr>
              <w:spacing w:after="0"/>
              <w:rPr>
                <w:sz w:val="5"/>
                <w:szCs w:val="5"/>
                <w:color w:val="auto"/>
              </w:rPr>
            </w:pPr>
          </w:p>
        </w:tc>
        <w:tc>
          <w:tcPr>
            <w:tcW w:w="20" w:type="dxa"/>
            <w:vAlign w:val="bottom"/>
            <w:tcBorders>
              <w:top w:val="single" w:sz="8" w:color="auto"/>
            </w:tcBorders>
            <w:vMerge w:val="restart"/>
          </w:tcPr>
          <w:p>
            <w:pPr>
              <w:spacing w:after="0"/>
              <w:rPr>
                <w:sz w:val="5"/>
                <w:szCs w:val="5"/>
                <w:color w:val="auto"/>
              </w:rPr>
            </w:pPr>
          </w:p>
        </w:tc>
        <w:tc>
          <w:tcPr>
            <w:tcW w:w="1100" w:type="dxa"/>
            <w:vAlign w:val="bottom"/>
            <w:tcBorders>
              <w:top w:val="single" w:sz="8" w:color="auto"/>
            </w:tcBorders>
            <w:shd w:val="clear" w:color="auto" w:fill="CFF0FC"/>
          </w:tcPr>
          <w:p>
            <w:pPr>
              <w:spacing w:after="0"/>
              <w:rPr>
                <w:sz w:val="5"/>
                <w:szCs w:val="5"/>
                <w:color w:val="auto"/>
              </w:rPr>
            </w:pPr>
          </w:p>
        </w:tc>
        <w:tc>
          <w:tcPr>
            <w:tcW w:w="3140" w:type="dxa"/>
            <w:vAlign w:val="bottom"/>
            <w:tcBorders>
              <w:top w:val="single" w:sz="8" w:color="CFF0FC"/>
            </w:tcBorders>
            <w:shd w:val="clear" w:color="auto" w:fill="CFF0FC"/>
          </w:tcPr>
          <w:p>
            <w:pPr>
              <w:spacing w:after="0"/>
              <w:rPr>
                <w:sz w:val="5"/>
                <w:szCs w:val="5"/>
                <w:color w:val="auto"/>
              </w:rPr>
            </w:pPr>
          </w:p>
        </w:tc>
        <w:tc>
          <w:tcPr>
            <w:tcW w:w="144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10,362</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11,690</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(1,328)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9"/>
          </w:tcPr>
          <w:p>
            <w:pPr>
              <w:jc w:val="center"/>
              <w:ind w:right="117"/>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Balance Without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Change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Higher/(Lower)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Income Statement</w:t>
            </w:r>
          </w:p>
        </w:tc>
        <w:tc>
          <w:tcPr>
            <w:tcW w:w="14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580" w:type="dxa"/>
            <w:vAlign w:val="bottom"/>
            <w:vMerge w:val="restart"/>
          </w:tcPr>
          <w:p>
            <w:pPr>
              <w:spacing w:after="0"/>
              <w:rPr>
                <w:sz w:val="5"/>
                <w:szCs w:val="5"/>
                <w:color w:val="auto"/>
              </w:rPr>
            </w:pPr>
          </w:p>
        </w:tc>
        <w:tc>
          <w:tcPr>
            <w:tcW w:w="20" w:type="dxa"/>
            <w:vAlign w:val="bottom"/>
            <w:tcBorders>
              <w:top w:val="single" w:sz="8" w:color="auto"/>
            </w:tcBorders>
            <w:vMerge w:val="restart"/>
          </w:tcPr>
          <w:p>
            <w:pPr>
              <w:spacing w:after="0"/>
              <w:rPr>
                <w:sz w:val="5"/>
                <w:szCs w:val="5"/>
                <w:color w:val="auto"/>
              </w:rPr>
            </w:pPr>
          </w:p>
        </w:tc>
        <w:tc>
          <w:tcPr>
            <w:tcW w:w="1100" w:type="dxa"/>
            <w:vAlign w:val="bottom"/>
            <w:tcBorders>
              <w:top w:val="single" w:sz="8" w:color="auto"/>
            </w:tcBorders>
            <w:shd w:val="clear" w:color="auto" w:fill="CFF0FC"/>
          </w:tcPr>
          <w:p>
            <w:pPr>
              <w:spacing w:after="0"/>
              <w:rPr>
                <w:sz w:val="5"/>
                <w:szCs w:val="5"/>
                <w:color w:val="auto"/>
              </w:rPr>
            </w:pPr>
          </w:p>
        </w:tc>
        <w:tc>
          <w:tcPr>
            <w:tcW w:w="3140" w:type="dxa"/>
            <w:vAlign w:val="bottom"/>
            <w:tcBorders>
              <w:top w:val="single" w:sz="8" w:color="CFF0FC"/>
            </w:tcBorders>
            <w:shd w:val="clear" w:color="auto" w:fill="CFF0FC"/>
          </w:tcPr>
          <w:p>
            <w:pPr>
              <w:spacing w:after="0"/>
              <w:rPr>
                <w:sz w:val="5"/>
                <w:szCs w:val="5"/>
                <w:color w:val="auto"/>
              </w:rPr>
            </w:pPr>
          </w:p>
        </w:tc>
        <w:tc>
          <w:tcPr>
            <w:tcW w:w="144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31,477</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34,384</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(24,397)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Topic 606 is principles-based and provides a five-step model to determine when and how revenue is recognized. The core principle is that an entity should recognize revenue when it transfers promised goods or services to customers in an amount that reflects the consideration to which the entity expects to be entitled in exchange for those goods or services.</w:t>
      </w:r>
    </w:p>
    <w:p>
      <w:pPr>
        <w:spacing w:after="0" w:line="1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Sales and usage-based taxes are excluded from revenues. Other than the revenue recognized under the distribution agreement disclosed below, all but an immaterial amount of the Company’s revenue is recognized at a point in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Formation</w:t>
      </w:r>
    </w:p>
    <w:p>
      <w:pPr>
        <w:spacing w:after="0" w:line="7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accounts for a contract with a customer when there is a legally enforceable contract between the Company and the customer, the rights of the parties are identified, the contract has commercial substance, and collectability of the contract consideration is probable. For all sales, the Company uses either a signed agreement or a binding purchase order as evidence of an arrangement.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unit of account for Topic 606 is the performance obligation. A performance obligation is a promise in a contract to transfer a distinct good or service to the customer or a series of distinct goods or services that are substantially the same and have the same pattern of transfer. A contract’s transaction price is allocated to each performance obligation and recognized as revenue when, or as, the performance obligation is satisfied. The majority of the Company’s contracts are comprised of the following performance obligations:</w:t>
      </w:r>
    </w:p>
    <w:p>
      <w:pPr>
        <w:spacing w:after="0" w:line="52" w:lineRule="exact"/>
        <w:rPr>
          <w:sz w:val="20"/>
          <w:szCs w:val="20"/>
          <w:color w:val="auto"/>
        </w:rPr>
      </w:pPr>
    </w:p>
    <w:p>
      <w:pPr>
        <w:ind w:left="1040" w:right="40" w:hanging="519"/>
        <w:spacing w:after="0" w:line="312"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NeuroStar TMS Therapy System (the “System”) which includes a chair, an electromagnet coil, a monitoring console and accessories. The various components are inputs that function together to deliver a combined output and together form one performance obligation (a NeuroStar Advanced Therapy System). Revenues from the sale of the System are satisfied at the point-in-time when delivered to the customer’s premises.</w:t>
      </w:r>
    </w:p>
    <w:p>
      <w:pPr>
        <w:spacing w:after="0" w:line="11" w:lineRule="exact"/>
        <w:rPr>
          <w:rFonts w:ascii="Arial" w:cs="Arial" w:eastAsia="Arial" w:hAnsi="Arial"/>
          <w:sz w:val="16"/>
          <w:szCs w:val="16"/>
          <w:color w:val="auto"/>
        </w:rPr>
      </w:pPr>
    </w:p>
    <w:p>
      <w:pPr>
        <w:ind w:left="1040" w:right="240" w:hanging="519"/>
        <w:spacing w:after="0" w:line="279"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NeuroStar Treatment Session (the “Treatment Session”) is a single use consumable that is delivered via an encrypted activation code and is required in order for a clinician to perform trans-cranial magnetic stimulation (“TMS”) therapy. Revenues from the sale of the Treatment Sessions are satisfied at the point-in-time when delivered to the customer. The Company determined that sales of Treatment Sessions are not part of the enforceable rights and obligations of the System sales, except when sold with System sales.</w:t>
      </w:r>
    </w:p>
    <w:p>
      <w:pPr>
        <w:spacing w:after="0" w:line="36" w:lineRule="exact"/>
        <w:rPr>
          <w:rFonts w:ascii="Arial" w:cs="Arial" w:eastAsia="Arial" w:hAnsi="Arial"/>
          <w:sz w:val="17"/>
          <w:szCs w:val="17"/>
          <w:color w:val="auto"/>
        </w:rPr>
      </w:pPr>
    </w:p>
    <w:p>
      <w:pPr>
        <w:ind w:left="1040" w:right="140" w:hanging="519"/>
        <w:spacing w:after="0" w:line="334"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Separately priced extended warranties and when-and-if-available upgrade rights are considered service-type warranties. Warranty services are considered stand-ready obligations satisfied over-time and recognized using a straight-line time-based measurement toward completion.</w:t>
      </w:r>
    </w:p>
    <w:p>
      <w:pPr>
        <w:spacing w:after="0" w:line="1" w:lineRule="exact"/>
        <w:rPr>
          <w:rFonts w:ascii="Arial" w:cs="Arial" w:eastAsia="Arial" w:hAnsi="Arial"/>
          <w:sz w:val="16"/>
          <w:szCs w:val="16"/>
          <w:color w:val="auto"/>
        </w:rPr>
      </w:pPr>
    </w:p>
    <w:p>
      <w:pPr>
        <w:ind w:left="1040" w:hanging="519"/>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System clinical and reimbursement training enable the clinician to provide patient treatment. The trainings are not required in order to operate the System but are required in order to receive a certification from the Company and accordingly are not essential to the functionality of other performance obligations. Training services are recognized at a point-in-time when training is complete, typically simultaneous to or near the time of delivery of the System.</w:t>
      </w:r>
    </w:p>
    <w:p>
      <w:pPr>
        <w:spacing w:after="0" w:line="17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 addition, the Company has determined that there are various perfunctory deliverables such as installation of the System, the technical support hotline and marketing materials which the Company does not separately recognize as revenue nor does the Company accrue the estimated cost of providing these goods and services because they are not material. The Company provides a two-year warranty on all new System sales which were determined to be assurance-type warranties and thus not considered a separate performance obligation. The Company accrues the cost of providing these warranties.</w:t>
      </w:r>
    </w:p>
    <w:p>
      <w:pPr>
        <w:spacing w:after="0" w:line="14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There is no right of return or refund for any of the Company’s products or services and the Company has elected to treat shipping and handling as a fulfillment activity and expenses the costs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Rent-to-Own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System is typically purchased but the Company does offer certain customers the option to lease instead. The Company accounts for these leases under Topic 842, </w:t>
      </w:r>
      <w:r>
        <w:rPr>
          <w:rFonts w:ascii="Arial" w:cs="Arial" w:eastAsia="Arial" w:hAnsi="Arial"/>
          <w:sz w:val="18"/>
          <w:szCs w:val="18"/>
          <w:i w:val="1"/>
          <w:iCs w:val="1"/>
          <w:color w:val="auto"/>
        </w:rPr>
        <w:t>Leases</w:t>
      </w:r>
      <w:r>
        <w:rPr>
          <w:rFonts w:ascii="Arial" w:cs="Arial" w:eastAsia="Arial" w:hAnsi="Arial"/>
          <w:sz w:val="18"/>
          <w:szCs w:val="18"/>
          <w:color w:val="auto"/>
        </w:rPr>
        <w:t>. Under Topic 842 the leases are typically accounted for as a sales-type lease which results in the derecognition of the underlying asset, the recognition of profit or loss on the sale, and the recognition of an investment in sales-type lease. The investment is periodically increased for interest earned and reduced as lease payments are received.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an exclusive distribution agreement with a foreign entity for a period of 7 ½ years with two 2 year renewal options. As consideration for the right to be the sole distributor of the Company’s products and use of the Company’s intellectual property in the foreign territory, the distributor is required to make certain fixed milestone payments upon contract execution and regulatory approval. In addition, the distributor is required to make variable milestone payments depending upon regulatory reimbursement rates. Furthermore, the distributor is required to make certain minimum purchases based upon sales history and forecasts subject to a ceiling and floor. The Company assessed the potential performance obligations in this contract and concluded that the contract contained the following performance obligations:</w:t>
      </w:r>
    </w:p>
    <w:p>
      <w:pPr>
        <w:spacing w:after="0" w:line="58"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Exclusive distribution and intellectual property license</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NeuroStar TMS Therapy System (the “System”)</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NeuroStar Treatment Session (the “Treatment Session”)</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distribution agreement contains pricing for the Company’s products and services. The contractual purchase prices were determined to be at the standalone selling prices based on the expected sales volumes of this customer type and thus the Company concluded that this agreement did not contain a separate performance obligation for the material right to discounted Systems and Treatments Sessions. The Company allocated the transaction price through a combination of the cost plus a margin approach and the residual method. For the System and Treatment Sessions the Company maximized the use of observable inputs by beginning with average historical contractual selling prices and adjusting on a consistent and rational basis for pricing trends, the customer type and expected sales volumes and the Company’s changing cost and margins. Since it was determined that the contractual selling prices for the Company’s products and services in the distribution agreement were at the standalone selling prices, the residual consideration which is made up of the fixed and variable milestone payments was allocated to the exclusive distribution and intellectual property license. The exclusive distribution and intellectual property rights were determined to be symbolic IP and thus recognized over time. The System and Treatment Sessions were determined to be performance obligations recognized at a point in time when delivered to the distributor.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7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Payment terms typically require payment upon shipment of the System and additional payments as access codes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Changes in the contract asset and liability balances during the three and nine months ended September 30, 2019 were not materially impacted by any other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Company expects to recognize approximately the following percentages of deferred revenue by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14"/>
                <w:szCs w:val="14"/>
                <w:color w:val="auto"/>
              </w:rPr>
            </w:pPr>
          </w:p>
        </w:tc>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2640" w:type="dxa"/>
            <w:vAlign w:val="bottom"/>
            <w:tcBorders>
              <w:bottom w:val="single" w:sz="8" w:color="auto"/>
            </w:tcBorders>
            <w:vMerge w:val="continue"/>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Recognition</w:t>
            </w:r>
          </w:p>
        </w:tc>
        <w:tc>
          <w:tcPr>
            <w:tcW w:w="1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3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2020</w:t>
            </w:r>
          </w:p>
        </w:tc>
        <w:tc>
          <w:tcPr>
            <w:tcW w:w="534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2022</w:t>
            </w:r>
          </w:p>
        </w:tc>
        <w:tc>
          <w:tcPr>
            <w:tcW w:w="53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gridSpan w:val="2"/>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70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2640" w:type="dxa"/>
            <w:vAlign w:val="bottom"/>
            <w:vMerge w:val="continue"/>
            <w:shd w:val="clear" w:color="auto" w:fill="CFF0FC"/>
          </w:tcPr>
          <w:p>
            <w:pPr>
              <w:spacing w:after="0"/>
              <w:rPr>
                <w:sz w:val="19"/>
                <w:szCs w:val="19"/>
                <w:color w:val="auto"/>
              </w:rPr>
            </w:pPr>
          </w:p>
        </w:tc>
        <w:tc>
          <w:tcPr>
            <w:tcW w:w="37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bottom w:val="single" w:sz="8" w:color="CFF0FC"/>
            </w:tcBorders>
            <w:vMerge w:val="restart"/>
          </w:tcPr>
          <w:p>
            <w:pPr>
              <w:jc w:val="right"/>
              <w:ind w:right="217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recognized for the nine months ended September 30, 2019 that was included in the contract liability balance at the beginning of the year was $2.0 million, and primarily represented revenue earned from separately priced extended warranties and clinical training.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September 30, 2019, no customer accounted for more than 10% of our revenues. For the nine months ended September 30, 2019, one customer accounted for 10% of our revenues. For the three and nine months ended September 30, 2018, no customer accounted for more than 10% of our revenues.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842, "Leases"</w:t>
      </w:r>
    </w:p>
    <w:p>
      <w:pPr>
        <w:spacing w:after="0" w:line="9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accounts for leases in accordance with ASC Topic 842, Leases, (“Topic 842”). 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warehouse and office space, and office equipment pursuant to net operating leases. Operating leases where the Company is the lessor are included in revenue on the Statements of Operations.</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From time to time the Company enters into sales-type lease arrangements that include a lessee obligation to purchase the leased equipment at the end of the lease term, automatic transfer of ownership of the leased equipment at the end of the lease, a bargain purchase option, or provides for minimum lease payments with a present value 90% or more of the fair value of the leased equipment at the date of lease inception. Sales-type leases where the Company is the lessor are included in revenue on the Statements of Operations.</w:t>
      </w:r>
    </w:p>
    <w:p>
      <w:pPr>
        <w:spacing w:after="0" w:line="1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Operating leases where the Company is the lessee are included in operating lease right-of-use assets and operating lease liabilities on the Balance Sheets. The lease liabilities are initially and subsequently measured at the present value of the unpaid lease payments at the lease commencement date.</w:t>
      </w:r>
    </w:p>
    <w:p>
      <w:pPr>
        <w:spacing w:after="0" w:line="1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uses the following inputs in its lease calculations under Topic 842: (1) the discount rate the Company uses to discount the unpaid lease payments to present value, (2) lease term, and (3) lease payments.</w:t>
      </w:r>
    </w:p>
    <w:p>
      <w:pPr>
        <w:spacing w:after="0" w:line="35" w:lineRule="exact"/>
        <w:rPr>
          <w:sz w:val="20"/>
          <w:szCs w:val="20"/>
          <w:color w:val="auto"/>
        </w:rPr>
      </w:pPr>
    </w:p>
    <w:p>
      <w:pPr>
        <w:ind w:left="1040" w:right="10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Topic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most leases where the Company is the lessee do not provide an implicit rate, the Company uses the incremental borrowing rate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Company uses the implicit rate when readily determinable.</w:t>
      </w:r>
    </w:p>
    <w:p>
      <w:pPr>
        <w:spacing w:after="0" w:line="43" w:lineRule="exact"/>
        <w:rPr>
          <w:rFonts w:ascii="Arial" w:cs="Arial" w:eastAsia="Arial" w:hAnsi="Arial"/>
          <w:sz w:val="17"/>
          <w:szCs w:val="17"/>
          <w:color w:val="auto"/>
        </w:rPr>
      </w:pPr>
    </w:p>
    <w:p>
      <w:pPr>
        <w:jc w:val="both"/>
        <w:ind w:left="1040" w:right="42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lease term for all leases includes the noncancelable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46" w:lineRule="exact"/>
        <w:rPr>
          <w:rFonts w:ascii="Arial" w:cs="Arial" w:eastAsia="Arial" w:hAnsi="Arial"/>
          <w:sz w:val="18"/>
          <w:szCs w:val="18"/>
          <w:color w:val="auto"/>
        </w:rPr>
      </w:pPr>
    </w:p>
    <w:p>
      <w:pPr>
        <w:ind w:left="1040" w:right="380" w:hanging="519"/>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Lease payments included in the measurement of the lease asset or liability comprise the following: fixed payments (including in-substance fixed payments), and the exercise price of a lessee option to purchase the underlying asset if the lessee is reasonably certain to exercise.</w:t>
      </w:r>
    </w:p>
    <w:p>
      <w:pPr>
        <w:spacing w:after="0" w:line="1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operating leases where the Company is the lessor, the Company continues recognizing the underlying asset and depreciating it over its estimated useful life. Lease income from lessees is recognized on a straight-line basis over the terms of the relevant lease agreement in revenue. Operating leases for equipment with fixed rentals and step rentals are recognized on a straight-line basis over the term of the lease, assuming no renewals, in revenue. Revenue is not recognized when collection is not reasonably assured. When collectability is not reasonably assured, the customer is placed on non-accrual status and revenue is recognized when cash payments are received.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lease asset for sales-type leases is initially measured as the total net investment in the lease, which comprises the initial amount of the lease receivable plus the deferred initial direct costs.</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lease asset for sales-type leases is subsequently measured throughout the lease term at the carrying amount of the net investment in the lease which is increased by interest income and reduced by lease payments collected. The lease payments are segregated into principal and interest components similar to a loan. Equipment leasing revenues are recognized on an effective interest method over the lease term. The principal component of the lease payment is reflected as a reduction to the net investment in the lease.</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operating leases where the Company is the lessee, the right-of-use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Lease assets for sales-type leases where the Company is the lessor and ROU assets for operating leases where the Company is the lessee are periodically reduced by impairment losses. The Company uses the loans impairment guidance in ASC Subtopic 330-10, Receivables, and the long-lived assets impairment guidance in ASC Subtopic 360-10, Property, Plant, and Equipment – Overall, to determine whether a lease asset or a ROU asset, respectively, is impaired, and if so, the amount of the impairment loss to recognize. As of September 30, 2019, the Company has not encountered any impairment losses.</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elected not to recognize ROU assets and lease liabilities for all short-term leases that have a lease term of 12 months or less. The Company recognizes the lease payments associated with the short-term leases as an expense on a straight-line basis over the lease term. Variable lease payments associated with these leases are recognized and presented in the same manner as for all other leases. The Company has elected to exclude sales and other similar taxes from lease payments in arrangements where the Company is a lessor.</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adopted ASU 2016-02 using a modified retrospective transition approach as of the effective date as permitted by the amendments in ASU 2018-11, which provides an alternative modified retrospective transition method. As a result, the Company was not required to adjust comparative period financial information for effects of the standard or make the new required lease disclosures for periods before the date of adoption (i.e. January 1, 2019). The Company has elected to adopt the package of transition practical expedients and, therefore, has not reassessed (1) whether existing or expired contracts contain a lease, (2) lease classification for existing or expired leases or (3) the accounting for initial direct costs that were previously capitalized. The Company did not elect the practical expedient to use hindsight for leases existing at the adoption date. Further, the Company does not expect the amendments in ASU 2018-01: Land Easement Practical Expedient to have an effect on us because the Company does not enter into land easement arrangements. There was no effect of the adoption of Topic 842 on retained earnings and other components of equity as of December 31, 2018.</w:t>
      </w:r>
    </w:p>
    <w:p>
      <w:pPr>
        <w:spacing w:after="0" w:line="10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Company’s discussion of recently issued accounting pronouncements can be found in “Note 4. Recent Accounting Pronouncements” in the audited financial statements included in the Company’s Form 10-K filed with the SEC on March 5, 2019. Additionally, refer to “Note 3. Summary of Significant Accounting Policies” appearing on this Form 10-Q for additional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September 30, 2019 and December 31, 2018 due to their short-term nature. The carrying values of the Company’s credit facility approximated its fair value as of September 30, 2019 and December 31, 2018 due to its variable interest rate.</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31" w:lineRule="exact"/>
        <w:rPr>
          <w:sz w:val="20"/>
          <w:szCs w:val="20"/>
          <w:color w:val="auto"/>
        </w:rPr>
      </w:pPr>
    </w:p>
    <w:p>
      <w:pPr>
        <w:ind w:left="920" w:right="4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76" w:lineRule="exact"/>
        <w:rPr>
          <w:sz w:val="20"/>
          <w:szCs w:val="20"/>
          <w:color w:val="auto"/>
        </w:rPr>
      </w:pPr>
    </w:p>
    <w:p>
      <w:pPr>
        <w:ind w:left="920" w:right="400" w:hanging="917"/>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set forth the carrying amounts and fair values of the Company’s financial instruments as of September 30,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8"/>
          </w:tcPr>
          <w:p>
            <w:pPr>
              <w:jc w:val="center"/>
              <w:ind w:right="4"/>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Quoted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Prices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35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71,365</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71,365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71,365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8"/>
          </w:tcPr>
          <w:p>
            <w:pPr>
              <w:jc w:val="center"/>
              <w:ind w:right="4"/>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Quoted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Prices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35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87,062</w:t>
            </w:r>
          </w:p>
        </w:tc>
        <w:tc>
          <w:tcPr>
            <w:tcW w:w="20" w:type="dxa"/>
            <w:vAlign w:val="bottom"/>
          </w:tcPr>
          <w:p>
            <w:pPr>
              <w:spacing w:after="0"/>
              <w:rPr>
                <w:sz w:val="20"/>
                <w:szCs w:val="20"/>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87,062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87,062</w:t>
            </w:r>
          </w:p>
        </w:tc>
        <w:tc>
          <w:tcPr>
            <w:tcW w:w="2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convertible preferred stock warrant liability was estimated using the Black-Scholes option pricing model and the following inputs and assumptions as of July 2,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1"/>
              </w:rPr>
              <w:t>July 2, 2018</w:t>
            </w:r>
          </w:p>
        </w:tc>
        <w:tc>
          <w:tcPr>
            <w:tcW w:w="68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Series E</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Series F</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4"/>
              </w:rPr>
              <w:t>Estimated fair value of convertible preferred stock</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26.41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Exercise price</w:t>
            </w:r>
          </w:p>
        </w:tc>
        <w:tc>
          <w:tcPr>
            <w:tcW w:w="1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19.55</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30"/>
              <w:spacing w:after="0"/>
              <w:rPr>
                <w:sz w:val="20"/>
                <w:szCs w:val="20"/>
                <w:color w:val="auto"/>
              </w:rPr>
            </w:pPr>
            <w:r>
              <w:rPr>
                <w:rFonts w:ascii="Arial" w:cs="Arial" w:eastAsia="Arial" w:hAnsi="Arial"/>
                <w:sz w:val="18"/>
                <w:szCs w:val="18"/>
                <w:color w:val="auto"/>
              </w:rPr>
              <w:t>9.73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Remaining term (in years)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4.5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- 6.5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7"/>
              </w:rPr>
              <w:t>2.6%</w:t>
            </w:r>
          </w:p>
        </w:tc>
        <w:tc>
          <w:tcPr>
            <w:tcW w:w="680" w:type="dxa"/>
            <w:vAlign w:val="bottom"/>
          </w:tcPr>
          <w:p>
            <w:pPr>
              <w:ind w:left="20"/>
              <w:spacing w:after="0"/>
              <w:rPr>
                <w:sz w:val="20"/>
                <w:szCs w:val="20"/>
                <w:color w:val="auto"/>
              </w:rPr>
            </w:pPr>
            <w:r>
              <w:rPr>
                <w:rFonts w:ascii="Arial" w:cs="Arial" w:eastAsia="Arial" w:hAnsi="Arial"/>
                <w:sz w:val="18"/>
                <w:szCs w:val="18"/>
                <w:color w:val="auto"/>
              </w:rPr>
              <w:t>- 2.8%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43%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Dividend yield</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30"/>
              <w:spacing w:after="0"/>
              <w:rPr>
                <w:sz w:val="20"/>
                <w:szCs w:val="20"/>
                <w:color w:val="auto"/>
              </w:rPr>
            </w:pPr>
            <w:r>
              <w:rPr>
                <w:rFonts w:ascii="Arial" w:cs="Arial" w:eastAsia="Arial" w:hAnsi="Arial"/>
                <w:sz w:val="18"/>
                <w:szCs w:val="18"/>
                <w:color w:val="auto"/>
              </w:rPr>
              <w:t>0%</w:t>
            </w:r>
          </w:p>
        </w:tc>
        <w:tc>
          <w:tcPr>
            <w:tcW w:w="1740" w:type="dxa"/>
            <w:vAlign w:val="bottom"/>
          </w:tcPr>
          <w:p>
            <w:pPr>
              <w:spacing w:after="0"/>
              <w:rPr>
                <w:sz w:val="20"/>
                <w:szCs w:val="20"/>
                <w:color w:val="auto"/>
              </w:rPr>
            </w:pPr>
          </w:p>
        </w:tc>
      </w:tr>
      <w:tr>
        <w:trPr>
          <w:trHeight w:val="431"/>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00" w:type="dxa"/>
            <w:vAlign w:val="bottom"/>
          </w:tcPr>
          <w:p>
            <w:pPr>
              <w:jc w:val="right"/>
              <w:ind w:right="129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changes in the Company’s Level 3 instrument, the then outstanding convertible preferred stock warrant liability, measured on a recurring basis for the nine months ended September 30, 2018 (in thousands):</w:t>
      </w:r>
    </w:p>
    <w:p>
      <w:pPr>
        <w:spacing w:after="0" w:line="17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to additional paid in capital</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(1,874)</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September 30, 2019 and December 31, 2018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accounts receivable - trade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September 30, 2019 and December 31, 2018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Rental equipment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gross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2019 and December 31, 2018, the Company had capitalized software costs, net of $0.9 million and $1.0 million, respectively, which are included in “Other assets” on the balance sheet.</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Depreciation and amortization expense was $0.3 million and $0.2 million for the three months ended September 30, 2019 and 2018, respectively, and $0.8 million and $0.7 million for the nine months ended September 30, 2019 and September 30, 2018, respectively.</w:t>
      </w:r>
    </w:p>
    <w:p>
      <w:pPr>
        <w:spacing w:after="0" w:line="112" w:lineRule="exact"/>
        <w:rPr>
          <w:sz w:val="20"/>
          <w:szCs w:val="20"/>
          <w:color w:val="auto"/>
        </w:rPr>
      </w:pPr>
    </w:p>
    <w:p>
      <w:pPr>
        <w:ind w:right="10320" w:firstLine="8"/>
        <w:spacing w:after="0" w:line="358" w:lineRule="auto"/>
        <w:tabs>
          <w:tab w:leader="none" w:pos="378"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Lessee: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operating leases for its corporate headquarters and office equipment, including copiers. The Company leases approximately 32,000 square foot facility in Malvern, Pennsylvania for its corporate headquarters, which includes office and warehouse space. In the first quarter of 2019, the Company signed a lease modification for its Malvern facility that extended the lease through February 2028 and included approximately 10,000 square foot of additional premises. The Company has an option to extend the lease on its combined 42,000 square foot facility for an additional five-year term; however, the Company has determined it is not reasonably certain to exercise the option at this time due to on-going personnel expansion efforts. The Company also maintains operating leases on office equipment, including copiers, which end in March 2023. The Company does not currently have any finance leases or executed leases that have not yet commenced.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Operating lease rent expense was $0.1 million for the three months ended September 30, 2019 and $0.4 million for the nine months ended September 30, 2019. As of September 30, 2019 the weighted-average remaining lease term of operating leases was 8.6 years and the weighted-average discount rate was 6.5%.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1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September 30, 2019</w:t>
            </w:r>
          </w:p>
        </w:tc>
      </w:tr>
      <w:tr>
        <w:trPr>
          <w:trHeight w:val="209"/>
        </w:trPr>
        <w:tc>
          <w:tcPr>
            <w:tcW w:w="1160" w:type="dxa"/>
            <w:vAlign w:val="bottom"/>
          </w:tcPr>
          <w:p>
            <w:pPr>
              <w:spacing w:after="0"/>
              <w:rPr>
                <w:sz w:val="18"/>
                <w:szCs w:val="18"/>
                <w:color w:val="auto"/>
              </w:rPr>
            </w:pPr>
          </w:p>
        </w:tc>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w:t>
            </w:r>
          </w:p>
        </w:tc>
        <w:tc>
          <w:tcPr>
            <w:tcW w:w="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4,164</w:t>
            </w:r>
          </w:p>
        </w:tc>
        <w:tc>
          <w:tcPr>
            <w:tcW w:w="80" w:type="dxa"/>
            <w:vAlign w:val="bottom"/>
          </w:tcPr>
          <w:p>
            <w:pPr>
              <w:spacing w:after="0"/>
              <w:rPr>
                <w:sz w:val="20"/>
                <w:szCs w:val="20"/>
                <w:color w:val="auto"/>
              </w:rPr>
            </w:pPr>
          </w:p>
        </w:tc>
      </w:tr>
      <w:tr>
        <w:trPr>
          <w:trHeight w:val="418"/>
        </w:trPr>
        <w:tc>
          <w:tcPr>
            <w:tcW w:w="8320" w:type="dxa"/>
            <w:vAlign w:val="bottom"/>
            <w:gridSpan w:val="2"/>
          </w:tcPr>
          <w:p>
            <w:pPr>
              <w:spacing w:after="0"/>
              <w:rPr>
                <w:sz w:val="20"/>
                <w:szCs w:val="20"/>
                <w:color w:val="auto"/>
              </w:rPr>
            </w:pPr>
            <w:r>
              <w:rPr>
                <w:rFonts w:ascii="Arial" w:cs="Arial" w:eastAsia="Arial" w:hAnsi="Arial"/>
                <w:sz w:val="18"/>
                <w:szCs w:val="18"/>
                <w:color w:val="auto"/>
                <w:w w:val="95"/>
              </w:rPr>
              <w:t>The following table sets forth by year the required future payments of operating lease liabilities (in thousands):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September 30, 2019</w:t>
            </w:r>
          </w:p>
        </w:tc>
      </w:tr>
      <w:tr>
        <w:trPr>
          <w:trHeight w:val="223"/>
        </w:trPr>
        <w:tc>
          <w:tcPr>
            <w:tcW w:w="1160" w:type="dxa"/>
            <w:vAlign w:val="bottom"/>
          </w:tcPr>
          <w:p>
            <w:pPr>
              <w:spacing w:after="0"/>
              <w:rPr>
                <w:sz w:val="19"/>
                <w:szCs w:val="19"/>
                <w:color w:val="auto"/>
              </w:rPr>
            </w:pPr>
          </w:p>
        </w:tc>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(1,416)</w:t>
            </w:r>
          </w:p>
        </w:tc>
      </w:tr>
      <w:tr>
        <w:trPr>
          <w:trHeight w:val="223"/>
        </w:trPr>
        <w:tc>
          <w:tcPr>
            <w:tcW w:w="1160" w:type="dxa"/>
            <w:vAlign w:val="bottom"/>
          </w:tcPr>
          <w:p>
            <w:pPr>
              <w:spacing w:after="0"/>
              <w:rPr>
                <w:sz w:val="19"/>
                <w:szCs w:val="19"/>
                <w:color w:val="auto"/>
              </w:rPr>
            </w:pPr>
          </w:p>
        </w:tc>
        <w:tc>
          <w:tcPr>
            <w:tcW w:w="716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Present value of operating lease liabilities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year the minimum expected lease payments under non-cancelable operating leases (in thousands) as of December 31, 2018:</w:t>
      </w: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80" w:type="dxa"/>
            <w:vAlign w:val="bottom"/>
          </w:tcPr>
          <w:p>
            <w:pPr>
              <w:jc w:val="right"/>
              <w:ind w:right="194"/>
              <w:spacing w:after="0"/>
              <w:rPr>
                <w:sz w:val="20"/>
                <w:szCs w:val="20"/>
                <w:color w:val="auto"/>
              </w:rPr>
            </w:pPr>
            <w:r>
              <w:rPr>
                <w:rFonts w:ascii="Arial" w:cs="Arial" w:eastAsia="Arial" w:hAnsi="Arial"/>
                <w:sz w:val="14"/>
                <w:szCs w:val="14"/>
                <w:b w:val="1"/>
                <w:bCs w:val="1"/>
                <w:color w:val="auto"/>
                <w:w w:val="93"/>
              </w:rPr>
              <w:t>December 31, 2018</w:t>
            </w: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jc w:val="right"/>
              <w:ind w:right="4130"/>
              <w:spacing w:after="0"/>
              <w:rPr>
                <w:sz w:val="20"/>
                <w:szCs w:val="20"/>
                <w:color w:val="auto"/>
              </w:rPr>
            </w:pPr>
            <w:r>
              <w:rPr>
                <w:rFonts w:ascii="Arial" w:cs="Arial" w:eastAsia="Arial" w:hAnsi="Arial"/>
                <w:sz w:val="18"/>
                <w:szCs w:val="18"/>
                <w:color w:val="auto"/>
                <w:w w:val="79"/>
              </w:rPr>
              <w:t>2019</w:t>
            </w:r>
          </w:p>
        </w:tc>
        <w:tc>
          <w:tcPr>
            <w:tcW w:w="3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547</w:t>
            </w:r>
          </w:p>
        </w:tc>
      </w:tr>
      <w:tr>
        <w:trPr>
          <w:trHeight w:val="230"/>
        </w:trPr>
        <w:tc>
          <w:tcPr>
            <w:tcW w:w="20" w:type="dxa"/>
            <w:vAlign w:val="bottom"/>
          </w:tcPr>
          <w:p>
            <w:pPr>
              <w:spacing w:after="0"/>
              <w:rPr>
                <w:sz w:val="19"/>
                <w:szCs w:val="19"/>
                <w:color w:val="auto"/>
              </w:rPr>
            </w:pPr>
          </w:p>
        </w:tc>
        <w:tc>
          <w:tcPr>
            <w:tcW w:w="4560" w:type="dxa"/>
            <w:vAlign w:val="bottom"/>
          </w:tcPr>
          <w:p>
            <w:pPr>
              <w:jc w:val="right"/>
              <w:ind w:right="4130"/>
              <w:spacing w:after="0"/>
              <w:rPr>
                <w:sz w:val="20"/>
                <w:szCs w:val="20"/>
                <w:color w:val="auto"/>
              </w:rPr>
            </w:pPr>
            <w:r>
              <w:rPr>
                <w:rFonts w:ascii="Arial" w:cs="Arial" w:eastAsia="Arial" w:hAnsi="Arial"/>
                <w:sz w:val="18"/>
                <w:szCs w:val="18"/>
                <w:color w:val="auto"/>
                <w:w w:val="79"/>
              </w:rPr>
              <w:t>2020</w:t>
            </w:r>
          </w:p>
        </w:tc>
        <w:tc>
          <w:tcPr>
            <w:tcW w:w="308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560</w:t>
            </w: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jc w:val="right"/>
              <w:ind w:right="4130"/>
              <w:spacing w:after="0"/>
              <w:rPr>
                <w:sz w:val="20"/>
                <w:szCs w:val="20"/>
                <w:color w:val="auto"/>
              </w:rPr>
            </w:pPr>
            <w:r>
              <w:rPr>
                <w:rFonts w:ascii="Arial" w:cs="Arial" w:eastAsia="Arial" w:hAnsi="Arial"/>
                <w:sz w:val="18"/>
                <w:szCs w:val="18"/>
                <w:color w:val="auto"/>
                <w:w w:val="79"/>
              </w:rPr>
              <w:t>2021</w:t>
            </w:r>
          </w:p>
        </w:tc>
        <w:tc>
          <w:tcPr>
            <w:tcW w:w="30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88</w:t>
            </w:r>
          </w:p>
        </w:tc>
      </w:tr>
      <w:tr>
        <w:trPr>
          <w:trHeight w:val="230"/>
        </w:trPr>
        <w:tc>
          <w:tcPr>
            <w:tcW w:w="20" w:type="dxa"/>
            <w:vAlign w:val="bottom"/>
          </w:tcPr>
          <w:p>
            <w:pPr>
              <w:spacing w:after="0"/>
              <w:rPr>
                <w:sz w:val="20"/>
                <w:szCs w:val="20"/>
                <w:color w:val="auto"/>
              </w:rPr>
            </w:pPr>
          </w:p>
        </w:tc>
        <w:tc>
          <w:tcPr>
            <w:tcW w:w="4560" w:type="dxa"/>
            <w:vAlign w:val="bottom"/>
          </w:tcPr>
          <w:p>
            <w:pPr>
              <w:jc w:val="right"/>
              <w:ind w:right="2850"/>
              <w:spacing w:after="0"/>
              <w:rPr>
                <w:sz w:val="20"/>
                <w:szCs w:val="20"/>
                <w:color w:val="auto"/>
              </w:rPr>
            </w:pPr>
            <w:r>
              <w:rPr>
                <w:rFonts w:ascii="Arial" w:cs="Arial" w:eastAsia="Arial" w:hAnsi="Arial"/>
                <w:sz w:val="18"/>
                <w:szCs w:val="18"/>
                <w:color w:val="auto"/>
                <w:w w:val="93"/>
              </w:rPr>
              <w:t>Total lease payments</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1,195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sales-type leases: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Certain costumers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8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4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Profit recognized at commencement, net</w:t>
            </w:r>
          </w:p>
        </w:tc>
        <w:tc>
          <w:tcPr>
            <w:tcW w:w="1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3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sales-type lease income</w:t>
            </w:r>
          </w:p>
        </w:tc>
        <w:tc>
          <w:tcPr>
            <w:tcW w:w="13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4220" w:type="dxa"/>
            <w:vAlign w:val="bottom"/>
          </w:tcPr>
          <w:p>
            <w:pPr>
              <w:spacing w:after="0"/>
              <w:rPr>
                <w:sz w:val="24"/>
                <w:szCs w:val="24"/>
                <w:color w:val="auto"/>
              </w:rPr>
            </w:pPr>
          </w:p>
        </w:tc>
        <w:tc>
          <w:tcPr>
            <w:tcW w:w="2180" w:type="dxa"/>
            <w:vAlign w:val="bottom"/>
            <w:gridSpan w:val="2"/>
          </w:tcPr>
          <w:p>
            <w:pPr>
              <w:jc w:val="right"/>
              <w:ind w:right="527"/>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5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4"/>
                <w:szCs w:val="14"/>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60" w:type="dxa"/>
            <w:vAlign w:val="bottom"/>
            <w:tcBorders>
              <w:bottom w:val="single" w:sz="8" w:color="CFF0FC"/>
            </w:tcBorders>
          </w:tcPr>
          <w:p>
            <w:pPr>
              <w:spacing w:after="0"/>
              <w:rPr>
                <w:sz w:val="19"/>
                <w:szCs w:val="19"/>
                <w:color w:val="auto"/>
              </w:rPr>
            </w:pPr>
          </w:p>
        </w:tc>
      </w:tr>
      <w:tr>
        <w:trPr>
          <w:trHeight w:val="223"/>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sales-type lease receivables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 carrying amount of the lease receivables is $1.8 million. The Company does not have any unguaranteed residual assets.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operating leases: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NeuroStar Advanced Therapy Systems sold on a rent-to-own basis prior to January 1, 2019 are accounted for as operating leases.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and 2018, the Company recognized operating lease income of $0.2 million and $0.3 million, respectively.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September 30, 2018, the Company recognized operating lease income of $0.6 million and $0.7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4"/>
                <w:szCs w:val="14"/>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FF0FC"/>
          </w:tcPr>
          <w:p>
            <w:pPr>
              <w:spacing w:after="0"/>
              <w:rPr>
                <w:sz w:val="19"/>
                <w:szCs w:val="19"/>
                <w:color w:val="auto"/>
              </w:rPr>
            </w:pP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color w:val="auto"/>
              </w:rPr>
              <w:t>Total lease receivables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maintained Rental Equipment, net of $0.6 million and $0.9 million, as of September 30, 2019 and December 31, 2018, respectively, which are included in “Property and equipment, net” on the balance sheet. Rental equipment depreciation expense was $0.1 million and $0.1 million for the three months ended September 30, 2019 and 2018, respectively, and $0.2 million and $0.3 million for the nine months ended September 30, 2019 and September 30, 2018, respectively.</w:t>
      </w:r>
    </w:p>
    <w:p>
      <w:pPr>
        <w:spacing w:after="0" w:line="169"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pays a commission on both NeuroStar Advanced Therapy System sales and Treatment Session sales. Since the commission paid for NeuroStar Advanced Therapy System sales is not commensurate with the commission paid for Treatment Sessions, the Company capitalizes commission expense associated with NeuroStar Advanced Therapy System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 As result of modified retrospective adoption method applied to open contracts only, the beginning balance as of January 1, 2019 did not include prepaid commission expense for those contracts that were substantially complete as of December 31, 2018.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$0.1 million for the three months ended September 30, 2019 and $0.2 million for the nine months ended September 30, 2019.</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ACCRUED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September 30, 2019 and December 31, 2018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and other taxes payable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tab/>
        <w:t>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September 30, 2019 and December 31, 2018 (in thousands):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Accrued final payment fees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(1,073)</w:t>
            </w: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long-term debt, net</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30,395</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September 30, 2019, the Company recognized interest expense of $0.9 million, of which $0.7 million was cash and $0.2 million was non-cash interest expense related to the amortization of deferred debt issuance costs and accrual of final payment fees. For the three months ended September 30, 2018, the Company recognized interest expense of $0.9 million, of which $0.7 million was cash and $0.2 million was non-cash interest expense related to the amortization of deferred debt issuance costs and accrual of final payment fees.</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nine months ended September 30, 2019, the Company recognized interest expense of $2.8 million, of which $2.2 million was cash and $0.6 million was non-cash interest expense related to the amortization of deferred debt issuance costs and accrual of final payment fees. For the nine months ended September 30, 2018, the Company recognized interest expense of $2.7 million, of which $2.1 million was cash and $0.6 million was non-cash interest expense related to the amortization of deferred debt issuance costs and accrual of final payment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2017, the Company entered into a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the Company upon the achievement of $45.0 million of trailing twelve month revenues during the second quarter of 2018. Upon achieving the required revenue milestone, the Company had 60 days to notify Oxford if it elected to borrow the Term C Loan. As a result of completing its IPO on July 2, 2018 and receiving the net proceeds therefrom, the Company elected not to borrow the additional $5.0 million, and it is no longer available to the Company. Each term loan accrues interest from the date of borrowing through the date of repayment at a floating per annum rate of interest, which resets monthly and is equal to the greater of (a) 8.15% or (b) the 30-day U.S. LIBOR on the last business day of the month plus 7.38%. The Company was also required to issue to Oxford at the date of each borrowing warrants to purchase its Series F or later series of convertible preferred stock with a seven-year term and in an amount equal to 3.95% of the first $5.0 million of each tranche borrowed. The credit facility matures and all amounts borrowed thereunder are due on March 1, 2022. As of September 30, 2019, the Company had borrowed and had outstanding an aggregate of $30.0 million of principal under the credit facility.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Term A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fiscal year 2018, the interest-only period was extended for an additional 12 months through March 2020, after which time the Company will be required to make monthly payments of principal and interest based on a 24-month amortization schedule. In connection with the drawdown of the Term A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March 2024.</w:t>
      </w:r>
    </w:p>
    <w:p>
      <w:pPr>
        <w:spacing w:after="0" w:line="1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Term B Loan featured an interest-only period through March 2019, during which time the Company was required to make monthly interest payments, after which time the Company was required to make monthly payments of principal and interest based on a 36-month amortization schedule. However, due to the achievement of $45.0 million of revenues during the fiscal year 2018, the interest-only period was extended for an additional 12 months through March 2020, after which time the Company will be required to make monthly payments of principal and interest based on a 24-month amortization schedule. In connection with the drawdown of the Term B Loan, the Company issued to Oxford a warrant to purchase shares of its Series F convertible preferred stock. On July 2, 2018, this convertible preferred stock warrant converted into a warrant to purchase 20,303 shares of the Company’s common stock at an exercise price of $9.73 per share. The warrant will expire in December 2024.</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to principal and interest payments due under the credit facility, the Company is required to make final payment fees to Oxford due upon the earlier of prepayment or maturity of each tranche, which increased as a result the extension of the interest-only period and are now equal to 8.5% and 7.5% of the principal amounts of the Term A and Term B Loans, respectively. The Company accrues the estimated final payment fees using the effective interest rate, with a charge to non-cash interest expense, over the term of borrowing for each tranche. As of December 31, 2018, the effective interest rates for the Term A and Term B Loans were 11.87% and 12.14%, respectively. If the Company prepays its term loans prior to their respective scheduled maturities, it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1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Company’s obligations under the credit facility are secured by a first priority security interest in substantially all of its assets, other than its intellectual property. The Company has agreed not to pledge or otherwise encumber any of its intellectual property. The loan and security agreement related to the credit facility includes a financial maintenance covenant that requires the Company to achieve at least 75% of its trailing 12-month forecasted revenues, as measured each month in accordance with a forecast that the Company provided to Oxford upon signing the agreement and future forecasts that the Company is required to deliver to Oxford each year for the life of the credit facility, as well as customary affirmative and negative covenants. The Company was in compliance with all of the covenants under its credit facility as of September 30, 2019.</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significant judgments, orders or decrees for payments by the Company not covered by insurance; (vii) incorrectness of representations and warranties; (viii) incurrence of subordinated debt; (ix) revocation of governmental approvals necessary for the Company to conduct its business; and (x) failure by the Company to maintain a valid and perfected lien on the collateral securing the borrowing.</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a 24-month amortization of the outstanding principal amounts of the Term A and Term B Loans beginning on April 1, 2020 as discussed above, the following table sets forth by year the Company’s required future principal payments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Year:</w:t>
            </w: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Principal</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w w:val="99"/>
              </w:rPr>
              <w:t>Payments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2020</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7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principal payments</w:t>
            </w:r>
          </w:p>
        </w:tc>
        <w:tc>
          <w:tcPr>
            <w:tcW w:w="2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80" w:type="dxa"/>
            <w:vAlign w:val="bottom"/>
            <w:vMerge w:val="restart"/>
          </w:tcPr>
          <w:p>
            <w:pPr>
              <w:jc w:val="right"/>
              <w:ind w:right="18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right="9480" w:firstLine="8"/>
        <w:spacing w:after="0" w:line="331" w:lineRule="auto"/>
        <w:tabs>
          <w:tab w:leader="none" w:pos="37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Common Stock</w:t>
      </w:r>
    </w:p>
    <w:p>
      <w:pPr>
        <w:ind w:right="40"/>
        <w:spacing w:after="0" w:line="277" w:lineRule="auto"/>
        <w:rPr>
          <w:sz w:val="20"/>
          <w:szCs w:val="20"/>
          <w:color w:val="auto"/>
        </w:rPr>
      </w:pPr>
      <w:r>
        <w:rPr>
          <w:rFonts w:ascii="Arial" w:cs="Arial" w:eastAsia="Arial" w:hAnsi="Arial"/>
          <w:sz w:val="18"/>
          <w:szCs w:val="18"/>
          <w:color w:val="auto"/>
        </w:rPr>
        <w:t>The Company’s amended and restated certificate of incorporation as of September 30, 2019 authorized the issuance of 200.0 million shares of common stock, $0.01 par value per share, of which 18.6 million were issued and outstanding as of September 30, 2019.</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total number of shares of the Company’s common stock issued and reserved for issuance as of September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720" w:type="dxa"/>
            <w:vAlign w:val="bottom"/>
          </w:tcPr>
          <w:p>
            <w:pPr>
              <w:jc w:val="right"/>
              <w:ind w:right="292"/>
              <w:spacing w:after="0"/>
              <w:rPr>
                <w:sz w:val="20"/>
                <w:szCs w:val="20"/>
                <w:color w:val="auto"/>
              </w:rPr>
            </w:pPr>
            <w:r>
              <w:rPr>
                <w:rFonts w:ascii="Arial" w:cs="Arial" w:eastAsia="Arial" w:hAnsi="Arial"/>
                <w:sz w:val="14"/>
                <w:szCs w:val="14"/>
                <w:b w:val="1"/>
                <w:bCs w:val="1"/>
                <w:color w:val="auto"/>
              </w:rPr>
              <w:t>September 30, 2019</w:t>
            </w:r>
          </w:p>
        </w:tc>
        <w:tc>
          <w:tcPr>
            <w:tcW w:w="178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 2018</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issued</w:t>
            </w:r>
          </w:p>
        </w:tc>
        <w:tc>
          <w:tcPr>
            <w:tcW w:w="27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18,602</w:t>
            </w:r>
          </w:p>
        </w:tc>
        <w:tc>
          <w:tcPr>
            <w:tcW w:w="1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17,744</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Shares of common stock reserved for issuance for:</w:t>
            </w:r>
          </w:p>
        </w:tc>
        <w:tc>
          <w:tcPr>
            <w:tcW w:w="27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warrants outstanding</w:t>
            </w:r>
          </w:p>
        </w:tc>
        <w:tc>
          <w:tcPr>
            <w:tcW w:w="27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105</w:t>
            </w:r>
          </w:p>
        </w:tc>
        <w:tc>
          <w:tcPr>
            <w:tcW w:w="1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Stock options outstanding</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2,434</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2,711</w:t>
            </w: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units outstanding</w:t>
            </w:r>
          </w:p>
        </w:tc>
        <w:tc>
          <w:tcPr>
            <w:tcW w:w="27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240</w:t>
            </w:r>
          </w:p>
        </w:tc>
        <w:tc>
          <w:tcPr>
            <w:tcW w:w="1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Shares available for grant under stock incentive plan</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1,243</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1,312</w:t>
            </w: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available for sale under employee stock purchase plan</w:t>
            </w:r>
          </w:p>
        </w:tc>
        <w:tc>
          <w:tcPr>
            <w:tcW w:w="27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421</w:t>
            </w:r>
          </w:p>
        </w:tc>
        <w:tc>
          <w:tcPr>
            <w:tcW w:w="1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244</w:t>
            </w:r>
          </w:p>
        </w:tc>
      </w:tr>
      <w:tr>
        <w:trPr>
          <w:trHeight w:val="215"/>
        </w:trPr>
        <w:tc>
          <w:tcPr>
            <w:tcW w:w="5780" w:type="dxa"/>
            <w:vAlign w:val="bottom"/>
          </w:tcPr>
          <w:p>
            <w:pPr>
              <w:ind w:left="500"/>
              <w:spacing w:after="0"/>
              <w:rPr>
                <w:sz w:val="20"/>
                <w:szCs w:val="20"/>
                <w:color w:val="auto"/>
              </w:rPr>
            </w:pPr>
            <w:r>
              <w:rPr>
                <w:rFonts w:ascii="Arial" w:cs="Arial" w:eastAsia="Arial" w:hAnsi="Arial"/>
                <w:sz w:val="18"/>
                <w:szCs w:val="18"/>
                <w:color w:val="auto"/>
              </w:rPr>
              <w:t>Total shares of common stock issued and</w:t>
            </w:r>
          </w:p>
        </w:tc>
        <w:tc>
          <w:tcPr>
            <w:tcW w:w="27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5780" w:type="dxa"/>
            <w:vAlign w:val="bottom"/>
          </w:tcPr>
          <w:p>
            <w:pPr>
              <w:ind w:left="620"/>
              <w:spacing w:after="0"/>
              <w:rPr>
                <w:sz w:val="20"/>
                <w:szCs w:val="20"/>
                <w:color w:val="auto"/>
              </w:rPr>
            </w:pPr>
            <w:r>
              <w:rPr>
                <w:rFonts w:ascii="Arial" w:cs="Arial" w:eastAsia="Arial" w:hAnsi="Arial"/>
                <w:sz w:val="18"/>
                <w:szCs w:val="18"/>
                <w:color w:val="auto"/>
              </w:rPr>
              <w:t>reserved for issuance</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23,045</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22,159</w:t>
            </w:r>
          </w:p>
        </w:tc>
      </w:tr>
    </w:tbl>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1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Immediately prior to the closing of the Company’s IPO on July 2, 2018, all of the Company’s outstanding shares of convertible preferred stock converted into an aggregate of 11.0 million shares of common stock, resulting in the elimination of the Company’s outstanding liquidation preferences.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common stock warrants as of September 30, 2019 and December 31, 2018:</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0"/>
              </w:rPr>
              <w:t>Exercise</w:t>
            </w:r>
          </w:p>
        </w:tc>
        <w:tc>
          <w:tcPr>
            <w:tcW w:w="2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Price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38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Dec-2022</w:t>
            </w:r>
          </w:p>
        </w:tc>
        <w:tc>
          <w:tcPr>
            <w:tcW w:w="0" w:type="dxa"/>
            <w:vAlign w:val="bottom"/>
          </w:tcPr>
          <w:p>
            <w:pPr>
              <w:spacing w:after="0"/>
              <w:rPr>
                <w:sz w:val="1"/>
                <w:szCs w:val="1"/>
                <w:color w:val="auto"/>
              </w:rPr>
            </w:pPr>
          </w:p>
        </w:tc>
      </w:tr>
      <w:tr>
        <w:trPr>
          <w:trHeight w:val="230"/>
        </w:trPr>
        <w:tc>
          <w:tcPr>
            <w:tcW w:w="2360" w:type="dxa"/>
            <w:vAlign w:val="bottom"/>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Feb-2021</w:t>
            </w: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Aug-2023</w:t>
            </w:r>
          </w:p>
        </w:tc>
        <w:tc>
          <w:tcPr>
            <w:tcW w:w="0" w:type="dxa"/>
            <w:vAlign w:val="bottom"/>
          </w:tcPr>
          <w:p>
            <w:pPr>
              <w:spacing w:after="0"/>
              <w:rPr>
                <w:sz w:val="1"/>
                <w:szCs w:val="1"/>
                <w:color w:val="auto"/>
              </w:rPr>
            </w:pPr>
          </w:p>
        </w:tc>
      </w:tr>
      <w:tr>
        <w:trPr>
          <w:trHeight w:val="230"/>
        </w:trPr>
        <w:tc>
          <w:tcPr>
            <w:tcW w:w="2360" w:type="dxa"/>
            <w:vAlign w:val="bottom"/>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Mar-2024</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Dec-2024</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LOSS PER SHARE</w:t>
      </w:r>
    </w:p>
    <w:p>
      <w:pPr>
        <w:spacing w:after="0" w:line="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potentially dilutive securities outstanding as of September 30, 2019 and 2018 have been excluded from the denominator of the diluted loss per share of common stock outstanding calculation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Non-vested 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Shares of convertible preferred stock “as-converted”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SHARE-BASED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share-based compensation expense recognized by the Company by location in its statements of operations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4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7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8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subject to an annual 4% evergreen increase,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As of September 30, 2019, there were 1.2 million shares available for future issuance under the 2018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per Option</w:t>
            </w: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4"/>
                <w:szCs w:val="14"/>
                <w:color w:val="auto"/>
              </w:rPr>
            </w:pPr>
          </w:p>
        </w:tc>
        <w:tc>
          <w:tcPr>
            <w:tcW w:w="116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0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1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(841)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80" w:type="dxa"/>
            <w:vAlign w:val="bottom"/>
            <w:gridSpan w:val="3"/>
          </w:tcPr>
          <w:p>
            <w:pPr>
              <w:jc w:val="right"/>
              <w:ind w:right="80"/>
              <w:spacing w:after="0"/>
              <w:rPr>
                <w:sz w:val="20"/>
                <w:szCs w:val="20"/>
                <w:color w:val="auto"/>
              </w:rPr>
            </w:pPr>
            <w:r>
              <w:rPr>
                <w:rFonts w:ascii="Arial" w:cs="Arial" w:eastAsia="Arial" w:hAnsi="Arial"/>
                <w:sz w:val="18"/>
                <w:szCs w:val="18"/>
                <w:color w:val="auto"/>
              </w:rPr>
              <w:t>(238)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2019</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7.7</w:t>
            </w: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8,770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580"/>
              <w:spacing w:after="0"/>
              <w:rPr>
                <w:sz w:val="20"/>
                <w:szCs w:val="20"/>
                <w:color w:val="auto"/>
              </w:rPr>
            </w:pPr>
            <w:r>
              <w:rPr>
                <w:rFonts w:ascii="Arial" w:cs="Arial" w:eastAsia="Arial" w:hAnsi="Arial"/>
                <w:sz w:val="18"/>
                <w:szCs w:val="18"/>
                <w:color w:val="auto"/>
              </w:rPr>
              <w:t>Exercisable at September 30, 2019</w:t>
            </w:r>
          </w:p>
        </w:tc>
        <w:tc>
          <w:tcPr>
            <w:tcW w:w="2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line="20" w:lineRule="exact"/>
              <w:rPr>
                <w:sz w:val="1"/>
                <w:szCs w:val="1"/>
                <w:color w:val="auto"/>
              </w:rPr>
            </w:pPr>
          </w:p>
        </w:tc>
        <w:tc>
          <w:tcPr>
            <w:tcW w:w="1140" w:type="dxa"/>
            <w:vAlign w:val="bottom"/>
            <w:vMerge w:val="restart"/>
          </w:tcPr>
          <w:p>
            <w:pPr>
              <w:jc w:val="right"/>
              <w:ind w:right="41"/>
              <w:spacing w:after="0"/>
              <w:rPr>
                <w:sz w:val="20"/>
                <w:szCs w:val="20"/>
                <w:color w:val="auto"/>
              </w:rPr>
            </w:pPr>
            <w:r>
              <w:rPr>
                <w:rFonts w:ascii="Arial" w:cs="Arial" w:eastAsia="Arial" w:hAnsi="Arial"/>
                <w:sz w:val="18"/>
                <w:szCs w:val="18"/>
                <w:color w:val="auto"/>
              </w:rPr>
              <w:t>6.3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9"/>
              <w:spacing w:after="0"/>
              <w:rPr>
                <w:sz w:val="20"/>
                <w:szCs w:val="20"/>
                <w:color w:val="auto"/>
              </w:rPr>
            </w:pPr>
            <w:r>
              <w:rPr>
                <w:rFonts w:ascii="Arial" w:cs="Arial" w:eastAsia="Arial" w:hAnsi="Arial"/>
                <w:sz w:val="18"/>
                <w:szCs w:val="18"/>
                <w:color w:val="auto"/>
              </w:rPr>
              <w:t>6,737</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4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September 30, 2019</w:t>
            </w: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7.7</w:t>
            </w: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8,770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20</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recognized share-based compensation expense related to stock options of $0.6 million and $1.0 million for the three months ended September 30, 2019 and 2018, respectively, and $1.6 million and $1.3 million for the nine months ended September 30, 2019 and September 30, 2018, respectively. As of September 30, 2019, there was $7.0 million of total unrecognized compensation cost related to non-vested stock options which the Company expects to recognize over a weighted-average period of 3.2 years. The weighted-average grant-date fair value of stock options granted during the nine months ended September 30, 2019 was estimated at $7.99 per option. The total intrinsic value of stock options exercised during the nine months ended September 30, 2019 was $10.6 million.</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nine months ended September 30, 2019, the grant-date fair value of stock options was estimated at the time of grant using the following weighted-average inputs and assumptions in the Black-Scholes option pricing model:</w:t>
      </w:r>
    </w:p>
    <w:p>
      <w:pPr>
        <w:spacing w:after="0" w:line="17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 of common stock</w:t>
            </w:r>
          </w:p>
        </w:tc>
        <w:tc>
          <w:tcPr>
            <w:tcW w:w="18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14.82</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Exercise price</w:t>
            </w:r>
          </w:p>
        </w:tc>
        <w:tc>
          <w:tcPr>
            <w:tcW w:w="18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14.82</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Dividend yield</w:t>
            </w:r>
          </w:p>
        </w:tc>
        <w:tc>
          <w:tcPr>
            <w:tcW w:w="18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restricted stock award and restricted stock unit activity for the nine months ended September 30, 2019:</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Non-vested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Non-vested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49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49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Grant-date</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Grant-date</w:t>
            </w:r>
          </w:p>
        </w:tc>
      </w:tr>
      <w:tr>
        <w:trPr>
          <w:trHeight w:val="171"/>
        </w:trPr>
        <w:tc>
          <w:tcPr>
            <w:tcW w:w="49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September 30, 2019</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recognized approximately $0.3 million and $0.1 in share-based compensation expense related to restricted stock awards and restricted stock units for the three months ended September 30, 2019 and 2018, respectively, and $0.9 million and $0.1 for the nine months ended September 30, 2019 and September 30, 2018, respectively. As of September 30, 2019, there was $3.2 million of unrecognized compensation cost related to non-vested restricted stock awards and restricted stock units, which the Company expects to recognize over a weighted-average period of 2.5 years. The total fair value at the vesting date of restricted stock awards and restricted stock units vested during the nine months ended September 30, 2019 was $0.3 million.</w:t>
      </w:r>
    </w:p>
    <w:p>
      <w:pPr>
        <w:spacing w:after="0" w:line="100" w:lineRule="exact"/>
        <w:rPr>
          <w:sz w:val="20"/>
          <w:szCs w:val="20"/>
          <w:color w:val="auto"/>
        </w:rPr>
      </w:pPr>
    </w:p>
    <w:p>
      <w:pPr>
        <w:ind w:right="8480" w:firstLine="8"/>
        <w:spacing w:after="0" w:line="338" w:lineRule="auto"/>
        <w:tabs>
          <w:tab w:leader="none" w:pos="3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Defined Contribution Plan</w:t>
      </w:r>
    </w:p>
    <w:p>
      <w:pPr>
        <w:spacing w:after="0" w:line="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There is currently no employer matching of employee contributions and employee contributions vest immediately.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Employee Stock Purchase Plan</w:t>
      </w:r>
    </w:p>
    <w:p>
      <w:pPr>
        <w:spacing w:after="0" w:line="8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September 30, 2019, the Company had not yet approved any offering under the 2018 ESPP.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ind w:right="7580" w:firstLine="8"/>
        <w:spacing w:after="0" w:line="331" w:lineRule="auto"/>
        <w:tabs>
          <w:tab w:leader="none" w:pos="37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ind w:right="180"/>
        <w:spacing w:after="0" w:line="277" w:lineRule="auto"/>
        <w:rPr>
          <w:sz w:val="20"/>
          <w:szCs w:val="20"/>
          <w:color w:val="auto"/>
        </w:rPr>
      </w:pPr>
      <w:r>
        <w:rPr>
          <w:rFonts w:ascii="Arial" w:cs="Arial" w:eastAsia="Arial" w:hAnsi="Arial"/>
          <w:sz w:val="18"/>
          <w:szCs w:val="18"/>
          <w:color w:val="auto"/>
        </w:rPr>
        <w:t>The Company has entered into an employment agreement and offer letters with certain key executives, providing for compensation and severance in certain circumstances, as defined in the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17.</w:t>
        <w:tab/>
        <w:t>DISTRIBUTION AGREEMENT WITH TEIJIN PHARMA LIMITED</w:t>
      </w:r>
    </w:p>
    <w:p>
      <w:pPr>
        <w:spacing w:after="0" w:line="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October 2017, the Company entered into a seven-and-a-half-year distribution agreement with Teijin Pharma Limited, or Teijin, for the exclusive distribution of its NeuroStar Advanced Therapy System to customers who will treat patients with MDD in Japan. Under the distribution agreement, Teijin is generally restricted from selling competing products in Japan. The distribution agreement provides that the Company will have primary responsibility for obtaining reimbursement approval for use of NeuroStar Advanced Therapy System for the treatment of MDD in Japan, and Teijin will promote the sales of NeuroStar Advanced Therapy System for treatment of MDD in Japan. The Company has agreed to provide sales and technical support training to Teijin for its NeuroStar Advanced Therapy Systems. Teijin is required to purchase minimum dollar values of NeuroStar Advanced Therapy Systems and treatment sessions from the Company.</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2017, under the distribution agreement with Teijin, the Company received an upfront payment of $0.75 million and a milestone payment of $2.0 million following the Japanese Ministry of Health, Labour and Welfare’s, or JMHLW, approval of marketing the NeuroStar Advanced Therapy System for the treatment of MDD in Japan. In the second quarter of 2019, under the distribution agreement with Teijin, the Company earned a second milestone payment of $0.7 million, following Japan’s Central Social Insurance Medical Council (Chuikyo) approval of the recommendation by JMHLW’s expert review panel to provide reimbursement for NeuroStar Advanced Therapy for the treatment of MDD in adults. The reimbursement went into effect on June 1, 2019 and covers patients who are treated in the largest inpatient and outpatient psychiatric facilities in Japan at the rate of JPY12,000 per treatment session. These upfront and subsequent milestone payments have been deferred and are being recognized as revenue over the seven- and one-half year term of the agreement.</w:t>
      </w:r>
    </w:p>
    <w:p>
      <w:pPr>
        <w:spacing w:after="0" w:line="11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May 2019, the Company and Teijin entered into an amendment to the distribution agreement, which among other things finalized transfer prices, forecasting and minimum purchases, and made certain clarifications to the agreement.</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distribution agreement is scheduled to expire on March 31, 2025, subject to earlier termination if the Company or Teijin breach the agreement, Teijin fails to maintain distributor-level permits and approvals, Teijin fails to purchase from the Company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the Company cannot decline to renew the agreement if Teijin has purchased 100% of its sales forecasts over the term of the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18.</w:t>
        <w:tab/>
        <w:t>GEOGRAPHICAL SEGMENT INFORMATION</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3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15,294</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vMerge w:val="continue"/>
            <w:shd w:val="clear" w:color="auto" w:fill="CFF0FC"/>
          </w:tcPr>
          <w:p>
            <w:pPr>
              <w:spacing w:after="0"/>
              <w:rPr>
                <w:sz w:val="19"/>
                <w:szCs w:val="19"/>
                <w:color w:val="auto"/>
              </w:rPr>
            </w:pPr>
          </w:p>
        </w:tc>
        <w:tc>
          <w:tcPr>
            <w:tcW w:w="13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U.S.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7"/>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5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Treatment sessions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10,252</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15,294</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9"/>
          </w:tcPr>
          <w:p>
            <w:pPr>
              <w:jc w:val="center"/>
              <w:ind w:left="657"/>
              <w:spacing w:after="0"/>
              <w:rPr>
                <w:sz w:val="20"/>
                <w:szCs w:val="20"/>
                <w:color w:val="auto"/>
              </w:rPr>
            </w:pPr>
            <w:r>
              <w:rPr>
                <w:rFonts w:ascii="Arial" w:cs="Arial" w:eastAsia="Arial" w:hAnsi="Arial"/>
                <w:sz w:val="14"/>
                <w:szCs w:val="14"/>
                <w:b w:val="1"/>
                <w:bCs w:val="1"/>
                <w:color w:val="auto"/>
                <w:w w:val="93"/>
              </w:rPr>
              <w:t>International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7"/>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5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Treatment sessions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43,730</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vMerge w:val="continue"/>
            <w:shd w:val="clear" w:color="auto" w:fill="CFF0FC"/>
          </w:tcPr>
          <w:p>
            <w:pPr>
              <w:spacing w:after="0"/>
              <w:rPr>
                <w:sz w:val="19"/>
                <w:szCs w:val="19"/>
                <w:color w:val="auto"/>
              </w:rPr>
            </w:pPr>
          </w:p>
        </w:tc>
        <w:tc>
          <w:tcPr>
            <w:tcW w:w="13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240" w:type="dxa"/>
            <w:vAlign w:val="bottom"/>
            <w:tcBorders>
              <w:right w:val="single" w:sz="8" w:color="CFF0FC"/>
            </w:tcBorders>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U.S. Revenues by Product Category</w:t>
      </w:r>
    </w:p>
    <w:p>
      <w:pPr>
        <w:ind w:left="6580"/>
        <w:spacing w:after="0" w:line="236" w:lineRule="auto"/>
        <w:rPr>
          <w:sz w:val="20"/>
          <w:szCs w:val="20"/>
          <w:color w:val="auto"/>
        </w:rPr>
      </w:pPr>
      <w:r>
        <w:rPr>
          <w:rFonts w:ascii="Arial" w:cs="Arial" w:eastAsia="Arial" w:hAnsi="Arial"/>
          <w:sz w:val="14"/>
          <w:szCs w:val="14"/>
          <w:b w:val="1"/>
          <w:bCs w:val="1"/>
          <w:color w:val="auto"/>
        </w:rPr>
        <w:t>Nine 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12,594</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29,877</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43,730</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gridSpan w:val="9"/>
          </w:tcPr>
          <w:p>
            <w:pPr>
              <w:jc w:val="center"/>
              <w:ind w:left="657"/>
              <w:spacing w:after="0"/>
              <w:rPr>
                <w:sz w:val="20"/>
                <w:szCs w:val="20"/>
                <w:color w:val="auto"/>
              </w:rPr>
            </w:pPr>
            <w:r>
              <w:rPr>
                <w:rFonts w:ascii="Arial" w:cs="Arial" w:eastAsia="Arial" w:hAnsi="Arial"/>
                <w:sz w:val="14"/>
                <w:szCs w:val="14"/>
                <w:b w:val="1"/>
                <w:bCs w:val="1"/>
                <w:color w:val="auto"/>
                <w:w w:val="93"/>
              </w:rPr>
              <w:t>International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2"/>
              </w:rPr>
              <w:t>Nine Months Ended 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7"/>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Treatment sessions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Borders>
              <w:right w:val="single" w:sz="8" w:color="CFF0FC"/>
            </w:tcBorders>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1,570</w:t>
            </w:r>
          </w:p>
        </w:tc>
        <w:tc>
          <w:tcPr>
            <w:tcW w:w="2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24" w:name="page25"/>
    <w:bookmarkEnd w:id="24"/>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spacing w:after="0" w:line="1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Securities and Exchange Commission, or SEC, on March 5, 2019.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believe we are the market leader in TMS therapy based on our U.S. installed base of 1,032 active NeuroStar Advanced Therapy Systems in approximately 833 psychiatrist offices as of September 30, 2019 and the estimated 76,200 patients treated with approximately 2.7 million of our treatment sessions through such date. We generated revenues of $16.0 million and $45.3 million for the three and nine months ended September 30, 2019, respectively.</w:t>
      </w:r>
    </w:p>
    <w:p>
      <w:pPr>
        <w:spacing w:after="0" w:line="1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recurring treatment sessions and service and repair and extended warranty contracts. We derive the majority of our revenues from recurring treatment sessions. For the three months ended September 30, 2019, revenues from sales of our treatment sessions and NeuroStar Advanced Therapy Systems represented 67% and 30% of our U.S. revenues, respectively. For the nine months ended September 30, 2019, revenues from sales of our treatment sessions and NeuroStar Advanced Therapy Systems represented 68% and 29% of our U.S. revenues, respectively.</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currently sell our NeuroStar Advanced Therapy System and recurring treatment sessions in the United States with the collaborative support of our 236 employees as of September 30, 2019. Our sales force primarily targets 15,100 psychiatrists at 3,600 high-decile psychiatric practices that we estimate, based on data from Symphony Health and our own internal estimates, treat approximately 33%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260"/>
        <w:spacing w:after="0" w:line="257" w:lineRule="auto"/>
        <w:rPr>
          <w:sz w:val="20"/>
          <w:szCs w:val="20"/>
          <w:color w:val="auto"/>
        </w:rPr>
      </w:pPr>
      <w:r>
        <w:rPr>
          <w:rFonts w:ascii="Arial" w:cs="Arial" w:eastAsia="Arial" w:hAnsi="Arial"/>
          <w:sz w:val="18"/>
          <w:szCs w:val="18"/>
          <w:color w:val="auto"/>
        </w:rPr>
        <w:t>incremental income to their practices. We have a diverse customer base of psychiatrists in group psychiatric practices in the United States. For the three months ended September 30, 2019, no customer accounted for more than 10% of our revenues. For nine months ended September 30, 2019, one customer accounted for 10% of our revenues. For the three and nine months ended September 30, 2018, no customer accounted for more than 10% of our revenues. Medicare and the vast majority of commercial payors in the United States Patients are reimbursed for treatment sessions utilizing our NeuroStar Advanced Therapy System.</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3% and 2% of our total revenues for the nine months ended September 30, 2019 and September 30, 2018,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our presence in Japan.</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3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total revenues increased by $2.3 million, or 16%, from $13.7 million for the three months ended September 30, 2018 to $16.0 million for the three months ended September 30, 2019 and by $8.2 million, or 22%, from $37.1 million for nine months ended September 30, 2018 to $45.3 million for the nine months ended September 30, 2019. For the three and nine months ended September 30, 2019, our U.S. revenues were $15.3 million and $43.7 million and compared to $13.5 million and $36.4 million for the three and nine months ended September 30, 2018 , respectively, which represent an increase of 13% and 20% period over period. Due to the seasonality of our sales, during the first quarter of each year, we typically experience reduced revenues compared to our other quarters. We incurred net losses of $6.9 million and $21.5 million for the three and nine months ended September 30, 2019 compared to net losses of $5.0 million and $18.0 million for the three and nine months ended September 30, 2018, respectively. We expect to continue to incur losses for the next several years as we expand our commercial organization to support our planned sales growth and while continuing to invest in our pipeline indications. As of September 30, 2019, we had an accumulated deficit of $242.5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16"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1,032 and 858 active NeuroStar Advanced Therapy Systems as of September 30, 2019 and 2018, respectively.</w:t>
      </w:r>
    </w:p>
    <w:p>
      <w:pPr>
        <w:spacing w:after="0" w:line="13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u w:val="single" w:color="auto"/>
          <w:color w:val="auto"/>
        </w:rPr>
        <w:t>Treatment Session Revenues</w:t>
      </w:r>
      <w:r>
        <w:rPr>
          <w:rFonts w:ascii="Arial" w:cs="Arial" w:eastAsia="Arial" w:hAnsi="Arial"/>
          <w:sz w:val="17"/>
          <w:szCs w:val="17"/>
          <w:color w:val="auto"/>
        </w:rPr>
        <w:t>. Treatment session revenues primarily include sales of NeuroStar Treatment Sessions and SenStar treatment links.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1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5, 2019. We also refer you to “Note 3. Summary of Significant Accounting Policies” and “Note 4. Recent Accounting Pronouncements” appearing on this Form 10-Q for additional information regarding how we account for revenues.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a significant increase in headcount in our commercial organization and in expenses in executing on our growth initiatives as we continue to expand our business in the United States and internationally. As a result, we expect our sales and marketing expenses to continue to increase in absolute dollars.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absolute dollars because of an expanded infrastructure and an increased headcount. We anticipate higher corporate infrastructure costs including, but not limited to, accounting, legal, human resources, consulting and investor relations fees, listing fees on the Nasdaq Global Market, costs associated with SEC reporting and compliance, as well as increased director and officer insurance premiums, as a result of our current status as a public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continue to increase in absolute dollars.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expense (income), net consists primarily of the revaluation related to our convertible preferred stock warrants, which were accounted for as a liability prior to their conversion into common stock warrants on July 2, 2018 and marked-to-market at each reporting period, as well as interest income earned on our money market account balances, and non-utilization fees paid to Oxford related to our decision not to borrow the Term C Loan. Upon the closing of our IPO on July 2, 2018, all of our outstanding convertible preferred stock warrants converted into warrants to acquire an aggregate of 0.1 million shares of our common stock, resulting in the reclassification of the convertible preferred stock warrant liability into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91"/>
              </w:rPr>
              <w:t>Increase / (Decrease)</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Dollars</w:t>
            </w:r>
          </w:p>
        </w:tc>
        <w:tc>
          <w:tcPr>
            <w:tcW w:w="9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73.8%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(6,328)</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(4,332)</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740"/>
              <w:spacing w:after="0"/>
              <w:rPr>
                <w:sz w:val="20"/>
                <w:szCs w:val="20"/>
                <w:color w:val="auto"/>
              </w:rPr>
            </w:pPr>
            <w:r>
              <w:rPr>
                <w:rFonts w:ascii="Arial" w:cs="Arial" w:eastAsia="Arial" w:hAnsi="Arial"/>
                <w:sz w:val="18"/>
                <w:szCs w:val="18"/>
                <w:color w:val="auto"/>
              </w:rPr>
              <w:t>Net Loss</w:t>
            </w:r>
          </w:p>
        </w:tc>
        <w:tc>
          <w:tcPr>
            <w:tcW w:w="1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(6,867)</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(4,961)</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(1,906)</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Revenues by Geography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Arial" w:cs="Arial" w:eastAsia="Arial" w:hAnsi="Arial"/>
                <w:sz w:val="14"/>
                <w:szCs w:val="14"/>
                <w:b w:val="1"/>
                <w:bCs w:val="1"/>
                <w:color w:val="auto"/>
                <w:w w:val="89"/>
              </w:rPr>
              <w:t>2018</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30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U.S. Revenues by Product Category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654"/>
              <w:spacing w:after="0" w:line="155" w:lineRule="exact"/>
              <w:rPr>
                <w:sz w:val="20"/>
                <w:szCs w:val="20"/>
                <w:color w:val="auto"/>
              </w:rPr>
            </w:pPr>
            <w:r>
              <w:rPr>
                <w:rFonts w:ascii="Arial" w:cs="Arial" w:eastAsia="Arial" w:hAnsi="Arial"/>
                <w:sz w:val="14"/>
                <w:szCs w:val="14"/>
                <w:b w:val="1"/>
                <w:bCs w:val="1"/>
                <w:color w:val="auto"/>
                <w:w w:val="89"/>
              </w:rPr>
              <w:t>2018</w:t>
            </w: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6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Treatment sessions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3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Total revenues increased by $2.3 million, or 16%, from $13.7 million for the three months ended September 30, 2018 to $16.0 million for the three months ended September 30, 2019. Revenues in the United States increased by $1.8 million for the three months ended September 30, 2019 compared to the three months ended September 30, 2018 due to higher unit sales of both NeuroStar Advanced Therapy Systems and treatment sessions. International revenues increased $0.5 million for the three months ended September 30, 2019 compared to the three months ended September 30, 2018 due to a multi-unit order in Japan.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28" w:name="page29"/>
    <w:bookmarkEnd w:id="28"/>
    <w:p>
      <w:pPr>
        <w:ind w:right="40"/>
        <w:spacing w:after="0" w:line="273" w:lineRule="auto"/>
        <w:rPr>
          <w:sz w:val="20"/>
          <w:szCs w:val="20"/>
          <w:color w:val="auto"/>
        </w:rPr>
      </w:pPr>
      <w:r>
        <w:rPr>
          <w:rFonts w:ascii="Arial" w:cs="Arial" w:eastAsia="Arial" w:hAnsi="Arial"/>
          <w:sz w:val="17"/>
          <w:szCs w:val="17"/>
          <w:color w:val="auto"/>
        </w:rPr>
        <w:t>Revenues in the United States increased by $1.8 million, or 13%, from $13.5 million for the three months ended September 30, 2018 to $15.3 million for the three months ended September 30, 2019. NeuroStar Advanced Therapy System revenues in the United States grew by $0.7 million, or 18%, in the three months ended September 30, 2019 compared to the three months ended September 30, 2018. The increase was primarily driven by an approximate 240% increase in other NeuroStar revenue due to higher sales-type lease revenue as compared to the third quarter of 2018. This increase was partially offset by lower capital revenue as capital units sold decreased by 6% and average selling price declined 10% as compared to the prior period. On a sequential quarterly basis, average selling prices for capital sales were down approximately 3%.</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NeuroStar Advanced Therapy System revenues represented 30% and 29% of U.S. revenues for the three months ended September 30, 2019 and 2018, respectively. We believe the growth in NeuroStar Advanced Therapy System revenues between these two periods was the result of the efforts of our expanded commercial organization and increased marketing efforts. As of September 30, 2019, we had an installed base of 1,032 active systems in the United States, compared to 858 as of September 30, 2018.</w:t>
      </w:r>
    </w:p>
    <w:p>
      <w:pPr>
        <w:spacing w:after="0" w:line="13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Treatment session revenues in the United States represented 67% and 68% of total revenues in the United States for the three months ended September 30, 2019 and 2018, respectively, and increased by 11% from $9.2 million for the three months ended September 30, 2018 to $10.3 million for the three months ended September 30, 2019. The increase in United States treatment session revenues was primarily the result of an approximate 8% increase in the number of treatment sessions sold and an approximate 170% increase in other treatment session revenue. This revenue increase was partially offset by an approximate 6% decline in the average treatment session selling price as a result of pre-determined volume pricing discounts within our existing customer base that are triggered when those customers surpass certain high-volume thresholds.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Cost of revenues increased by $1.2 million, or 38%, from $3.0 million for the three months ended September 30, 2018 to $4.2 million for the three months ended September 30, 2019. The increase was primarily due to increased costs associated with increased NeuroStar Advanced Therapy System sales volumes. Gross margin decreased from 77.9% for the three months ended September 30, 2018 to 73.8% for the three months ended September 30, 2019. The decrease in gross margin was the result of a higher mix of NeuroStar Advanced Therapy revenue and the selling price decreases noted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Sales and marketing expenses increased by $0.7 million, or 7%, from $9.7 million for the three months ended September 30, 2018 to $10.4 million for the three months ended September 30, 2019. The increase was primarily due to increased personnel costs as a result of our sales expansion activities, as well as marketing expenses, consistent with our growth in revenues. Sales commissions were favorably impacted by $1.3 million for the three months ended September 30, 2019 due to the Company’s Topic 606 implementation as compared to the three months ended September 30,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General and administrative expenses increased by $1.0 million, or 32%, from $3.2 million for the three months ended September 30, 2018 to $4.3 million for the three months ended September 30, 2019. The increase was primarily due to an increase in personnel and legal, accounting and other professional services expenses required to support the growth of our business and the infrastructure for public company reporting.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Research and development expenses increased $1.4 million, or 64%, from $2.1 million for the three months ended September 30, 2018 to $3.5 million for the three months ended September 30, 2019. The increase was primarily due to higher product development costs related to the launch of the next generation of our NeuroStar Advanced Therapy System and TrakStar practice management system, as well as increased spending in clinical development.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flat at $0.9 million for the three months ended September 30,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Other expense (income), net increased by $0.1 million, from $(0.3) million for the three months ended September 30, 2018 to $(0.4) million for the three months ended September 30, 2019, primarily as a result of increased interest income earned on the Company’s money market accounts and the final revaluation of the Company’s warrants in the third quarter of 2018.</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4"/>
              </w:rPr>
              <w:t>Nine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88"/>
              </w:rPr>
              <w:t>Increase / (Decrease)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gridSpan w:val="5"/>
          </w:tcPr>
          <w:p>
            <w:pPr>
              <w:jc w:val="right"/>
              <w:ind w:right="600"/>
              <w:spacing w:after="0" w:line="155" w:lineRule="exact"/>
              <w:rPr>
                <w:sz w:val="20"/>
                <w:szCs w:val="20"/>
                <w:color w:val="auto"/>
              </w:rPr>
            </w:pPr>
            <w:r>
              <w:rPr>
                <w:rFonts w:ascii="Arial" w:cs="Arial" w:eastAsia="Arial" w:hAnsi="Arial"/>
                <w:sz w:val="14"/>
                <w:szCs w:val="14"/>
                <w:b w:val="1"/>
                <w:bCs w:val="1"/>
                <w:color w:val="auto"/>
              </w:rPr>
              <w:t>Dollars</w:t>
            </w:r>
          </w:p>
        </w:tc>
        <w:tc>
          <w:tcPr>
            <w:tcW w:w="1140" w:type="dxa"/>
            <w:vAlign w:val="bottom"/>
            <w:tcBorders>
              <w:top w:val="single" w:sz="8" w:color="auto"/>
              <w:bottom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9"/>
          </w:tcPr>
          <w:p>
            <w:pPr>
              <w:jc w:val="right"/>
              <w:ind w:right="540"/>
              <w:spacing w:after="0" w:line="155" w:lineRule="exact"/>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45,300</w:t>
            </w:r>
          </w:p>
        </w:tc>
        <w:tc>
          <w:tcPr>
            <w:tcW w:w="160" w:type="dxa"/>
            <w:vAlign w:val="bottom"/>
            <w:tcBorders>
              <w:right w:val="single" w:sz="8" w:color="CFF0FC"/>
            </w:tcBorders>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37,141</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59"/>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8,159</w:t>
            </w:r>
          </w:p>
        </w:tc>
        <w:tc>
          <w:tcPr>
            <w:tcW w:w="24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11,170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2,434</w:t>
            </w: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80" w:type="dxa"/>
            <w:vAlign w:val="bottom"/>
            <w:vMerge w:val="restart"/>
            <w:shd w:val="clear" w:color="auto" w:fill="CFF0FC"/>
          </w:tcPr>
          <w:p>
            <w:pPr>
              <w:spacing w:after="0" w:line="20" w:lineRule="exact"/>
              <w:rPr>
                <w:sz w:val="1"/>
                <w:szCs w:val="1"/>
                <w:color w:val="auto"/>
              </w:rPr>
            </w:pPr>
          </w:p>
        </w:tc>
        <w:tc>
          <w:tcPr>
            <w:tcW w:w="398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shd w:val="clear" w:color="auto" w:fill="CFF0FC"/>
          </w:tcPr>
          <w:p>
            <w:pPr>
              <w:spacing w:after="0"/>
              <w:rPr>
                <w:sz w:val="19"/>
                <w:szCs w:val="19"/>
                <w:color w:val="auto"/>
              </w:rPr>
            </w:pPr>
          </w:p>
        </w:tc>
        <w:tc>
          <w:tcPr>
            <w:tcW w:w="398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34,130</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24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80" w:type="dxa"/>
            <w:vAlign w:val="bottom"/>
            <w:vMerge w:val="restart"/>
          </w:tcPr>
          <w:p>
            <w:pPr>
              <w:ind w:left="160"/>
              <w:spacing w:after="0"/>
              <w:rPr>
                <w:sz w:val="20"/>
                <w:szCs w:val="20"/>
                <w:color w:val="auto"/>
              </w:rPr>
            </w:pPr>
            <w:r>
              <w:rPr>
                <w:rFonts w:ascii="Arial" w:cs="Arial" w:eastAsia="Arial" w:hAnsi="Arial"/>
                <w:sz w:val="18"/>
                <w:szCs w:val="18"/>
                <w:i w:val="1"/>
                <w:iCs w:val="1"/>
                <w:color w:val="auto"/>
              </w:rPr>
              <w:t>Gross Margin</w:t>
            </w:r>
          </w:p>
        </w:tc>
        <w:tc>
          <w:tcPr>
            <w:tcW w:w="1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75.3%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i w:val="1"/>
                <w:iCs w:val="1"/>
                <w:color w:val="auto"/>
              </w:rPr>
              <w:t>76.5%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31,477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27,616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3,861</w:t>
            </w: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13,145</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4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3,489</w:t>
            </w: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gridSpan w:val="2"/>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54,121</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11,543</w:t>
            </w:r>
          </w:p>
        </w:tc>
        <w:tc>
          <w:tcPr>
            <w:tcW w:w="24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80" w:type="dxa"/>
            <w:vAlign w:val="bottom"/>
            <w:vMerge w:val="restart"/>
          </w:tcPr>
          <w:p>
            <w:pPr>
              <w:ind w:left="160"/>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(19,991)</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(14,173)</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(5,818)</w:t>
            </w:r>
          </w:p>
        </w:tc>
        <w:tc>
          <w:tcPr>
            <w:tcW w:w="240" w:type="dxa"/>
            <w:vAlign w:val="bottom"/>
            <w:vMerge w:val="continue"/>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right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(2,313)</w:t>
            </w:r>
          </w:p>
        </w:tc>
        <w:tc>
          <w:tcPr>
            <w:tcW w:w="13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80" w:type="dxa"/>
            <w:vAlign w:val="bottom"/>
            <w:vMerge w:val="restart"/>
          </w:tcPr>
          <w:p>
            <w:pPr>
              <w:ind w:left="160"/>
              <w:spacing w:after="0"/>
              <w:rPr>
                <w:sz w:val="20"/>
                <w:szCs w:val="20"/>
                <w:color w:val="auto"/>
              </w:rPr>
            </w:pPr>
            <w:r>
              <w:rPr>
                <w:rFonts w:ascii="Arial" w:cs="Arial" w:eastAsia="Arial" w:hAnsi="Arial"/>
                <w:sz w:val="18"/>
                <w:szCs w:val="18"/>
                <w:color w:val="auto"/>
              </w:rPr>
              <w:t>Net Loss</w:t>
            </w:r>
          </w:p>
        </w:tc>
        <w:tc>
          <w:tcPr>
            <w:tcW w:w="12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(21,490)</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(17,954)</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(3,536)</w:t>
            </w:r>
          </w:p>
        </w:tc>
        <w:tc>
          <w:tcPr>
            <w:tcW w:w="240" w:type="dxa"/>
            <w:vAlign w:val="bottom"/>
            <w:vMerge w:val="continue"/>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5"/>
          </w:tcPr>
          <w:p>
            <w:pPr>
              <w:jc w:val="center"/>
              <w:ind w:right="199"/>
              <w:spacing w:after="0"/>
              <w:rPr>
                <w:sz w:val="20"/>
                <w:szCs w:val="20"/>
                <w:color w:val="auto"/>
              </w:rPr>
            </w:pPr>
            <w:r>
              <w:rPr>
                <w:rFonts w:ascii="Arial" w:cs="Arial" w:eastAsia="Arial" w:hAnsi="Arial"/>
                <w:sz w:val="14"/>
                <w:szCs w:val="14"/>
                <w:b w:val="1"/>
                <w:bCs w:val="1"/>
                <w:color w:val="auto"/>
                <w:w w:val="91"/>
              </w:rPr>
              <w:t>Revenues by Geography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 of Revenues</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99"/>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4"/>
              </w:rPr>
              <w:t>% of Revenues</w:t>
            </w:r>
          </w:p>
        </w:tc>
        <w:tc>
          <w:tcPr>
            <w:tcW w:w="7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7"/>
          </w:tcPr>
          <w:p>
            <w:pPr>
              <w:jc w:val="center"/>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43,730</w:t>
            </w:r>
          </w:p>
        </w:tc>
        <w:tc>
          <w:tcPr>
            <w:tcW w:w="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36,388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260" w:type="dxa"/>
            <w:vAlign w:val="bottom"/>
            <w:gridSpan w:val="2"/>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37,141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U.S. Revenues by Product Category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 of Revenues</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99"/>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4"/>
              </w:rPr>
              <w:t>% of Revenues</w:t>
            </w:r>
          </w:p>
        </w:tc>
        <w:tc>
          <w:tcPr>
            <w:tcW w:w="7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7"/>
          </w:tcPr>
          <w:p>
            <w:pPr>
              <w:jc w:val="center"/>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12,594</w:t>
            </w:r>
          </w:p>
        </w:tc>
        <w:tc>
          <w:tcPr>
            <w:tcW w:w="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Treatment sessions</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25,378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6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36,388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revenues increased by $8.2 million, or 22%, from $37.1 million for the nine months ended September 30, 2018 to $45.3 million for the nine months ended September 30, 2019. Revenues in the United States increased by $7.3 million for the nine months ended September 30, 2019 compared to the nine months ended September 30, 2018 due to higher unit sales of both NeuroStar Advanced Therapy Systems and treatment sessions. International revenues increased for the nine months ended September 30, 2019 compared to the nine months ended September 30, 2018, primarily due to a multi-unit order in Japan in the second quarter of 2019.</w:t>
      </w:r>
    </w:p>
    <w:p>
      <w:pPr>
        <w:spacing w:after="0" w:line="13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Revenues in the United States increased by $7.3 million, or 20%, from $36.4 million for the nine months ended September 30, 2018 to $43.7 million for nine months ended September 30, 2019. NeuroStar Advanced Therapy System revenues in the United States grew by $2.7 million, or 28%, in the nine months ended September 30, 2019 compared to the nine months ended September 30, 2018. The increase in U.S. NeuroStar revenue was driven by higher capital revenue, upgrade, and sales-type lease revenue. The increase in sales-type lease revenue was due to multi-unit orders in the United States in the third quarter of 2019. Capital units sold increased by 16% and average selling prices declined by 9% compared to the prior period.</w:t>
      </w:r>
    </w:p>
    <w:p>
      <w:pPr>
        <w:spacing w:after="0" w:line="1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NeuroStar Advanced Therapy System revenues represented 29% and 27% of U.S. revenues for the nine months ended September 30, 2019 and 2018, respectively. We believe the growth in NeuroStar Advanced Therapy System revenues between these two periods was the result of the efforts of our expanded commercial organization and increased marketing efforts. As of September 30, 2019, we had an installed base of 1,032 active systems in the United States, compared to 858 as of September 30,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60"/>
        <w:spacing w:after="0" w:line="276" w:lineRule="auto"/>
        <w:rPr>
          <w:sz w:val="20"/>
          <w:szCs w:val="20"/>
          <w:color w:val="auto"/>
        </w:rPr>
      </w:pPr>
      <w:r>
        <w:rPr>
          <w:rFonts w:ascii="Arial" w:cs="Arial" w:eastAsia="Arial" w:hAnsi="Arial"/>
          <w:sz w:val="17"/>
          <w:szCs w:val="17"/>
          <w:color w:val="auto"/>
        </w:rPr>
        <w:t>Treatment session revenues in the United States represented 68% and 70% of total revenues in the United States for the nine months ended September 30, 2019 and 2018, respectively, and increased by 18% from $25.4 million for the nine months ended September 30, 2018 to $29.9 million for the nine months ended September 30, 2019. The increase in United States treatment session revenues was primarily the result of an approximate 17% increase in the number of treatment sessions sold and an increase in other treatment session revenue. This revenue increase was partially offset by an approximate 5% decline in average selling price as a result of certain volume pricing discounts within our existing customer base.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revenues increased by $2.4 million, or 28%, from $8.7 million for the nine months ended September 30, 2018 to $11.2 million for the nine months ended September 30, 2019. The increase was primarily due to increased costs associated with NeuroStar Advanced Therapy System sales volumes. Gross margin decreased from 76.5% for the nine months ended September 30, 2018 compared to 75.3% for the nine months ended September 30, 2019. The change in gross margin was due to increased leveraged on our service and operations costs as a result of higher sales compared to the prior period, which were partially offset by the higher mix of NeuroStar Advanced Therapy revenues in 2019 in relation to treatment sessions revenues and the reduction in the average selling prices noted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Sales and marketing expenses increased by $3.9 million, or 14%, from $27.6 million for the nine months ended September 30, 2018 to $31.5 million for the nine months ended September 30, 2019. The increase was primarily due to increased personnel costs as a result of our sales and marketing expansion activities, as well as higher sales commissions and marketing expenses, consistent with our growth in revenues. Sales commissions were favorably impacted by $2.9 million for the nine months ended September 30, 2019 due to the Company’s Topic 606 implementation as compared to the nine months ended September 30,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General and administrative expenses increased by $4.2 million, or 47%, from $9.0 million for the nine months ended September 30, 2018 compared to $13.1 million for the nine months ended September 30, 2019. The increase was primarily due to an increase in personnel and legal, accounting and other professional services expenses required to support the growth of our business and the infrastructure for public company reporting.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Research and development expenses increased by $3.5 million, or 58%, from $6.0 million for the nine months ended September 30, 2018 compared to $9.5 million the nine months ended September 30, 2019. The increase was primarily due to higher product development costs related to the launch of the next generation of our NeuroStar Advanced Therapy System and TrakStar practice management system, as well as increased spending in clinical development.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remained consistent at $2.8 million for the nine months ended September 30, 2019 compared to $2.7 million for the nine months ended September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Other expense (income), net, increased by $2.3 million, from $1.0 million for the nine months ended September 30, 2018 to $(1.3) million for the nine months ended September 30, 2019, primarily as a result of increased interest income earned on the Company’s money market accounts and the final revaluation of the Company’s warrants which occurred in the third quarter of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2, 2018, we closed our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1" w:name="page32"/>
    <w:bookmarkEnd w:id="31"/>
    <w:p>
      <w:pPr>
        <w:ind w:right="220"/>
        <w:spacing w:after="0" w:line="254" w:lineRule="auto"/>
        <w:rPr>
          <w:sz w:val="20"/>
          <w:szCs w:val="20"/>
          <w:color w:val="auto"/>
        </w:rPr>
      </w:pPr>
      <w:r>
        <w:rPr>
          <w:rFonts w:ascii="Arial" w:cs="Arial" w:eastAsia="Arial" w:hAnsi="Arial"/>
          <w:sz w:val="18"/>
          <w:szCs w:val="18"/>
          <w:color w:val="auto"/>
        </w:rPr>
        <w:t>As of September 30, 2019, we had cash and cash equivalents of $82.4 million and an accumulated deficit of $242.5 million, compared to cash and cash equivalents of $104.6 million and an accumulated deficit of $221.0 million as of December 31, 2018. We incurred negative cash flows from operating activities of $24.1 million and $18.3 million for the nine months ended September 30, 2019 and September 30, 2018,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September 30, 2019, we had $30.0 million of borrowings outstanding under our credit facility, which matures in March 2022.</w:t>
      </w:r>
    </w:p>
    <w:p>
      <w:pPr>
        <w:spacing w:after="0" w:line="13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expect our revenues and expenses to increase in connection with our on-going activities, particularly as we continue to execute on our growth strategy, including expansion of our sales and customer support teams. We also expect to incur additional costs now that we are a public company. Based on our current business plan, we believe that our cash and cash equivalents as of September 30, 2019 and anticipated revenues from sales of our products will be sufficient to meet our anticipated cash requirements for at least the next 24 months after September 30, 2019.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obtain adequate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7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76"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21"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21"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21"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nine months ended September 30,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1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(24,079)</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96,578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91"/>
              </w:rPr>
              <w:t>Net (Decrease) Increase in Cash and Cash Equivalents</w:t>
            </w:r>
          </w:p>
        </w:tc>
        <w:tc>
          <w:tcPr>
            <w:tcW w:w="19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20" w:type="dxa"/>
            <w:vAlign w:val="bottom"/>
            <w:vMerge w:val="restart"/>
          </w:tcPr>
          <w:p>
            <w:pPr>
              <w:jc w:val="right"/>
              <w:ind w:right="151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7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Net cash used in operating activities for the nine months ended September 30, 2019 was $24.1 million, consisting primarily of a net loss of $21.5 million and a decrease in net operating liabilities of $6.5 million, partially offset by non-cash charges of $3.9 million. The decrease in net operating liabilities was primarily due to an increase in accounts receivable on increased sales, decreases in accounts payable and accrued expenses as a result of timing and the first quarter 2019 payments of 2018 incentive compensation and commissions accrued as of December 31, 2018. In addition, the Company’s prepaid commission due to the Company’s Topic 606 implementation also negatively impacted cash flows from operating activities. Non-cash charges consisted of depreciation and amortization, non-cash interest expense, share-based compensation, and the cost of rental units purchased by customers.</w:t>
      </w:r>
    </w:p>
    <w:p>
      <w:pPr>
        <w:spacing w:after="0" w:line="1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Net cash used in operating activities for the nine months ended September 30, 2018 was $18.3 million, consisting primarily of a net loss of $18.0 million and a decrease in net operating liabilities of $4.6 million, partially offset by non-cash charges of $4.2 million. The decrease in net operating liabilities was primarily due to a decrease in accrued expenses as a result of the first quarter 2018 payments of 2017 incentive compensation and commissions accrued as of December 31, 2017.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2019 was $0.5 million, compared to net cash used in investing activities for the nine months ended September 30, 2018 of $0.7 million, in each case attributable to purchases of property and equipment and capitalized software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7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2019 was $2.3 million, consisting of cash proceeds related to stock option exercises. Net cash provided by financing activities for the nine months ended September 30, 2018 was $96.6 million, consisting primarily of net proceeds from our IPO.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2017, we entered into a loan and security agreement with Oxford Finance LLC, or Oxford, for a credit facility that replaced its previous $25.0 million credit facility with Oxford and which allowed it to borrow up to $35.0 million in three tranches of term loans: a Term A Loan in the amount of $25.0 million, which was drawn down immediately upon closing in March 2017, a Term B Loan in the amount of $5.0 million, which was drawn down in December 2017, and a Term C Loan in the amount of $5.0 million, which became available to us upon the achievement of $45.0 million of trailing twelve month revenues during the second quarter of 2018. Upon achieving the required revenue milestone, we had 60 days to notify Oxford if we elected to borrow the Term C Loan. As a result of completing our IPO on July 2, 2018 and receiving the net proceeds therefrom, we elected not to borrow the additional $5.0 million, and it is no longer available to us. Each term loan accrues interest from the date of borrowing through the date of repayment at a floating per annum rate of interest, which resets monthly and is equal to the greater of (a) 8.15% or (b) the 30-day U.S. LIBOR on the last business day of the month plus 7.38%. We were also required to issue to Oxford at the date of each borrowing warrants to purchase its Series F or later series of convertible preferred stock with a seven-year term and in an amount equal to 3.95% of the first $5.0 million of each tranche borrowed. The credit facility matures and all amounts borrowed thereunder are due on March 1, 2022. As of September 30, 2019, we had borrowed and had outstanding an aggregate of $30.0 million of principal under the credit facility.</w:t>
      </w:r>
    </w:p>
    <w:p>
      <w:pPr>
        <w:spacing w:after="0" w:line="1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Term A Loan featured an interest-only period through March 2019, during which time we were required to make monthly interest payments, after which time we were required to make monthly payments of principal and interest based on a 36-month amortization schedule. However, due to the achievement of $45.0 million of revenues during fiscal year 2018, the interest-only period was extended for an additional 12 months through March 2020, after which time we will be required to make monthly payments of principal and interest based on a 24-month amortization schedule. In connection with the drawdown of the Term A Loan, we issued to Oxford a warrant to purchase shares of its Series F convertible preferred stock. On July 2, 2018, this convertible preferred stock warrant converted into a warrant to purchase 20,303 shares of our common stock at an exercise price of $9.73 per share. The warrant will expire in March 2024.</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Term B Loan featured an interest-only period through March 2019, during which time we were required to make monthly interest payments, after which time we were required to make monthly payments of principal and interest based on a 36-month amortization schedule. However, due to the achievement of $45.0 million of revenues during the fiscal year 2018, the interest-only period was extended for an additional 12 months through March 2020, after which time we will be required to make monthly payments of principal and interest based on a 24-month amortization schedule. In connection with the drawdown of the Term B Loan, we issued to Oxford a warrant to purchase shares of our Series F convertible preferred stock. On July 2, 2018, this convertible preferred stock warrant converted into a warrant to purchase 20,303 shares of our common stock at an exercise price of $9.73 per share. The warrant will expire in December 2024.</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right="20"/>
        <w:spacing w:after="0" w:line="272" w:lineRule="auto"/>
        <w:rPr>
          <w:sz w:val="20"/>
          <w:szCs w:val="20"/>
          <w:color w:val="auto"/>
        </w:rPr>
      </w:pPr>
      <w:r>
        <w:rPr>
          <w:rFonts w:ascii="Arial" w:cs="Arial" w:eastAsia="Arial" w:hAnsi="Arial"/>
          <w:sz w:val="17"/>
          <w:szCs w:val="17"/>
          <w:color w:val="auto"/>
        </w:rPr>
        <w:t>In addition to principal and interest payments due under the credit facility, we are required to make final payment fees to Oxford due upon the earlier of prepayment or maturity of each tranche, which increased as a result the extension of the interest-only period and are now equal to 8.5% and 7.5% of the principal amounts of the Term A and Term B Loans, respectively. We accrued the estimated final payment fees using the effective interest rate, with a charge to non-cash interest expense, over the term of borrowing for each tranche. As of December 31, 2018, the effective interest rates for the Term A and Term B Loans were 11.87% and 12.14%, respectively. If we prepay our term loans prior to their respective scheduled maturities, we will also be required to make prepayment fees to Oxford equal to 3% if prepaid on or before the first anniversary of funding, 2% if prepaid after the first and on or before the second anniversary of funding, or 1% if prepaid after the second anniversary of funding of the principal amounts borrowed.</w:t>
      </w:r>
    </w:p>
    <w:p>
      <w:pPr>
        <w:spacing w:after="0" w:line="124"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Our obligations under the credit facility are secured by a first priority security interest in substantially all of its assets, other than our intellectual property. We agreed not to pledge or otherwise encumber any of its intellectual property. The loan and security agreement related to the credit facility includes a financial maintenance covenant that requires us to achieve at least 75% of its trailing 12-month forecasted revenues, as measured each month in accordance with a forecast that we provided to Oxford upon signing the agreement and future forecasts that we are required to deliver to Oxford each year for the life of the credit facility, as well as customary affirmative and negative covenants. We were in compliance with all of the covenants under its credit facility as of September 30, 2019.</w:t>
      </w:r>
    </w:p>
    <w:p>
      <w:pPr>
        <w:spacing w:after="0" w:line="93"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loan and security agreement related to the credit facility contains events of default, including, without limitation, events of default upon: (i) failure to make payment pursuant to the terms of the agreement; (ii) violation of covenants; (iii) material adverse changes to our business; (iv) attachment or levy on our assets or judicial restraint on its business; (v) insolvency; (vi) significant judgments, orders or decrees for payments by we not covered by insurance; (vii) incorrectness of representations and warranties; (viii) incurrence of subordinated debt; (ix) revocation of governmental approvals necessary for we to conduct its business; and (x) failure by we to maintain a valid and perfected lien on the collateral securing the borrowing. Based on a 24-month amortization of the outstanding principal amounts of the Term A and Term B Loans beginning on April 1, 2020 as discussed above, the following table sets forth by year our required future principal payments (in thousands):</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principal payments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Non-Cash Interest Expense</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three months ended September 30, 2019, we recognized interest expense of $0.9 million, of which $0.7 million was cash and $0.2 million was non-cash interest expense related to the amortization of deferred financing costs and accrual of final payment fees. For the three months ended September 30, 2018, we recognized interest expense of $0.9 million, of which $0.7 million was cash and $0.2 million was non-cash interest expense related to the amortization of deferred financing costs and accrual of final payment fees.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2019, we recognized interest expense of $2.8 million, of which $2.2 million was cash and $0.6 million was non-cash interest expense related to the amortization of deferred financing costs and accrual of final payment fees. For the nine months ended September 30, 2018, we recognized interest expense of $2.7 million, of which $2.1 million was cash and $0.6 million was non-cash interest expense related to the amortization of deferred financing costs and accrual of final payment fees.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September 30, 2019, there was one significant change to our commitments and future minimum contractual obligations as set forth in our Form 10-K, filed with the SEC on March 5, 2019. We refer you to “Note 8. Leases” in this Quarterly Report on Form 10-Q for information regarding our lease agreements.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JOBS Act Accounting Election</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8"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w:t>
      </w:r>
    </w:p>
    <w:p>
      <w:pPr>
        <w:ind w:firstLine="8"/>
        <w:spacing w:after="0" w:line="252"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35" w:name="page36"/>
    <w:bookmarkEnd w:id="35"/>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above in the “Management’s Discussion and Analysis of Financial Condition and Results of Operations – Liquidity and Capital Resources - Indebtedness” section of this Quarterly Report on Form 10-Q, our credit facility bears interest at a floating per annum rate of interest, which resets monthly and is equal to the greater of (a) 8.15% or (b) the 30 day U.S. LIBOR on the last business day of the month plus 7.38%. As a result, we are exposed to risks from changes in interest rates. We believe that a one-point increase in interest rates would have resulted in an approximate $0.3 million increase to our interest expense for the year ended December 31, 2018.</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any exposure to foreign currency fluctuations and do not engage in any hedging activities as part of our normal course of business.</w:t>
      </w:r>
    </w:p>
    <w:p>
      <w:pPr>
        <w:spacing w:after="0" w:line="19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September 30, 2019.</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2019.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During the quarter ended September 30, 2019, there were no changes in our internal control over financial reporting (as defined in Rule 13a-15(f) of the Exchange Act) which materially affected, or are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You should carefully consider the information described in the “Risk Factors” section of the Company’s Form 10-K filed with the SEC on March 5,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therein.</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8" w:name="page39"/>
    <w:bookmarkEnd w:id="38"/>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9960" w:type="dxa"/>
            <w:vAlign w:val="bottom"/>
            <w:gridSpan w:val="5"/>
            <w:vMerge w:val="restart"/>
          </w:tcPr>
          <w:p>
            <w:pPr>
              <w:ind w:left="4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99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20" w:type="dxa"/>
            <w:vAlign w:val="bottom"/>
            <w:tcBorders>
              <w:top w:val="single" w:sz="8" w:color="auto"/>
            </w:tcBorders>
          </w:tcPr>
          <w:p>
            <w:pPr>
              <w:jc w:val="center"/>
              <w:ind w:right="133"/>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24"/>
                <w:szCs w:val="24"/>
                <w:color w:val="auto"/>
              </w:rPr>
            </w:pPr>
          </w:p>
        </w:tc>
        <w:tc>
          <w:tcPr>
            <w:tcW w:w="10380" w:type="dxa"/>
            <w:vAlign w:val="bottom"/>
            <w:tcBorders>
              <w:top w:val="single" w:sz="8" w:color="auto"/>
            </w:tcBorders>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10"/>
        </w:trPr>
        <w:tc>
          <w:tcPr>
            <w:tcW w:w="820" w:type="dxa"/>
            <w:vAlign w:val="bottom"/>
          </w:tcPr>
          <w:p>
            <w:pPr>
              <w:jc w:val="center"/>
              <w:ind w:right="133"/>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8"/>
                <w:szCs w:val="18"/>
                <w:color w:val="auto"/>
              </w:rPr>
            </w:pPr>
          </w:p>
        </w:tc>
        <w:tc>
          <w:tcPr>
            <w:tcW w:w="7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18"/>
                <w:szCs w:val="18"/>
                <w:color w:val="auto"/>
              </w:rPr>
            </w:pPr>
          </w:p>
        </w:tc>
        <w:tc>
          <w:tcPr>
            <w:tcW w:w="3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ind w:right="33"/>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380" w:type="dxa"/>
            <w:vAlign w:val="bottom"/>
            <w:gridSpan w:val="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2002.</w:t>
              </w:r>
            </w:hyperlink>
          </w:p>
        </w:tc>
        <w:tc>
          <w:tcPr>
            <w:tcW w:w="6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ind w:right="33"/>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0380" w:type="dxa"/>
            <w:vAlign w:val="bottom"/>
            <w:gridSpan w:val="6"/>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2002.</w:t>
              </w:r>
            </w:hyperlink>
          </w:p>
        </w:tc>
        <w:tc>
          <w:tcPr>
            <w:tcW w:w="6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4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101.INS</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101.SCH</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101.CAL</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101.DEF</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101.LAB</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101.PRE</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80" w:right="60" w:hanging="372"/>
        <w:spacing w:after="0" w:line="279"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720" w:type="dxa"/>
            <w:vAlign w:val="bottom"/>
            <w:gridSpan w:val="2"/>
          </w:tcPr>
          <w:p>
            <w:pPr>
              <w:ind w:left="2660"/>
              <w:spacing w:after="0"/>
              <w:rPr>
                <w:sz w:val="20"/>
                <w:szCs w:val="20"/>
                <w:color w:val="auto"/>
              </w:rPr>
            </w:pPr>
            <w:r>
              <w:rPr>
                <w:rFonts w:ascii="Arial" w:cs="Arial" w:eastAsia="Arial" w:hAnsi="Arial"/>
                <w:sz w:val="18"/>
                <w:szCs w:val="18"/>
                <w:b w:val="1"/>
                <w:bCs w:val="1"/>
                <w:color w:val="auto"/>
              </w:rPr>
              <w:t>NEURONETICS, INC.</w:t>
            </w:r>
          </w:p>
        </w:tc>
      </w:tr>
      <w:tr>
        <w:trPr>
          <w:trHeight w:val="230"/>
        </w:trPr>
        <w:tc>
          <w:tcPr>
            <w:tcW w:w="3700" w:type="dxa"/>
            <w:vAlign w:val="bottom"/>
          </w:tcPr>
          <w:p>
            <w:pPr>
              <w:spacing w:after="0"/>
              <w:rPr>
                <w:sz w:val="20"/>
                <w:szCs w:val="20"/>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w w:val="91"/>
              </w:rPr>
              <w:t>(Registrant)</w:t>
            </w:r>
          </w:p>
        </w:tc>
        <w:tc>
          <w:tcPr>
            <w:tcW w:w="418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3540" w:type="dxa"/>
            <w:vAlign w:val="bottom"/>
          </w:tcPr>
          <w:p>
            <w:pPr>
              <w:ind w:left="26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700" w:type="dxa"/>
            <w:vAlign w:val="bottom"/>
          </w:tcPr>
          <w:p>
            <w:pPr>
              <w:spacing w:after="0"/>
              <w:rPr>
                <w:sz w:val="16"/>
                <w:szCs w:val="16"/>
                <w:color w:val="auto"/>
              </w:rPr>
            </w:pPr>
          </w:p>
        </w:tc>
        <w:tc>
          <w:tcPr>
            <w:tcW w:w="3540" w:type="dxa"/>
            <w:vAlign w:val="bottom"/>
          </w:tcPr>
          <w:p>
            <w:pPr>
              <w:ind w:left="26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700" w:type="dxa"/>
            <w:vAlign w:val="bottom"/>
          </w:tcPr>
          <w:p>
            <w:pPr>
              <w:spacing w:after="0"/>
              <w:rPr>
                <w:sz w:val="18"/>
                <w:szCs w:val="18"/>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3540" w:type="dxa"/>
            <w:vAlign w:val="bottom"/>
          </w:tcPr>
          <w:p>
            <w:pPr>
              <w:ind w:left="26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700" w:type="dxa"/>
            <w:vAlign w:val="bottom"/>
          </w:tcPr>
          <w:p>
            <w:pPr>
              <w:spacing w:after="0"/>
              <w:rPr>
                <w:sz w:val="16"/>
                <w:szCs w:val="16"/>
                <w:color w:val="auto"/>
              </w:rPr>
            </w:pPr>
          </w:p>
        </w:tc>
        <w:tc>
          <w:tcPr>
            <w:tcW w:w="3540" w:type="dxa"/>
            <w:vAlign w:val="bottom"/>
          </w:tcPr>
          <w:p>
            <w:pPr>
              <w:ind w:left="26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700" w:type="dxa"/>
            <w:vAlign w:val="bottom"/>
          </w:tcPr>
          <w:p>
            <w:pPr>
              <w:spacing w:after="0"/>
              <w:rPr>
                <w:sz w:val="18"/>
                <w:szCs w:val="18"/>
                <w:color w:val="auto"/>
              </w:rPr>
            </w:pPr>
          </w:p>
        </w:tc>
        <w:tc>
          <w:tcPr>
            <w:tcW w:w="3540" w:type="dxa"/>
            <w:vAlign w:val="bottom"/>
          </w:tcPr>
          <w:p>
            <w:pPr>
              <w:ind w:left="26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35"/>
        </w:trPr>
        <w:tc>
          <w:tcPr>
            <w:tcW w:w="3700" w:type="dxa"/>
            <w:vAlign w:val="bottom"/>
          </w:tcPr>
          <w:p>
            <w:pPr>
              <w:spacing w:after="0"/>
              <w:rPr>
                <w:sz w:val="24"/>
                <w:szCs w:val="24"/>
                <w:color w:val="auto"/>
              </w:rPr>
            </w:pPr>
          </w:p>
        </w:tc>
        <w:tc>
          <w:tcPr>
            <w:tcW w:w="3540" w:type="dxa"/>
            <w:vAlign w:val="bottom"/>
          </w:tcPr>
          <w:p>
            <w:pPr>
              <w:ind w:left="1920"/>
              <w:spacing w:after="0"/>
              <w:rPr>
                <w:sz w:val="20"/>
                <w:szCs w:val="20"/>
                <w:color w:val="auto"/>
              </w:rPr>
            </w:pPr>
            <w:r>
              <w:rPr>
                <w:rFonts w:ascii="Arial" w:cs="Arial" w:eastAsia="Arial" w:hAnsi="Arial"/>
                <w:sz w:val="18"/>
                <w:szCs w:val="18"/>
                <w:color w:val="auto"/>
              </w:rPr>
              <w:t>40</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Thatcher, certify that:</w:t>
      </w:r>
    </w:p>
    <w:p>
      <w:pPr>
        <w:spacing w:after="0" w:line="225"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2019 of Neuronetics, Inc.;</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40" w:hanging="612"/>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612"/>
        <w:spacing w:after="0" w:line="30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5, 2019</w:t>
            </w:r>
          </w:p>
        </w:tc>
        <w:tc>
          <w:tcPr>
            <w:tcW w:w="2420" w:type="dxa"/>
            <w:vAlign w:val="bottom"/>
          </w:tcPr>
          <w:p>
            <w:pPr>
              <w:ind w:left="16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3480" w:type="dxa"/>
            <w:vAlign w:val="bottom"/>
          </w:tcPr>
          <w:p>
            <w:pPr>
              <w:spacing w:after="0"/>
              <w:rPr>
                <w:sz w:val="16"/>
                <w:szCs w:val="16"/>
                <w:color w:val="auto"/>
              </w:rPr>
            </w:pPr>
          </w:p>
        </w:tc>
        <w:tc>
          <w:tcPr>
            <w:tcW w:w="2420" w:type="dxa"/>
            <w:vAlign w:val="bottom"/>
          </w:tcPr>
          <w:p>
            <w:pPr>
              <w:ind w:left="168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3480" w:type="dxa"/>
            <w:vAlign w:val="bottom"/>
          </w:tcPr>
          <w:p>
            <w:pPr>
              <w:spacing w:after="0"/>
              <w:rPr>
                <w:sz w:val="18"/>
                <w:szCs w:val="18"/>
                <w:color w:val="auto"/>
              </w:rPr>
            </w:pPr>
          </w:p>
        </w:tc>
        <w:tc>
          <w:tcPr>
            <w:tcW w:w="2420" w:type="dxa"/>
            <w:vAlign w:val="bottom"/>
          </w:tcPr>
          <w:p>
            <w:pPr>
              <w:ind w:left="168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Furlong, certify that:</w:t>
      </w:r>
    </w:p>
    <w:p>
      <w:pPr>
        <w:spacing w:after="0" w:line="225"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2019 of Neuronetics, Inc.;</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540" w:hanging="612"/>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612"/>
        <w:spacing w:after="0" w:line="308"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5, 2019</w:t>
            </w:r>
          </w:p>
        </w:tc>
        <w:tc>
          <w:tcPr>
            <w:tcW w:w="2420" w:type="dxa"/>
            <w:vAlign w:val="bottom"/>
          </w:tcPr>
          <w:p>
            <w:pPr>
              <w:ind w:left="168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480" w:type="dxa"/>
            <w:vAlign w:val="bottom"/>
          </w:tcPr>
          <w:p>
            <w:pPr>
              <w:spacing w:after="0"/>
              <w:rPr>
                <w:sz w:val="16"/>
                <w:szCs w:val="16"/>
                <w:color w:val="auto"/>
              </w:rPr>
            </w:pPr>
          </w:p>
        </w:tc>
        <w:tc>
          <w:tcPr>
            <w:tcW w:w="2420" w:type="dxa"/>
            <w:vAlign w:val="bottom"/>
          </w:tcPr>
          <w:p>
            <w:pPr>
              <w:ind w:left="168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480" w:type="dxa"/>
            <w:vAlign w:val="bottom"/>
          </w:tcPr>
          <w:p>
            <w:pPr>
              <w:spacing w:after="0"/>
              <w:rPr>
                <w:sz w:val="18"/>
                <w:szCs w:val="18"/>
                <w:color w:val="auto"/>
              </w:rPr>
            </w:pPr>
          </w:p>
        </w:tc>
        <w:tc>
          <w:tcPr>
            <w:tcW w:w="2420" w:type="dxa"/>
            <w:vAlign w:val="bottom"/>
          </w:tcPr>
          <w:p>
            <w:pPr>
              <w:ind w:left="168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5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September 30, 2019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80" w:hanging="428"/>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 November 5, 2019</w:t>
            </w:r>
          </w:p>
        </w:tc>
        <w:tc>
          <w:tcPr>
            <w:tcW w:w="2940" w:type="dxa"/>
            <w:vAlign w:val="bottom"/>
          </w:tcPr>
          <w:p>
            <w:pPr>
              <w:ind w:left="2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Thatcher</w:t>
            </w:r>
          </w:p>
        </w:tc>
      </w:tr>
      <w:tr>
        <w:trPr>
          <w:trHeight w:val="195"/>
        </w:trPr>
        <w:tc>
          <w:tcPr>
            <w:tcW w:w="4040" w:type="dxa"/>
            <w:vAlign w:val="bottom"/>
          </w:tcPr>
          <w:p>
            <w:pPr>
              <w:spacing w:after="0"/>
              <w:rPr>
                <w:sz w:val="16"/>
                <w:szCs w:val="16"/>
                <w:color w:val="auto"/>
              </w:rPr>
            </w:pPr>
          </w:p>
        </w:tc>
        <w:tc>
          <w:tcPr>
            <w:tcW w:w="294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Christopher Thatcher</w:t>
            </w:r>
          </w:p>
        </w:tc>
      </w:tr>
      <w:tr>
        <w:trPr>
          <w:trHeight w:val="216"/>
        </w:trPr>
        <w:tc>
          <w:tcPr>
            <w:tcW w:w="4040" w:type="dxa"/>
            <w:vAlign w:val="bottom"/>
          </w:tcPr>
          <w:p>
            <w:pPr>
              <w:spacing w:after="0"/>
              <w:rPr>
                <w:sz w:val="18"/>
                <w:szCs w:val="18"/>
                <w:color w:val="auto"/>
              </w:rPr>
            </w:pPr>
          </w:p>
        </w:tc>
        <w:tc>
          <w:tcPr>
            <w:tcW w:w="2940" w:type="dxa"/>
            <w:vAlign w:val="bottom"/>
          </w:tcPr>
          <w:p>
            <w:pPr>
              <w:ind w:left="2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September 30, 2019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300" w:hanging="42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80" w:hanging="42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 November 5, 2019</w:t>
            </w:r>
          </w:p>
        </w:tc>
        <w:tc>
          <w:tcPr>
            <w:tcW w:w="2940" w:type="dxa"/>
            <w:vAlign w:val="bottom"/>
          </w:tcPr>
          <w:p>
            <w:pPr>
              <w:ind w:left="2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4040" w:type="dxa"/>
            <w:vAlign w:val="bottom"/>
          </w:tcPr>
          <w:p>
            <w:pPr>
              <w:spacing w:after="0"/>
              <w:rPr>
                <w:sz w:val="16"/>
                <w:szCs w:val="16"/>
                <w:color w:val="auto"/>
              </w:rPr>
            </w:pPr>
          </w:p>
        </w:tc>
        <w:tc>
          <w:tcPr>
            <w:tcW w:w="294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4040" w:type="dxa"/>
            <w:vAlign w:val="bottom"/>
          </w:tcPr>
          <w:p>
            <w:pPr>
              <w:spacing w:after="0"/>
              <w:rPr>
                <w:sz w:val="18"/>
                <w:szCs w:val="18"/>
                <w:color w:val="auto"/>
              </w:rPr>
            </w:pPr>
          </w:p>
        </w:tc>
        <w:tc>
          <w:tcPr>
            <w:tcW w:w="2940" w:type="dxa"/>
            <w:vAlign w:val="bottom"/>
          </w:tcPr>
          <w:p>
            <w:pPr>
              <w:ind w:left="2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decimal"/>
      <w:start w:val="15"/>
    </w:lvl>
  </w:abstractNum>
  <w:abstractNum w:abstractNumId="16">
    <w:nsid w:val="628C895D"/>
    <w:multiLevelType w:val="hybridMultilevel"/>
    <w:lvl w:ilvl="0">
      <w:lvlJc w:val="left"/>
      <w:lvlText w:val="%1."/>
      <w:numFmt w:val="decimal"/>
      <w:start w:val="16"/>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2019-12-28T03:04:01Z</dcterms:created>
  <dcterms:modified xsi:type="dcterms:W3CDTF">2019-12-28T03:04:01Z</dcterms:modified>
</cp:coreProperties>
</file>