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40" w:right="2000" w:hanging="3932"/>
        <w:spacing w:after="0" w:line="266"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3780" w:right="1980" w:hanging="3772"/>
        <w:spacing w:after="0" w:line="27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 to 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NEURONETICS,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5840" w:type="dxa"/>
            <w:vAlign w:val="bottom"/>
          </w:tcPr>
          <w:p>
            <w:pPr>
              <w:jc w:val="center"/>
              <w:ind w:right="2960"/>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33-1051425</w:t>
            </w:r>
          </w:p>
        </w:tc>
      </w:tr>
      <w:tr>
        <w:trPr>
          <w:trHeight w:val="148"/>
        </w:trPr>
        <w:tc>
          <w:tcPr>
            <w:tcW w:w="5840" w:type="dxa"/>
            <w:vAlign w:val="bottom"/>
          </w:tcPr>
          <w:p>
            <w:pPr>
              <w:jc w:val="center"/>
              <w:ind w:right="2960"/>
              <w:spacing w:after="0" w:line="149" w:lineRule="exact"/>
              <w:rPr>
                <w:sz w:val="20"/>
                <w:szCs w:val="20"/>
                <w:color w:val="auto"/>
              </w:rPr>
            </w:pPr>
            <w:r>
              <w:rPr>
                <w:rFonts w:ascii="Arial" w:cs="Arial" w:eastAsia="Arial" w:hAnsi="Arial"/>
                <w:sz w:val="14"/>
                <w:szCs w:val="14"/>
                <w:color w:val="auto"/>
                <w:w w:val="95"/>
              </w:rPr>
              <w:t>(State or other jurisdiction of</w:t>
            </w:r>
          </w:p>
        </w:tc>
        <w:tc>
          <w:tcPr>
            <w:tcW w:w="2220" w:type="dxa"/>
            <w:vAlign w:val="bottom"/>
          </w:tcPr>
          <w:p>
            <w:pPr>
              <w:jc w:val="center"/>
              <w:ind w:left="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5840" w:type="dxa"/>
            <w:vAlign w:val="bottom"/>
          </w:tcPr>
          <w:p>
            <w:pPr>
              <w:jc w:val="center"/>
              <w:ind w:right="2960"/>
              <w:spacing w:after="0"/>
              <w:rPr>
                <w:sz w:val="20"/>
                <w:szCs w:val="20"/>
                <w:color w:val="auto"/>
              </w:rPr>
            </w:pPr>
            <w:r>
              <w:rPr>
                <w:rFonts w:ascii="Arial" w:cs="Arial" w:eastAsia="Arial" w:hAnsi="Arial"/>
                <w:sz w:val="14"/>
                <w:szCs w:val="14"/>
                <w:color w:val="auto"/>
                <w:w w:val="94"/>
              </w:rPr>
              <w:t>incorporation or organization)</w:t>
            </w:r>
          </w:p>
        </w:tc>
        <w:tc>
          <w:tcPr>
            <w:tcW w:w="2220" w:type="dxa"/>
            <w:vAlign w:val="bottom"/>
          </w:tcPr>
          <w:p>
            <w:pPr>
              <w:spacing w:after="0"/>
              <w:rPr>
                <w:sz w:val="15"/>
                <w:szCs w:val="15"/>
                <w:color w:val="auto"/>
              </w:rPr>
            </w:pPr>
          </w:p>
        </w:tc>
      </w:tr>
      <w:tr>
        <w:trPr>
          <w:trHeight w:val="398"/>
        </w:trPr>
        <w:tc>
          <w:tcPr>
            <w:tcW w:w="5840" w:type="dxa"/>
            <w:vAlign w:val="bottom"/>
          </w:tcPr>
          <w:p>
            <w:pPr>
              <w:jc w:val="center"/>
              <w:ind w:right="2960"/>
              <w:spacing w:after="0"/>
              <w:rPr>
                <w:sz w:val="20"/>
                <w:szCs w:val="20"/>
                <w:color w:val="auto"/>
              </w:rPr>
            </w:pPr>
            <w:r>
              <w:rPr>
                <w:rFonts w:ascii="Arial" w:cs="Arial" w:eastAsia="Arial" w:hAnsi="Arial"/>
                <w:sz w:val="18"/>
                <w:szCs w:val="18"/>
                <w:b w:val="1"/>
                <w:bCs w:val="1"/>
                <w:color w:val="auto"/>
                <w:w w:val="91"/>
              </w:rPr>
              <w:t>3222 Phoenixville Pike, Malvern, PA</w:t>
            </w:r>
          </w:p>
        </w:tc>
        <w:tc>
          <w:tcPr>
            <w:tcW w:w="2220" w:type="dxa"/>
            <w:vAlign w:val="bottom"/>
          </w:tcPr>
          <w:p>
            <w:pPr>
              <w:jc w:val="right"/>
              <w:ind w:right="739"/>
              <w:spacing w:after="0"/>
              <w:rPr>
                <w:sz w:val="20"/>
                <w:szCs w:val="20"/>
                <w:color w:val="auto"/>
              </w:rPr>
            </w:pPr>
            <w:r>
              <w:rPr>
                <w:rFonts w:ascii="Arial" w:cs="Arial" w:eastAsia="Arial" w:hAnsi="Arial"/>
                <w:sz w:val="18"/>
                <w:szCs w:val="18"/>
                <w:b w:val="1"/>
                <w:bCs w:val="1"/>
                <w:color w:val="auto"/>
              </w:rPr>
              <w:t>19355</w:t>
            </w:r>
          </w:p>
        </w:tc>
      </w:tr>
      <w:tr>
        <w:trPr>
          <w:trHeight w:val="182"/>
        </w:trPr>
        <w:tc>
          <w:tcPr>
            <w:tcW w:w="5840" w:type="dxa"/>
            <w:vAlign w:val="bottom"/>
          </w:tcPr>
          <w:p>
            <w:pPr>
              <w:jc w:val="center"/>
              <w:ind w:right="2960"/>
              <w:spacing w:after="0"/>
              <w:rPr>
                <w:sz w:val="20"/>
                <w:szCs w:val="20"/>
                <w:color w:val="auto"/>
              </w:rPr>
            </w:pPr>
            <w:r>
              <w:rPr>
                <w:rFonts w:ascii="Arial" w:cs="Arial" w:eastAsia="Arial" w:hAnsi="Arial"/>
                <w:sz w:val="14"/>
                <w:szCs w:val="14"/>
                <w:color w:val="auto"/>
                <w:w w:val="95"/>
              </w:rPr>
              <w:t>(Address of principal executive offices)</w:t>
            </w:r>
          </w:p>
        </w:tc>
        <w:tc>
          <w:tcPr>
            <w:tcW w:w="2220" w:type="dxa"/>
            <w:vAlign w:val="bottom"/>
          </w:tcPr>
          <w:p>
            <w:pPr>
              <w:jc w:val="center"/>
              <w:ind w:left="39"/>
              <w:spacing w:after="0"/>
              <w:rPr>
                <w:sz w:val="20"/>
                <w:szCs w:val="20"/>
                <w:color w:val="auto"/>
              </w:rPr>
            </w:pPr>
            <w:r>
              <w:rPr>
                <w:rFonts w:ascii="Arial" w:cs="Arial" w:eastAsia="Arial" w:hAnsi="Arial"/>
                <w:sz w:val="14"/>
                <w:szCs w:val="14"/>
                <w:color w:val="auto"/>
                <w:w w:val="93"/>
              </w:rPr>
              <w:t>(Zip Code)</w:t>
            </w:r>
          </w:p>
        </w:tc>
      </w:tr>
      <w:tr>
        <w:trPr>
          <w:trHeight w:val="290"/>
        </w:trPr>
        <w:tc>
          <w:tcPr>
            <w:tcW w:w="5840" w:type="dxa"/>
            <w:vAlign w:val="bottom"/>
          </w:tcPr>
          <w:p>
            <w:pPr>
              <w:jc w:val="right"/>
              <w:ind w:right="1000"/>
              <w:spacing w:after="0"/>
              <w:rPr>
                <w:sz w:val="20"/>
                <w:szCs w:val="20"/>
                <w:color w:val="auto"/>
              </w:rPr>
            </w:pPr>
            <w:r>
              <w:rPr>
                <w:rFonts w:ascii="Arial" w:cs="Arial" w:eastAsia="Arial" w:hAnsi="Arial"/>
                <w:sz w:val="18"/>
                <w:szCs w:val="18"/>
                <w:b w:val="1"/>
                <w:bCs w:val="1"/>
                <w:color w:val="auto"/>
              </w:rPr>
              <w:t>(610) 640-4202</w:t>
            </w:r>
          </w:p>
        </w:tc>
        <w:tc>
          <w:tcPr>
            <w:tcW w:w="2220" w:type="dxa"/>
            <w:vAlign w:val="bottom"/>
          </w:tcPr>
          <w:p>
            <w:pPr>
              <w:spacing w:after="0"/>
              <w:rPr>
                <w:sz w:val="24"/>
                <w:szCs w:val="24"/>
                <w:color w:val="auto"/>
              </w:rPr>
            </w:pPr>
          </w:p>
        </w:tc>
      </w:tr>
      <w:tr>
        <w:trPr>
          <w:trHeight w:val="182"/>
        </w:trPr>
        <w:tc>
          <w:tcPr>
            <w:tcW w:w="5840" w:type="dxa"/>
            <w:vAlign w:val="bottom"/>
          </w:tcPr>
          <w:p>
            <w:pPr>
              <w:jc w:val="center"/>
              <w:ind w:left="2480"/>
              <w:spacing w:after="0"/>
              <w:rPr>
                <w:sz w:val="20"/>
                <w:szCs w:val="20"/>
                <w:color w:val="auto"/>
              </w:rPr>
            </w:pPr>
            <w:r>
              <w:rPr>
                <w:rFonts w:ascii="Arial" w:cs="Arial" w:eastAsia="Arial" w:hAnsi="Arial"/>
                <w:sz w:val="14"/>
                <w:szCs w:val="14"/>
                <w:color w:val="auto"/>
                <w:w w:val="92"/>
              </w:rPr>
              <w:t>(Registrant’s telephone number, including area code)</w:t>
            </w:r>
          </w:p>
        </w:tc>
        <w:tc>
          <w:tcPr>
            <w:tcW w:w="2220" w:type="dxa"/>
            <w:vAlign w:val="bottom"/>
          </w:tcPr>
          <w:p>
            <w:pPr>
              <w:spacing w:after="0"/>
              <w:rPr>
                <w:sz w:val="15"/>
                <w:szCs w:val="15"/>
                <w:color w:val="auto"/>
              </w:rPr>
            </w:pP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19"/>
        </w:trPr>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580" w:type="dxa"/>
            <w:vAlign w:val="bottom"/>
            <w:gridSpan w:val="2"/>
          </w:tcPr>
          <w:p>
            <w:pPr>
              <w:ind w:left="150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Symbol (s)</w:t>
            </w:r>
          </w:p>
        </w:tc>
        <w:tc>
          <w:tcPr>
            <w:tcW w:w="240" w:type="dxa"/>
            <w:vAlign w:val="bottom"/>
          </w:tcPr>
          <w:p>
            <w:pPr>
              <w:spacing w:after="0"/>
              <w:rPr>
                <w:sz w:val="20"/>
                <w:szCs w:val="20"/>
                <w:color w:val="auto"/>
              </w:rPr>
            </w:pPr>
          </w:p>
        </w:tc>
        <w:tc>
          <w:tcPr>
            <w:tcW w:w="4360" w:type="dxa"/>
            <w:vAlign w:val="bottom"/>
          </w:tcPr>
          <w:p>
            <w:pPr>
              <w:ind w:left="500"/>
              <w:spacing w:after="0"/>
              <w:rPr>
                <w:sz w:val="20"/>
                <w:szCs w:val="20"/>
                <w:color w:val="auto"/>
              </w:rPr>
            </w:pPr>
            <w:r>
              <w:rPr>
                <w:rFonts w:ascii="Arial" w:cs="Arial" w:eastAsia="Arial" w:hAnsi="Arial"/>
                <w:sz w:val="18"/>
                <w:szCs w:val="18"/>
                <w:b w:val="1"/>
                <w:bCs w:val="1"/>
                <w:color w:val="auto"/>
                <w:w w:val="99"/>
              </w:rPr>
              <w:t>Name on each exchange on which registered</w:t>
            </w:r>
          </w:p>
        </w:tc>
      </w:tr>
      <w:tr>
        <w:trPr>
          <w:trHeight w:val="224"/>
        </w:trPr>
        <w:tc>
          <w:tcPr>
            <w:tcW w:w="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STIM</w:t>
            </w:r>
          </w:p>
        </w:tc>
        <w:tc>
          <w:tcPr>
            <w:tcW w:w="24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7"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18,728,998 shares of the registrant’s common stock outstanding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00" w:right="3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quarterly period ended March 31, 2020</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924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9240" w:type="dxa"/>
            <w:vAlign w:val="bottom"/>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Balance Sheets as of March 31, 2020 and December 31, 2019</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Months ended March 31, 2020 and 2019</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 of Changes in Stockholders’ Equity for the Three Months ended March 31, 2020 and 2019</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Three Months ended March 31, 2020 and March 31, 2019</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Interim Financial Statements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Quantitative and Qualitative Disclosures About Market Risk.</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9240" w:type="dxa"/>
            <w:vAlign w:val="bottom"/>
          </w:tcPr>
          <w:p>
            <w:pPr>
              <w:ind w:left="42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u w:val="single" w:color="auto"/>
                  <w:color w:val="0000EE"/>
                </w:rPr>
                <w:t>Controls and Procedures</w:t>
              </w:r>
              <w:r>
                <w:rPr>
                  <w:rFonts w:ascii="Arial" w:cs="Arial" w:eastAsia="Arial" w:hAnsi="Arial"/>
                  <w:sz w:val="18"/>
                  <w:szCs w:val="18"/>
                  <w:b w:val="1"/>
                  <w:bCs w:val="1"/>
                  <w:color w:val="0000EE"/>
                </w:rPr>
                <w:t>.</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2640"/>
              <w:spacing w:after="0"/>
              <w:rPr>
                <w:sz w:val="20"/>
                <w:szCs w:val="20"/>
                <w:color w:val="auto"/>
              </w:rPr>
            </w:pPr>
            <w:r>
              <w:rPr>
                <w:rFonts w:ascii="Arial" w:cs="Arial" w:eastAsia="Arial" w:hAnsi="Arial"/>
                <w:sz w:val="18"/>
                <w:szCs w:val="18"/>
                <w:b w:val="1"/>
                <w:bCs w:val="1"/>
                <w:color w:val="auto"/>
              </w:rPr>
              <w:t>PART II – OTHER INFORMATION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Legal Proceedings.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Risk Factors.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9240" w:type="dxa"/>
            <w:vAlign w:val="bottom"/>
          </w:tcPr>
          <w:p>
            <w:pPr>
              <w:ind w:left="42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u w:val="single" w:color="auto"/>
                  <w:color w:val="0000EE"/>
                </w:rPr>
                <w:t>Unregistered Sales of Equity Securities and Use of Proceeds</w:t>
              </w:r>
              <w:r>
                <w:rPr>
                  <w:rFonts w:ascii="Arial" w:cs="Arial" w:eastAsia="Arial" w:hAnsi="Arial"/>
                  <w:sz w:val="18"/>
                  <w:szCs w:val="18"/>
                  <w:b w:val="1"/>
                  <w:bCs w:val="1"/>
                  <w:color w:val="0000EE"/>
                </w:rPr>
                <w:t>.</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Defaults Upon Senior Securities.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Mine Safety Disclosures.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Other Information.</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9240" w:type="dxa"/>
            <w:vAlign w:val="bottom"/>
          </w:tcPr>
          <w:p>
            <w:pPr>
              <w:ind w:left="420"/>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u w:val="single" w:color="auto"/>
                  <w:color w:val="0000EE"/>
                </w:rPr>
                <w:t>Exhibits</w:t>
              </w:r>
              <w:r>
                <w:rPr>
                  <w:rFonts w:ascii="Arial" w:cs="Arial" w:eastAsia="Arial" w:hAnsi="Arial"/>
                  <w:sz w:val="18"/>
                  <w:szCs w:val="18"/>
                  <w:b w:val="1"/>
                  <w:bCs w:val="1"/>
                  <w:color w:val="0000EE"/>
                </w:rPr>
                <w:t>.</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34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64"/>
        </w:trPr>
        <w:tc>
          <w:tcPr>
            <w:tcW w:w="1120" w:type="dxa"/>
            <w:vAlign w:val="bottom"/>
          </w:tcPr>
          <w:p>
            <w:pPr>
              <w:spacing w:after="0"/>
              <w:rPr>
                <w:sz w:val="24"/>
                <w:szCs w:val="24"/>
                <w:color w:val="auto"/>
              </w:rPr>
            </w:pPr>
          </w:p>
        </w:tc>
        <w:tc>
          <w:tcPr>
            <w:tcW w:w="9240" w:type="dxa"/>
            <w:vAlign w:val="bottom"/>
          </w:tcPr>
          <w:p>
            <w:pPr>
              <w:ind w:left="446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9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tcPr>
          <w:p>
            <w:pPr>
              <w:jc w:val="center"/>
              <w:ind w:left="770"/>
              <w:spacing w:after="0"/>
              <w:rPr>
                <w:sz w:val="20"/>
                <w:szCs w:val="20"/>
                <w:color w:val="auto"/>
              </w:rPr>
            </w:pPr>
            <w:r>
              <w:rPr>
                <w:rFonts w:ascii="Arial" w:cs="Arial" w:eastAsia="Arial" w:hAnsi="Arial"/>
                <w:sz w:val="18"/>
                <w:szCs w:val="18"/>
                <w:b w:val="1"/>
                <w:bCs w:val="1"/>
                <w:color w:val="auto"/>
              </w:rPr>
              <w:t>NEURONETICS, INC.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840" w:type="dxa"/>
            <w:vAlign w:val="bottom"/>
          </w:tcPr>
          <w:p>
            <w:pPr>
              <w:jc w:val="center"/>
              <w:ind w:left="770"/>
              <w:spacing w:after="0"/>
              <w:rPr>
                <w:sz w:val="20"/>
                <w:szCs w:val="20"/>
                <w:color w:val="auto"/>
              </w:rPr>
            </w:pPr>
            <w:r>
              <w:rPr>
                <w:rFonts w:ascii="Arial" w:cs="Arial" w:eastAsia="Arial" w:hAnsi="Arial"/>
                <w:sz w:val="18"/>
                <w:szCs w:val="18"/>
                <w:b w:val="1"/>
                <w:bCs w:val="1"/>
                <w:color w:val="auto"/>
                <w:w w:val="85"/>
              </w:rPr>
              <w:t>Balance Sheets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8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48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FF0FC"/>
          </w:tcPr>
          <w:p>
            <w:pPr>
              <w:spacing w:after="0"/>
              <w:rPr>
                <w:sz w:val="15"/>
                <w:szCs w:val="15"/>
                <w:color w:val="auto"/>
              </w:rPr>
            </w:pPr>
          </w:p>
        </w:tc>
        <w:tc>
          <w:tcPr>
            <w:tcW w:w="4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4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Current portion of net investments in sales-type leases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Current portion of prepaid commission expense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gridSpan w:val="4"/>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spacing w:after="0"/>
              <w:rPr>
                <w:sz w:val="20"/>
                <w:szCs w:val="20"/>
                <w:color w:val="auto"/>
              </w:rPr>
            </w:pPr>
            <w:r>
              <w:rPr>
                <w:rFonts w:ascii="Arial" w:cs="Arial" w:eastAsia="Arial" w:hAnsi="Arial"/>
                <w:sz w:val="18"/>
                <w:szCs w:val="18"/>
                <w:color w:val="auto"/>
              </w:rPr>
              <w:t>Net investments in sales-type leases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Prepaid commission expense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86"/>
              </w:rPr>
              <w:t>Other assets</w:t>
            </w:r>
          </w:p>
        </w:tc>
        <w:tc>
          <w:tcPr>
            <w:tcW w:w="1880" w:type="dxa"/>
            <w:vAlign w:val="bottom"/>
            <w:tcBorders>
              <w:bottom w:val="single" w:sz="8" w:color="CFF0FC"/>
            </w:tcBorders>
          </w:tcPr>
          <w:p>
            <w:pPr>
              <w:spacing w:after="0"/>
              <w:rPr>
                <w:sz w:val="19"/>
                <w:szCs w:val="19"/>
                <w:color w:val="auto"/>
              </w:rPr>
            </w:pPr>
          </w:p>
        </w:tc>
        <w:tc>
          <w:tcPr>
            <w:tcW w:w="4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71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3,610</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4"/>
          </w:tcPr>
          <w:p>
            <w:pPr>
              <w:ind w:left="260"/>
              <w:spacing w:after="0"/>
              <w:rPr>
                <w:sz w:val="20"/>
                <w:szCs w:val="20"/>
                <w:color w:val="auto"/>
              </w:rPr>
            </w:pPr>
            <w:r>
              <w:rPr>
                <w:rFonts w:ascii="Arial" w:cs="Arial" w:eastAsia="Arial" w:hAnsi="Arial"/>
                <w:sz w:val="18"/>
                <w:szCs w:val="18"/>
                <w:color w:val="auto"/>
              </w:rPr>
              <w:t>Current portion of long-term debt, net</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Preferred stock, $0.01 par value: 10,000 shares authorized; no shares issued or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380"/>
              <w:spacing w:after="0"/>
              <w:rPr>
                <w:sz w:val="20"/>
                <w:szCs w:val="20"/>
                <w:color w:val="auto"/>
              </w:rPr>
            </w:pPr>
            <w:r>
              <w:rPr>
                <w:rFonts w:ascii="Arial" w:cs="Arial" w:eastAsia="Arial" w:hAnsi="Arial"/>
                <w:sz w:val="18"/>
                <w:szCs w:val="18"/>
                <w:color w:val="auto"/>
              </w:rPr>
              <w:t>outstanding at March 31, 2020 and December 31, 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Common stock, $0.01 par value: 200,000 shares authorized; 18,726 and 18,645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March 31, 2020 and December 31, 2019,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(262,700)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(250,087)</w:t>
            </w: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tcPr>
          <w:p>
            <w:pPr>
              <w:spacing w:after="0"/>
              <w:rPr>
                <w:sz w:val="19"/>
                <w:szCs w:val="19"/>
                <w:color w:val="auto"/>
              </w:rPr>
            </w:pPr>
          </w:p>
        </w:tc>
        <w:tc>
          <w:tcPr>
            <w:tcW w:w="714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71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74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(10,366)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63"/>
        </w:trPr>
        <w:tc>
          <w:tcPr>
            <w:tcW w:w="62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14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(12,613)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outstanding, basic and diluted</w:t>
            </w:r>
          </w:p>
        </w:tc>
        <w:tc>
          <w:tcPr>
            <w:tcW w:w="14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74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4"/>
                <w:szCs w:val="14"/>
                <w:color w:val="auto"/>
              </w:rPr>
            </w:pPr>
          </w:p>
        </w:tc>
        <w:tc>
          <w:tcPr>
            <w:tcW w:w="1140" w:type="dxa"/>
            <w:vAlign w:val="bottom"/>
            <w:gridSpan w:val="3"/>
            <w:vMerge w:val="restart"/>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9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6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291,908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Share-based awards and options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(7,529)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(228,572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18,645</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297,753</w:t>
            </w:r>
          </w:p>
        </w:tc>
        <w:tc>
          <w:tcPr>
            <w:tcW w:w="42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(250,087)</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Share-based awards and options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(12,613)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(262,700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(Unaudited;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(12,613)</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rental units purchased by customers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certain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Net investments in sales-type leases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Leasehold reimbursement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Prepaid commission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(1,299)</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(3,227)</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(13,650)</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capitalized software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(32,500)</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of debt issuance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(12,061)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75,708</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104,583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63,647</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 and capitalized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software in accounts payable and accrued expenses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0"/>
                <w:szCs w:val="20"/>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monitoring the impact of the COVID-19 pandemic on all aspects of its business and geographies, including how it will impact business partners. While the Company began to experience disruptions during the three months ended March 31, 2020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March 31, 2020, the Company had cash and cash equivalents of $63.6 million and an accumulated deficit of $262.7 million. The Company incurred negative cash flows from operating activities of $30.5 million for the year ended December 31, 2019 and $13.7 million for the three months ended March 31, 2020.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facilities and revenues from sales of its products. As of March 31, 2020, the Company had $35.0 million of borrowings outstanding under its credit facility, which matures in February 2025. Management believes that the Company’s cash and cash equivalents as of March 31, 2020 and anticipated revenues from sales of its products are sufficient to fund the Company’s operations for at least the next 18 months after March 31, 2020.</w:t>
      </w:r>
    </w:p>
    <w:p>
      <w:pPr>
        <w:spacing w:after="0" w:line="120"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months ended March 31, 2020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3, 2020, wherein a more complete discussion of significant accounting policies and certain other information can be found.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12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3, 2020.</w:t>
      </w:r>
    </w:p>
    <w:p>
      <w:pPr>
        <w:spacing w:after="0" w:line="112" w:lineRule="exact"/>
        <w:rPr>
          <w:sz w:val="20"/>
          <w:szCs w:val="20"/>
          <w:color w:val="auto"/>
        </w:rPr>
      </w:pPr>
    </w:p>
    <w:p>
      <w:pPr>
        <w:jc w:val="center"/>
        <w:ind w:right="6580" w:firstLine="8"/>
        <w:spacing w:after="0" w:line="390" w:lineRule="auto"/>
        <w:tabs>
          <w:tab w:leader="none" w:pos="37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b w:val="1"/>
          <w:bCs w:val="1"/>
          <w:i w:val="1"/>
          <w:iCs w:val="1"/>
          <w:color w:val="auto"/>
        </w:rPr>
        <w:t>New Accounting Standards Recently Adopted by the Company</w:t>
      </w:r>
    </w:p>
    <w:p>
      <w:pPr>
        <w:ind w:right="140"/>
        <w:spacing w:after="0" w:line="279"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2018-15, 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ASU 2018-15 is effective for fiscal years beginning after December 15, 2019 and interim periods within those fiscal years. Early adoption of ASU 2018-15 is permitted including adoption in any interim period. The amendments in ASU 2018-15 should be applied either retrospectively or prospectively to all implementation costs incurred after the date of adoption. The Company adopted this standard on a prospective basis, effective January 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7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In June 2016, the FASB issued </w:t>
      </w:r>
      <w:r>
        <w:rPr>
          <w:rFonts w:ascii="Arial" w:cs="Arial" w:eastAsia="Arial" w:hAnsi="Arial"/>
          <w:sz w:val="16"/>
          <w:szCs w:val="16"/>
          <w:i w:val="1"/>
          <w:iCs w:val="1"/>
          <w:color w:val="auto"/>
        </w:rPr>
        <w:t>ASU 2016-13, Financial Instruments - Credit Losses (Topic 326): Measurement of Credit Losses on 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color w:val="auto"/>
        </w:rPr>
        <w:t xml:space="preserve">). This ASU provides guidance for recognizing credit losses on financial instruments based on an estimate of current expected credit losses model. The FASB subsequently issued </w:t>
      </w:r>
      <w:r>
        <w:rPr>
          <w:rFonts w:ascii="Arial" w:cs="Arial" w:eastAsia="Arial" w:hAnsi="Arial"/>
          <w:sz w:val="16"/>
          <w:szCs w:val="16"/>
          <w:i w:val="1"/>
          <w:iCs w:val="1"/>
          <w:color w:val="auto"/>
        </w:rPr>
        <w:t>ASU 2019-04,</w:t>
      </w:r>
      <w:r>
        <w:rPr>
          <w:rFonts w:ascii="Arial" w:cs="Arial" w:eastAsia="Arial" w:hAnsi="Arial"/>
          <w:sz w:val="16"/>
          <w:szCs w:val="16"/>
          <w:color w:val="auto"/>
        </w:rPr>
        <w:t xml:space="preserve"> to clarify and address certain items related to the amendments in Topic 326.</w:t>
      </w:r>
    </w:p>
    <w:p>
      <w:pPr>
        <w:spacing w:after="0" w:line="9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 provide entities that have certain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p>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amendments are effective for fiscal years beginning after December 15, 2022 for entities that are eligible to be defined by the SEC as a smaller reporting company.</w:t>
      </w:r>
    </w:p>
    <w:p>
      <w:pPr>
        <w:spacing w:after="0" w:line="153"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March 31, 2020 and December 31, 2019 due to their short-term nature. The carrying values of the Company’s credit facility approximated its fair value as of March 31, 2020 and December 31, 2019 due to its variable interest rate.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17" w:lineRule="exact"/>
        <w:rPr>
          <w:sz w:val="20"/>
          <w:szCs w:val="20"/>
          <w:color w:val="auto"/>
        </w:rPr>
      </w:pPr>
    </w:p>
    <w:p>
      <w:pPr>
        <w:ind w:left="920" w:right="400" w:hanging="903"/>
        <w:spacing w:after="0" w:line="308"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38" w:lineRule="exact"/>
        <w:rPr>
          <w:sz w:val="20"/>
          <w:szCs w:val="20"/>
          <w:color w:val="auto"/>
        </w:rPr>
      </w:pPr>
    </w:p>
    <w:p>
      <w:pPr>
        <w:ind w:left="920" w:right="240" w:hanging="903"/>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set forth the carrying amounts and fair values of the Company’s financial instruments as of March 31, 2020 and December 31, 2019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center"/>
              <w:ind w:right="4"/>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59,346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59,346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59,346</w:t>
            </w:r>
          </w:p>
        </w:tc>
        <w:tc>
          <w:tcPr>
            <w:tcW w:w="1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center"/>
              <w:ind w:right="4"/>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67,650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67,650</w:t>
            </w:r>
          </w:p>
        </w:tc>
        <w:tc>
          <w:tcPr>
            <w:tcW w:w="1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March 31, 2020 and December 31, 2019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25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Gross accounts receivable - trade</w:t>
            </w:r>
          </w:p>
        </w:tc>
        <w:tc>
          <w:tcPr>
            <w:tcW w:w="25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20" w:type="dxa"/>
            <w:vAlign w:val="bottom"/>
            <w:vMerge w:val="restart"/>
          </w:tcPr>
          <w:p>
            <w:pPr>
              <w:jc w:val="right"/>
              <w:ind w:right="155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March 31, 2020 and December 31, 2019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36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Office equipment</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Rental equipment</w:t>
            </w:r>
          </w:p>
        </w:tc>
        <w:tc>
          <w:tcPr>
            <w:tcW w:w="1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gross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Less: Accumulated depreciation</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(2,207)</w:t>
            </w:r>
          </w:p>
        </w:tc>
      </w:tr>
      <w:tr>
        <w:trPr>
          <w:trHeight w:val="223"/>
        </w:trPr>
        <w:tc>
          <w:tcPr>
            <w:tcW w:w="43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Property and equipment, net</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2020 and December 31, 2019, the Company had capitalized software costs, net of $1.3 million, which are included in “Other assets” on the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$0.3 million and $0.2 million for the three months ended March 31, 2020 and 2019, respectively.</w:t>
      </w:r>
    </w:p>
    <w:p>
      <w:pPr>
        <w:spacing w:after="0" w:line="167" w:lineRule="exact"/>
        <w:rPr>
          <w:sz w:val="20"/>
          <w:szCs w:val="20"/>
          <w:color w:val="auto"/>
        </w:rPr>
      </w:pPr>
    </w:p>
    <w:p>
      <w:pPr>
        <w:ind w:right="10180" w:firstLine="8"/>
        <w:spacing w:after="0" w:line="358" w:lineRule="auto"/>
        <w:tabs>
          <w:tab w:leader="none" w:pos="37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Lessee:</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has operating leases for its corporate headquarters and office equipment, including copiers. The Company leases approximately 42,000 square foot facility in Malvern, Pennsylvania for its corporate headquarters, which includes office and warehouse space. In the first quarter of 2019, the Company signed a lease modification for its Malvern facility that extended the lease through February 2028 and added approximately 10,000 square feet to the original 32,000 square foot leasehold. The Company has an option to extend the lease for an additional five-year term; however, the Company has determined it is not reasonably certain to exercise the option at this time. The Company also maintains operating leases on office equipment, including copiers, which end in March 2023. The Company does not currently have any finance leases or executed leases that have not yet commenced.</w:t>
      </w:r>
    </w:p>
    <w:p>
      <w:pPr>
        <w:spacing w:after="0" w:line="1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Operating lease rent expense was $0.2 million and $0.1 million for the three months ended March 31, 2020 and 2019, respectively. As of March 31, 2020 the weighted-average remaining lease term of operating leases was 7.8 years and the weighted-average discount rate was 6.5%.</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first quarter of 2020, the Company received a reimbursement of $0.8 million for leasehold expenses previously incurred in connection with the lease modification agreement for its Malvern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1140" w:type="dxa"/>
            <w:vAlign w:val="bottom"/>
          </w:tcPr>
          <w:p>
            <w:pPr>
              <w:spacing w:after="0"/>
              <w:rPr>
                <w:sz w:val="12"/>
                <w:szCs w:val="12"/>
                <w:color w:val="auto"/>
              </w:rPr>
            </w:pPr>
          </w:p>
        </w:tc>
      </w:tr>
      <w:tr>
        <w:trPr>
          <w:trHeight w:val="171"/>
        </w:trPr>
        <w:tc>
          <w:tcPr>
            <w:tcW w:w="114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11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w:t>
            </w: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4"/>
        </w:trPr>
        <w:tc>
          <w:tcPr>
            <w:tcW w:w="6500" w:type="dxa"/>
            <w:vAlign w:val="bottom"/>
            <w:gridSpan w:val="2"/>
          </w:tcPr>
          <w:p>
            <w:pPr>
              <w:jc w:val="right"/>
              <w:ind w:right="69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March 31,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5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1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(1,195)</w:t>
            </w:r>
          </w:p>
        </w:tc>
      </w:tr>
      <w:tr>
        <w:trPr>
          <w:trHeight w:val="223"/>
        </w:trPr>
        <w:tc>
          <w:tcPr>
            <w:tcW w:w="490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Present value of operating lease liabilities</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sales-type leases:</w:t>
      </w:r>
    </w:p>
    <w:p>
      <w:pPr>
        <w:spacing w:after="0" w:line="9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9"/>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Profit recognized at commencement, net</w:t>
            </w:r>
          </w:p>
        </w:tc>
        <w:tc>
          <w:tcPr>
            <w:tcW w:w="15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income</w:t>
            </w:r>
          </w:p>
        </w:tc>
        <w:tc>
          <w:tcPr>
            <w:tcW w:w="15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sales-type lease income</w:t>
            </w:r>
          </w:p>
        </w:tc>
        <w:tc>
          <w:tcPr>
            <w:tcW w:w="15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10620" w:type="dxa"/>
            <w:vAlign w:val="bottom"/>
            <w:gridSpan w:val="11"/>
          </w:tcPr>
          <w:p>
            <w:pPr>
              <w:spacing w:after="0"/>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1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1700" w:type="dxa"/>
            <w:vAlign w:val="bottom"/>
          </w:tcPr>
          <w:p>
            <w:pPr>
              <w:spacing w:after="0"/>
              <w:rPr>
                <w:sz w:val="14"/>
                <w:szCs w:val="14"/>
                <w:color w:val="auto"/>
              </w:rPr>
            </w:pPr>
          </w:p>
        </w:tc>
        <w:tc>
          <w:tcPr>
            <w:tcW w:w="40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36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951</w:t>
            </w:r>
          </w:p>
        </w:tc>
        <w:tc>
          <w:tcPr>
            <w:tcW w:w="80" w:type="dxa"/>
            <w:vAlign w:val="bottom"/>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2021</w:t>
            </w:r>
          </w:p>
        </w:tc>
        <w:tc>
          <w:tcPr>
            <w:tcW w:w="1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5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850</w:t>
            </w:r>
          </w:p>
        </w:tc>
        <w:tc>
          <w:tcPr>
            <w:tcW w:w="80" w:type="dxa"/>
            <w:vAlign w:val="bottom"/>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108</w:t>
            </w:r>
          </w:p>
        </w:tc>
        <w:tc>
          <w:tcPr>
            <w:tcW w:w="80" w:type="dxa"/>
            <w:vAlign w:val="bottom"/>
            <w:tcBorders>
              <w:bottom w:val="single" w:sz="8" w:color="CFF0FC"/>
            </w:tcBorders>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sales-type lease receivables</w:t>
            </w:r>
          </w:p>
        </w:tc>
        <w:tc>
          <w:tcPr>
            <w:tcW w:w="236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80" w:type="dxa"/>
            <w:vAlign w:val="bottom"/>
            <w:tcBorders>
              <w:bottom w:val="single" w:sz="8" w:color="CFF0FC"/>
            </w:tcBorders>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the carrying amount of the lease receivables is $3.0 million. The Company does not have any unguaranteed residual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operating leases:</w:t>
      </w:r>
    </w:p>
    <w:p>
      <w:pPr>
        <w:spacing w:after="0" w:line="9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NeuroStar Advanced Therapy Systems sold on a rent-to-own basis prior to January 1, 2019 are accounted for as operating leases. For the three months ended March 31, 2020 and 2019, the Company recognized operating lease income of $0.1 million and $0.2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3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3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lease receivables</w:t>
            </w:r>
          </w:p>
        </w:tc>
        <w:tc>
          <w:tcPr>
            <w:tcW w:w="3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vMerge w:val="restart"/>
          </w:tcPr>
          <w:p>
            <w:pPr>
              <w:jc w:val="right"/>
              <w:ind w:right="23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maintained Rental Equipment, net of $0.4 million and $0.5 million, as of March 31, 2020 and December 31, 2019, respectively, which are included in “Property and equipment, net” on the balance sheet. Rental equipment depreciation expense was $0.03 million and $0.05 million for the three months ended March 31, 2020 and 2019, respectively.</w:t>
      </w:r>
    </w:p>
    <w:p>
      <w:pPr>
        <w:spacing w:after="0" w:line="126"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pays a commission on both System sales and Treatment Session sales. Since the commission paid for System sales is not commensurate with the commission paid for Treatment Sessions, the Company capitalizes commission expense associated with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$0.2 million for the three months ended March 31, 2020 and $0.02 million for the three months ended March 31, 2019.</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ACCRUED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March 31, 2020 and December 31, 2019 (in thousands):</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Sales and other taxes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DEFERRED REVENUE</w:t>
      </w:r>
    </w:p>
    <w:p>
      <w:pPr>
        <w:spacing w:after="0" w:line="8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deferred revenue. For multi-year agreements, the Company generally invoices customers annually at the beginning of each annual coverage period and recognizes revenue over the term of the coverage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Company expects to recognize approximately the following percentages of deferred revenue by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Revenue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2021</w:t>
            </w:r>
          </w:p>
        </w:tc>
        <w:tc>
          <w:tcPr>
            <w:tcW w:w="726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2023</w:t>
            </w:r>
          </w:p>
        </w:tc>
        <w:tc>
          <w:tcPr>
            <w:tcW w:w="726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2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gridSpan w:val="2"/>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20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2840" w:type="dxa"/>
            <w:vAlign w:val="bottom"/>
            <w:vMerge w:val="continue"/>
            <w:shd w:val="clear" w:color="auto" w:fill="CFF0FC"/>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40" w:type="dxa"/>
            <w:vAlign w:val="bottom"/>
            <w:tcBorders>
              <w:top w:val="single" w:sz="8" w:color="CFF0FC"/>
            </w:tcBorders>
          </w:tcPr>
          <w:p>
            <w:pPr>
              <w:spacing w:after="0" w:line="20" w:lineRule="exact"/>
              <w:rPr>
                <w:sz w:val="1"/>
                <w:szCs w:val="1"/>
                <w:color w:val="auto"/>
              </w:rPr>
            </w:pPr>
          </w:p>
        </w:tc>
        <w:tc>
          <w:tcPr>
            <w:tcW w:w="5200" w:type="dxa"/>
            <w:vAlign w:val="bottom"/>
            <w:tcBorders>
              <w:top w:val="single" w:sz="8" w:color="CFF0FC"/>
              <w:bottom w:val="single" w:sz="8" w:color="CFF0FC"/>
            </w:tcBorders>
            <w:vMerge w:val="restart"/>
          </w:tcPr>
          <w:p>
            <w:pPr>
              <w:jc w:val="right"/>
              <w:ind w:right="281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Revenue recognized for the three months ended March 31, 2020 that was included in the contract liability balance at the beginning of the year was $0.9 million, and primarily represented revenue earned from separately priced extended warranties, rent-to-own revenue, milestone revenue, and clinical training.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months ended March 31, 2020 one customer accounted for more than 10% of the Company’s revenues. No customer accounted for more than 10% of the Company’s revenues for the same period in 2019.</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tab/>
        <w:t>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March 31, 2020 and December 31, 2019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March 31,</w:t>
            </w:r>
          </w:p>
        </w:tc>
        <w:tc>
          <w:tcPr>
            <w:tcW w:w="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final payment fees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discounts</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(2,715)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(690)</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long-term debt, net</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(11,250)</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19,898</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three months ended March 31, 2020, the Company recognized interest expense of $1.5 million, of which $1.4 million was cash and $0.1 million was non-cash interest expense related to the amortization of deferred debt issuance costs and accrual of final payment fees.</w:t>
      </w:r>
    </w:p>
    <w:p>
      <w:pPr>
        <w:spacing w:after="0" w:line="1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three months ended March 31, 2019, the Company recognized interest expense of $0.9 million, of which $0.7 million was cash paid for interest during the period and $0.2 million was non-cash interest expense related to the amortization of deferred debt issuance costs and accrual of final payment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Solar Credit Facility</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w:t>
      </w:r>
    </w:p>
    <w:p>
      <w:pPr>
        <w:spacing w:after="0" w:line="1" w:lineRule="exact"/>
        <w:rPr>
          <w:sz w:val="20"/>
          <w:szCs w:val="20"/>
          <w:color w:val="auto"/>
        </w:rPr>
      </w:pPr>
    </w:p>
    <w:p>
      <w:pPr>
        <w:ind w:right="320" w:firstLine="8"/>
        <w:spacing w:after="0" w:line="253"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required to pay Solar an exit fee upon the occurrence, prior to March 2, 2030, of (a) any liquidation, dissolution or winding up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(b) transaction that results in a person obtaining control over the Company, (c) the Company achieving $100 million in trailing twelve month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or (d) the Company achieving $125 million in trailing twelve month net product revenue. The exit fee for liquidation, dissolution, winding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or change of control of the Company is equal to 4.50% of the principal amount of the term loans actually funded. The exit fee for achieving either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or $125 million in trailing twelve-month net product revenue is equal to 2.25% of the principal amount of the term loans actually funded or,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net product revenue milestones are achieved, 4.50% of the principal amount of the term loans actually funded. The exit fee is capped at 4.50%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term loans actually funded.</w:t>
      </w:r>
    </w:p>
    <w:p>
      <w:pPr>
        <w:spacing w:after="0" w:line="1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w:t>
      </w:r>
    </w:p>
    <w:p>
      <w:pPr>
        <w:spacing w:after="0" w:line="1" w:lineRule="exact"/>
        <w:rPr>
          <w:sz w:val="20"/>
          <w:szCs w:val="20"/>
          <w:color w:val="auto"/>
        </w:rPr>
      </w:pPr>
    </w:p>
    <w:p>
      <w:pPr>
        <w:ind w:right="20" w:firstLine="8"/>
        <w:spacing w:after="0" w:line="26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termination or breach of a guaranty; (xi) revocation of governmental approvals necessary for the Company to conduct its business; and (xii) failure by the Company to maintain a valid and perfected lien on the collateral securing the borrowing.</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borrowings are subject to financial covenants, including the Company’s achievement of trailing twelve month net revenue goals beginning December 31, 2020. The agreement also includes subjective acceleration clauses which permit the lenders to accelerate the maturity date under certain circumstances, including, but not limited to, material adverse effects on a Company’s financial status or otherwise. While the Company believes the acceleration of the due date may be reasonably possible, it is not probable and therefore, the debt is classified as a non-current liability in the accompanying balance sheet as of March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Company is in compliance with all covenants in the loan and security agreement.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current amortization of the outstanding principal amounts of the Term A Loan beginning on April 1, 2022 as discussed above, the following table sets forth by year the Company’s required future principal payments (in thousands):</w:t>
      </w:r>
    </w:p>
    <w:p>
      <w:pPr>
        <w:spacing w:after="0" w:line="14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principal payments</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Credit Facility</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54" w:lineRule="exact"/>
        <w:rPr>
          <w:sz w:val="20"/>
          <w:szCs w:val="20"/>
          <w:color w:val="auto"/>
        </w:rPr>
      </w:pPr>
    </w:p>
    <w:p>
      <w:pPr>
        <w:ind w:right="9320" w:firstLine="8"/>
        <w:spacing w:after="0" w:line="331" w:lineRule="auto"/>
        <w:tabs>
          <w:tab w:leader="none" w:pos="37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Common Stock</w:t>
      </w:r>
    </w:p>
    <w:p>
      <w:pPr>
        <w:ind w:right="180"/>
        <w:spacing w:after="0" w:line="277" w:lineRule="auto"/>
        <w:rPr>
          <w:sz w:val="20"/>
          <w:szCs w:val="20"/>
          <w:color w:val="auto"/>
        </w:rPr>
      </w:pPr>
      <w:r>
        <w:rPr>
          <w:rFonts w:ascii="Arial" w:cs="Arial" w:eastAsia="Arial" w:hAnsi="Arial"/>
          <w:sz w:val="18"/>
          <w:szCs w:val="18"/>
          <w:color w:val="auto"/>
        </w:rPr>
        <w:t>The Company’s amended and restated certificate of incorporation as of March 31, 2020 authorized the issuance of 200.0 million shares of common stock, $0.01 par value per share, of which 18.726 million were issued and outstanding as of March 31, 2020.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total number of shares of the Company’s common stock issued and reserved for issuance as of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2020</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of common stock issued</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18,726</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Shares of common stock reserved for issuance for:</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warrants outstanding</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Stock options outstanding</w:t>
            </w:r>
          </w:p>
        </w:tc>
        <w:tc>
          <w:tcPr>
            <w:tcW w:w="1380" w:type="dxa"/>
            <w:vAlign w:val="bottom"/>
          </w:tcPr>
          <w:p>
            <w:pPr>
              <w:jc w:val="right"/>
              <w:spacing w:after="0"/>
              <w:rPr>
                <w:sz w:val="20"/>
                <w:szCs w:val="20"/>
                <w:color w:val="auto"/>
              </w:rPr>
            </w:pPr>
            <w:r>
              <w:rPr>
                <w:rFonts w:ascii="Arial" w:cs="Arial" w:eastAsia="Arial" w:hAnsi="Arial"/>
                <w:sz w:val="18"/>
                <w:szCs w:val="18"/>
                <w:color w:val="auto"/>
              </w:rPr>
              <w:t>2,324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units outstanding</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Shares available for grant under stock incentive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available for sale under employee stock purchase plan</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9"/>
                <w:szCs w:val="19"/>
                <w:color w:val="auto"/>
              </w:rPr>
            </w:pPr>
          </w:p>
        </w:tc>
      </w:tr>
      <w:tr>
        <w:trPr>
          <w:trHeight w:val="209"/>
        </w:trPr>
        <w:tc>
          <w:tcPr>
            <w:tcW w:w="6940" w:type="dxa"/>
            <w:vAlign w:val="bottom"/>
          </w:tcPr>
          <w:p>
            <w:pPr>
              <w:ind w:left="480"/>
              <w:spacing w:after="0"/>
              <w:rPr>
                <w:sz w:val="20"/>
                <w:szCs w:val="20"/>
                <w:color w:val="auto"/>
              </w:rPr>
            </w:pPr>
            <w:r>
              <w:rPr>
                <w:rFonts w:ascii="Arial" w:cs="Arial" w:eastAsia="Arial" w:hAnsi="Arial"/>
                <w:sz w:val="18"/>
                <w:szCs w:val="18"/>
                <w:color w:val="auto"/>
              </w:rPr>
              <w:t>Total shares of common stock issued and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40" w:type="dxa"/>
            <w:vAlign w:val="bottom"/>
          </w:tcPr>
          <w:p>
            <w:pPr>
              <w:ind w:left="620"/>
              <w:spacing w:after="0"/>
              <w:rPr>
                <w:sz w:val="20"/>
                <w:szCs w:val="20"/>
                <w:color w:val="auto"/>
              </w:rPr>
            </w:pPr>
            <w:r>
              <w:rPr>
                <w:rFonts w:ascii="Arial" w:cs="Arial" w:eastAsia="Arial" w:hAnsi="Arial"/>
                <w:sz w:val="18"/>
                <w:szCs w:val="18"/>
                <w:color w:val="auto"/>
              </w:rPr>
              <w:t>reserved for issuance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w:t>
            </w:r>
          </w:p>
        </w:tc>
        <w:tc>
          <w:tcPr>
            <w:tcW w:w="12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common stock warrants as of March 31, 2020 and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86"/>
              </w:rPr>
              <w:t>Exercise</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Price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38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Dec-2022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Feb-2021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Aug-2023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Mar-2024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Dec-2024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vMerge w:val="restart"/>
          </w:tcPr>
          <w:p>
            <w:pPr>
              <w:jc w:val="right"/>
              <w:ind w:right="955"/>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LOSS PER SHARE</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1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potentially dilutive securities outstanding as of March 31, 2020 and 2019 have been excluded from the denominator of the diluted loss per share of common stock outstanding calculation (in thousands):</w:t>
      </w:r>
    </w:p>
    <w:p>
      <w:pPr>
        <w:spacing w:after="0" w:line="22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69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gridSpan w:val="2"/>
          </w:tcPr>
          <w:p>
            <w:pPr>
              <w:spacing w:after="0"/>
              <w:rPr>
                <w:sz w:val="20"/>
                <w:szCs w:val="20"/>
                <w:color w:val="auto"/>
              </w:rPr>
            </w:pPr>
            <w:r>
              <w:rPr>
                <w:rFonts w:ascii="Arial" w:cs="Arial" w:eastAsia="Arial" w:hAnsi="Arial"/>
                <w:sz w:val="18"/>
                <w:szCs w:val="18"/>
                <w:color w:val="auto"/>
              </w:rPr>
              <w:t>Non-vested restricted stock awards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9"/>
        </w:trPr>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Non-vested restricted stock units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r>
    </w:tbl>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SHARE-BASED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share-based compensation expense recognized by the Company by location in its statements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6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6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520" w:type="dxa"/>
            <w:vAlign w:val="bottom"/>
            <w:gridSpan w:val="2"/>
          </w:tcPr>
          <w:p>
            <w:pPr>
              <w:jc w:val="right"/>
              <w:ind w:right="147"/>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6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Sales and marketing</w:t>
            </w:r>
          </w:p>
        </w:tc>
        <w:tc>
          <w:tcPr>
            <w:tcW w:w="3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36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620" w:type="dxa"/>
            <w:vAlign w:val="bottom"/>
            <w:vMerge w:val="restart"/>
          </w:tcPr>
          <w:p>
            <w:pPr>
              <w:jc w:val="right"/>
              <w:ind w:right="1550"/>
              <w:spacing w:after="0"/>
              <w:rPr>
                <w:sz w:val="20"/>
                <w:szCs w:val="20"/>
                <w:color w:val="auto"/>
              </w:rPr>
            </w:pPr>
            <w:r>
              <w:rPr>
                <w:rFonts w:ascii="Arial" w:cs="Arial" w:eastAsia="Arial" w:hAnsi="Arial"/>
                <w:sz w:val="18"/>
                <w:szCs w:val="18"/>
                <w:color w:val="auto"/>
              </w:rPr>
              <w:t>16</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March 31, 2020, there were approximately 0.7 million shares available for future issuance under the 2018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2020:</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per Option</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(in years)</w:t>
            </w:r>
          </w:p>
        </w:tc>
        <w:tc>
          <w:tcPr>
            <w:tcW w:w="11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March 31,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line="20" w:lineRule="exact"/>
              <w:rPr>
                <w:sz w:val="1"/>
                <w:szCs w:val="1"/>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553</w:t>
            </w: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March 31,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share-based compensation expense related to stock options of $0.6 million and $0.4 million for the three months ended</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March 31, 2020 and 2019, respectively. As of March 31, 2020, there was $5.5 million of total unrecognized compensation cost related to non-vested stock options which the Company expects to recognize over a weighted-average period of 2.8 years. The weighted-average grant-date fair value of stock options granted during the three months ended March 31, 2020 was estimated at $1.52 per option. The total intrinsic value of stock options exercised during the three months ended March 31, 2020 was $0.08 million.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three months ended March 31, 2020, the grant-date fair value of stock options was estimated at the time of grant using the following weighted-average inputs and assumptions in the Black-Scholes option pricing model:</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Estimated fair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-115570</wp:posOffset>
            </wp:positionV>
            <wp:extent cx="42773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Expected term (in years)</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Expected volatility</w:t>
      </w:r>
    </w:p>
    <w:p>
      <w:pPr>
        <w:spacing w:after="0" w:line="3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Dividend yield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20" w:hanging="81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2.94</w:t>
      </w:r>
    </w:p>
    <w:p>
      <w:pPr>
        <w:spacing w:after="0" w:line="23" w:lineRule="exact"/>
        <w:rPr>
          <w:sz w:val="20"/>
          <w:szCs w:val="20"/>
          <w:color w:val="auto"/>
        </w:rPr>
      </w:pPr>
    </w:p>
    <w:p>
      <w:pPr>
        <w:ind w:left="820" w:hanging="81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2.94</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3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0.9%</w:t>
      </w:r>
    </w:p>
    <w:p>
      <w:pPr>
        <w:spacing w:after="0" w:line="59"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55.3%</w:t>
      </w:r>
    </w:p>
    <w:p>
      <w:pPr>
        <w:spacing w:after="0" w:line="36"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ectPr>
          <w:pgSz w:w="11900" w:h="16838" w:orient="portrait"/>
          <w:cols w:equalWidth="0" w:num="2">
            <w:col w:w="6940" w:space="720"/>
            <w:col w:w="3580"/>
          </w:cols>
          <w:pgMar w:left="320" w:top="121"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restricted stock award and restricted stock unit activity for the three months ended March 31, 2020:</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660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8"/>
        </w:trPr>
        <w:tc>
          <w:tcPr>
            <w:tcW w:w="660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Grant-date</w:t>
            </w:r>
          </w:p>
        </w:tc>
      </w:tr>
      <w:tr>
        <w:trPr>
          <w:trHeight w:val="171"/>
        </w:trPr>
        <w:tc>
          <w:tcPr>
            <w:tcW w:w="660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19"/>
                <w:szCs w:val="19"/>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March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recognized approximately $0.6 million and $0.1 million in share-based compensation expense related to restricted stock awards and restricted stock units for the three months ended March 31, 2020 and 2019, respectively. As of March 31, 2020, there was $6.8 million of unrecognized compensation cost related to non-vested restricted stock awards and restricted stock units, which the Company expects to recognize over a weighted-average period of 2.5 years. The total fair value at the vesting date of restricted stock awards and restricted stock units vested during the three months ended March 31, 2020 was $0.1 million.</w:t>
      </w:r>
    </w:p>
    <w:p>
      <w:pPr>
        <w:spacing w:after="0" w:line="170" w:lineRule="exact"/>
        <w:rPr>
          <w:sz w:val="20"/>
          <w:szCs w:val="20"/>
          <w:color w:val="auto"/>
        </w:rPr>
      </w:pPr>
    </w:p>
    <w:p>
      <w:pPr>
        <w:ind w:right="6920" w:firstLine="8"/>
        <w:spacing w:after="0" w:line="338" w:lineRule="auto"/>
        <w:tabs>
          <w:tab w:leader="none" w:pos="87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has entered into an employment agreement and offer letters with certain key executives, providing for compensation and severance in certain circumstances, as defined in the agreements. In connection with the separation agreement with a former key executive, the Company recorded $1.1 million in general administrative expense during the three months ended March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17.</w:t>
        <w:tab/>
        <w:t>GEOGRAPHICAL SEGMENT INFORMATION</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Revenues by Geography</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11,177</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2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shd w:val="clear" w:color="auto" w:fill="CFF0FC"/>
          </w:tcPr>
          <w:p>
            <w:pPr>
              <w:spacing w:after="0"/>
              <w:rPr>
                <w:sz w:val="19"/>
                <w:szCs w:val="19"/>
                <w:color w:val="auto"/>
              </w:rPr>
            </w:pPr>
          </w:p>
        </w:tc>
        <w:tc>
          <w:tcPr>
            <w:tcW w:w="12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U.S.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Treatment sessions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8,193</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11,177</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8"/>
          </w:tcPr>
          <w:p>
            <w:pPr>
              <w:jc w:val="center"/>
              <w:ind w:left="637"/>
              <w:spacing w:after="0"/>
              <w:rPr>
                <w:sz w:val="20"/>
                <w:szCs w:val="20"/>
                <w:color w:val="auto"/>
              </w:rPr>
            </w:pPr>
            <w:r>
              <w:rPr>
                <w:rFonts w:ascii="Arial" w:cs="Arial" w:eastAsia="Arial" w:hAnsi="Arial"/>
                <w:sz w:val="14"/>
                <w:szCs w:val="14"/>
                <w:b w:val="1"/>
                <w:bCs w:val="1"/>
                <w:color w:val="auto"/>
                <w:w w:val="92"/>
              </w:rPr>
              <w:t>International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Treatment sessions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gridSpan w:val="2"/>
          </w:tcPr>
          <w:p>
            <w:pPr>
              <w:jc w:val="right"/>
              <w:ind w:right="67"/>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8, 2020 the Company adopted a plan to significantly reduce operating expenses in connection with the COVID-19 pandemic and the resulting economic downturn (the “Plan”). The Plan included a significant reduction in force across all functions within the Company (the “RIF”). The Company estimates that it will pay and record one-time separation-related charges for the RIF equal to approximately $2.1 million. In the second quarter of 2020, the Company may also incur other charges or cash expenditures not currently contemplated due to events that may occur as a result of, or associated with, the Plan.</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as the Company, on May 1, 2020, the Company notified Silicon Valley Bank, the lender of its PPP loan, of its intention to repay the PPP loan. The Company intends to repay the PPP loan on or before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impact of the novel coronavirus, or COVID-19, pandemic on general political and economic conditions, including as a result of efforts by governmental authorities to mitigate the COVID-19 pandemic, such as travel bans, shelter in place orders and third-party business closures and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and developments in regulation in the United States and other applicable jurisdictions.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3, 2020.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are a market leader in TMS therapy based on our U.S. installed base of 1,119 active NeuroStar Advanced Therapy Systems in approximately 884 psychiatrist offices as of March 31, 2020 and the estimated 85,895 patients treated with approximately 3.1 million of our treatment sessions through such date. We generated revenues of $11.5 million and $12.7 million for the three months ended March 31, 2020 and March 31, 2019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ind w:right="60"/>
        <w:spacing w:after="0" w:line="257"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March 31, 2020, revenues from sales of our Treatment Sessions and NeuroStar Advanced Therapy Systems represented 74% and 23% of our U.S. revenues, respectively.</w:t>
      </w:r>
    </w:p>
    <w:p>
      <w:pPr>
        <w:spacing w:after="0" w:line="13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sell our NeuroStar Advanced Therapy System and recurring Treatment Sessions in the United States with the collaborative support of our 212 employees as of March 31, 2020. Our sales force primarily targets 20,600 psychiatrists at 5,700 psychiatric practices that we estimate, based on data from Symphony Health and our own internal estimates, treat approximately 42% of the total MDD patients in the United States who meet our labeled indication and are insured.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For the three months ended March 31, 2020, one customer accounted for more than 10% of our revenues. For three months ended March 31, 2019, no customer accounted for more than 10% of our revenues.</w:t>
      </w:r>
    </w:p>
    <w:p>
      <w:pPr>
        <w:spacing w:after="0" w:line="1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market our products in a few select markets outside the United States through independent distributors. International revenues represented 3% and 1% of our total revenues for the three months ended March 31, 2020 and March 31, 2019,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total revenues decreased by $1.3 million, or -10%, from $12.7 million for the three months ended March 31, 2019 to $11.5 million for the three months ended March 31, 2020 For the three months ended March 31, 2020, our U.S. revenues were $11.2 million compared to $12.5 million for the three months ended March 31, 2019 , which represents a decrease of 11% period over period. The decline was primarily attributable to the impact of the COVID-19 pandemic and related governmental responses. Due to the seasonality of our sales, during the first quarter of each year, we typically experience reduced revenues compared to our other quarters. We incurred net losses of $12.6 million for the three months ended March 31, 2020 compared to net losses of $7.5 million and for the three months ended March 31, 2019. We expect to continue to incur losses for the next several years as we expand our commercial organization to support our planned sales growth and while continuing to invest in our pipeline indications. As of March 31, 2020, we had an accumulated deficit of $262.7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closely monitoring the impact of the COVID-19 pandemic on all aspects of our business and geographies, including how it will impact business partners. While we began to experience disruptions during the three months ended March 31, 2020 from the COVID-19 pandemic, we are unable to predict the impact that the COVID-19 pandemic may have on our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 The global impact of the outbreak has been rapidly evolving and, as cases of COVID-19 have continued to be identified in additional countries, many countries, including the United States, have reacted by instituting quarantines, mandating business and school closures and restricting travel. Certain states and cities, including where our principal place of business is located, have also reacted by instituting quarantines, restrictions on travel, “shelter in place” rules, restrictions on types of business that may continue to operate, and/or restrictions on the types of construction projects that may continue. The Company cannot predict if additional states and cities will implement similar restrictions or when restrictions currently in place will expire. As a result, the COVID-19 pandemic is negatively impacting almost every industry directly or indirectly, including industries in which the Company operates. Further, the impacts of a potential worsening of global economic conditions and the continued disruptions to, and volatility in, the credit and financial markets, consumer spending as well as other unanticipated consequences remain unknown.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ind w:right="300"/>
        <w:spacing w:after="0" w:line="263" w:lineRule="auto"/>
        <w:rPr>
          <w:sz w:val="20"/>
          <w:szCs w:val="20"/>
          <w:color w:val="auto"/>
        </w:rPr>
      </w:pPr>
      <w:r>
        <w:rPr>
          <w:rFonts w:ascii="Arial" w:cs="Arial" w:eastAsia="Arial" w:hAnsi="Arial"/>
          <w:sz w:val="18"/>
          <w:szCs w:val="18"/>
          <w:color w:val="auto"/>
        </w:rPr>
        <w:t>On April 8, 2020, Neuronetics, Inc. (the “Company”) adopted a plan to significantly reduce operating expenses in connection with the COVID-19 pandemic and the resulting economic downturn (the “Plan”). The Plan included a significant reduction in force across all functions within the Company (the “RIF”).</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second quarter of 2020, the Company estimates that it will pay and record one-time separation-related charges for the RIF equal to approximately $2.1 million. The Company estimates that the Plan will produce net savings of approximately $18 million through December 31, 2020. The separation-related charges and cost savings that the Company expects to incur or realize in connection with the Plan are subject to a number of assumptions, and actual results may differ materially. The Company may also incur other charges or cash expenditures not currently contemplated due to events that may occur as a result of, or associated with, the Plan. Following the second quarter RIF, the Company’s workforce totaled 117 employees.</w:t>
      </w:r>
    </w:p>
    <w:p>
      <w:pPr>
        <w:spacing w:after="0" w:line="10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situation surrounding the COVID-19 pandemic remains fluid, and we are actively managing our response in collaboration with government officials and business partners and assessing potential impacts to our financial position and operating results, as well as potential adverse developments in our business. For further information regarding the impact of COVID-19 on the Company, see Part II, Item 1A titled “Risk Factors.”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1,119 and 931 active NeuroStar Advanced Therapy Systems as of March 31, 2020 and 2019, respectively.</w:t>
      </w:r>
    </w:p>
    <w:p>
      <w:pPr>
        <w:spacing w:after="0" w:line="13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u w:val="single" w:color="auto"/>
          <w:color w:val="auto"/>
        </w:rPr>
        <w:t>Treatment Session Revenues</w:t>
      </w:r>
      <w:r>
        <w:rPr>
          <w:rFonts w:ascii="Arial" w:cs="Arial" w:eastAsia="Arial" w:hAnsi="Arial"/>
          <w:sz w:val="16"/>
          <w:szCs w:val="16"/>
          <w:color w:val="auto"/>
        </w:rPr>
        <w:t>. Treatment session revenues primarily include sales of NeuroStar Treatment Sessions and SenStar treatment links.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3, 2020. We also refer you to “Note 3. Summary of Significant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3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7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anticipate that our general and administrative expenses will decrease in absolute dollars because of the impact of COVID-19 pandemic, related government responses and company’s reduction in force announced in April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as well as for various hardware and software development projects.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Other expense (income), net consists primarily of the revaluation related to our convertible preferred stock warrants, which were accounted for as a liability prior to their conversion into common stock warrants on July 2, 2018 and marked-to-market at each reporting period, as well as interest income earned on our money market account balances, and non-utilization fees paid to Oxford related to our decision not to borrow the Term C Loan. Upon the closing of our IPO on July 2, 2018, all of our outstanding convertible preferred stock warrants converted into warrants to acquire an aggregate of 0.1 million shares of our common stock, resulting in the reclassification of the convertible preferred stock warrant liability into additional paid-in capital.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Increase / (Decrease)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Dollars</w:t>
            </w:r>
          </w:p>
        </w:tc>
        <w:tc>
          <w:tcPr>
            <w:tcW w:w="102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7"/>
          </w:tcPr>
          <w:p>
            <w:pPr>
              <w:jc w:val="right"/>
              <w:ind w:right="380"/>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(1,252)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2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75.5%</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(10,366)</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(7,056)</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(3,310)</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13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(12,613)</w:t>
            </w:r>
          </w:p>
        </w:tc>
        <w:tc>
          <w:tcPr>
            <w:tcW w:w="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(7,529)</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2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24" w:name="page25"/>
    <w:bookmarkEnd w:id="24"/>
    <w:p>
      <w:pPr>
        <w:jc w:val="center"/>
        <w:ind w:left="4900"/>
        <w:spacing w:after="0"/>
        <w:rPr>
          <w:sz w:val="20"/>
          <w:szCs w:val="20"/>
          <w:color w:val="auto"/>
        </w:rPr>
      </w:pPr>
      <w:r>
        <w:rPr>
          <w:rFonts w:ascii="Arial" w:cs="Arial" w:eastAsia="Arial" w:hAnsi="Arial"/>
          <w:sz w:val="14"/>
          <w:szCs w:val="14"/>
          <w:b w:val="1"/>
          <w:bCs w:val="1"/>
          <w:color w:val="auto"/>
        </w:rPr>
        <w:t>Revenues by Geography</w:t>
      </w:r>
    </w:p>
    <w:p>
      <w:pPr>
        <w:jc w:val="center"/>
        <w:ind w:left="4900"/>
        <w:spacing w:after="0" w:line="236" w:lineRule="auto"/>
        <w:rPr>
          <w:sz w:val="20"/>
          <w:szCs w:val="20"/>
          <w:color w:val="auto"/>
        </w:rPr>
      </w:pPr>
      <w:r>
        <w:rPr>
          <w:rFonts w:ascii="Arial" w:cs="Arial" w:eastAsia="Arial" w:hAnsi="Arial"/>
          <w:sz w:val="14"/>
          <w:szCs w:val="14"/>
          <w:b w:val="1"/>
          <w:bCs w:val="1"/>
          <w:color w:val="auto"/>
        </w:rPr>
        <w:t>Three Months Ended March 31,</w:t>
      </w:r>
    </w:p>
    <w:tbl>
      <w:tblPr>
        <w:tblLayout w:type="fixed"/>
        <w:tblInd w:w="58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89"/>
              </w:rPr>
              <w:t>(in thousands, except percentages)</w:t>
            </w: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11,177</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11,476</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U.S. Revenues by Product Category</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5"/>
              </w:rPr>
              <w:t>Three Months Ended March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6"/>
          </w:tcPr>
          <w:p>
            <w:pPr>
              <w:jc w:val="center"/>
              <w:ind w:right="48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5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Treatment sessions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8,193</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11,177</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8"/>
          </w:tcPr>
          <w:p>
            <w:pPr>
              <w:jc w:val="center"/>
              <w:ind w:left="557"/>
              <w:spacing w:after="0"/>
              <w:rPr>
                <w:sz w:val="20"/>
                <w:szCs w:val="20"/>
                <w:color w:val="auto"/>
              </w:rPr>
            </w:pPr>
            <w:r>
              <w:rPr>
                <w:rFonts w:ascii="Arial" w:cs="Arial" w:eastAsia="Arial" w:hAnsi="Arial"/>
                <w:sz w:val="14"/>
                <w:szCs w:val="14"/>
                <w:b w:val="1"/>
                <w:bCs w:val="1"/>
                <w:color w:val="auto"/>
                <w:w w:val="92"/>
              </w:rPr>
              <w:t>United States NeuroStar Advanced Therapy System</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Revenues by Type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6"/>
              </w:rPr>
              <w:t>Quarter ended March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6"/>
          </w:tcPr>
          <w:p>
            <w:pPr>
              <w:jc w:val="center"/>
              <w:ind w:right="48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NeuroStar Capital</w:t>
            </w:r>
          </w:p>
        </w:tc>
        <w:tc>
          <w:tcPr>
            <w:tcW w:w="5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Operating lease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4760" w:type="dxa"/>
            <w:vAlign w:val="bottom"/>
          </w:tcPr>
          <w:p>
            <w:pPr>
              <w:ind w:left="240"/>
              <w:spacing w:after="0"/>
              <w:rPr>
                <w:sz w:val="20"/>
                <w:szCs w:val="20"/>
                <w:color w:val="auto"/>
              </w:rPr>
            </w:pPr>
            <w:r>
              <w:rPr>
                <w:rFonts w:ascii="Arial" w:cs="Arial" w:eastAsia="Arial" w:hAnsi="Arial"/>
                <w:sz w:val="18"/>
                <w:szCs w:val="18"/>
                <w:color w:val="auto"/>
                <w:w w:val="97"/>
              </w:rPr>
              <w:t>Total United States NeuroStar Advanced Therapy System</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revenues</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2,594</w:t>
            </w: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Total revenues decreased by $1.3 million, or -10%, from $12.7 million for the three months ended March 31, 2019 to $11.5 million for the three months ended March 31, 2020. The decrease was primarily driven by an 11% reduction in U.S. revenue, offset by an increase in international revenue. The year over year growth in international revenue was primarily driven by increased System sales and Treatment Session purchases.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NeuroStar Advanced Therapy System revenues represented 23% and 27% of U.S. revenues for the three months ended March 31, 2020 and 2019, respectively. U.S. NeuroStar Advanced Therapy System revenue for the first quarter of 2020 was $2.6 million, a decrease of 23% versus first quarter 2019 revenue of $3.4 million. The decrease was primarily driven by lower blended NeuroStar Capital System ASPs due to higher mix of sales type leases during the quarter, as well as lower other revenue related to fewer HP Coil upgrades sold in the first quarter of 2020. In the quarter, the company sold 43 systems, equal to the prior year quarter.</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2020, we had an installed base of 1,119 active Systems in the United States. This represents an increase of 188 units, or 20%, over the active installed base as of March 31, 2019.</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Treatment Session revenues in the United States represented 74% and 70% of total revenues in the United States for the three months ended March 31, 2020 and 2019, respectively, and decreased by 7% from $8.8 million for the three months ended March 31, 2019 to $8.2 million for the three months ended March 31, 2020. The decrease was primarily driven by a decline in average revenue per active system, largely driven by a reduction in per click Treatment Session volume during March which we believe was caused by the impact from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revenues remained flat at $2.8 million for the three months ended March 31, 2020 when compared to the three months ended March 31, 2019 Gross margin decreased from 77.9% for the three months ended March 31, 2019 to 75.5% for the three months ended March 31, 2020. The decrease was primarily a result of lower percentage of sales-type leases combined with lower average selling prices on capital sales, as well as lower average selling prices on per click sessions.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Sales and Marketing Expenses</w:t>
      </w:r>
    </w:p>
    <w:p>
      <w:pPr>
        <w:spacing w:after="0" w:line="7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Sales and marketing expenses increased by $1.1 million, or 12%, from $9.6 million for the three months ended March 31, 2019 to $10.7 million for the three months ended March 31, 2020. The increase was primarily due to increased personnel costs as a result of our sales expansion activities, outside consulting fees and an increase in our bad debt provision, due to perceived risks with some of our customer accounts.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General and administrative expenses increased by $0.7 million, or 15%, from $4.6 million for the three months ended March 31, 2019 to $5.3 million for the three months ended March 31, 2020. The increase was primarily due to an increase in severance expense partially offset by a decrease in professional and miscellaneous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Research and development expenses increased $0.2 million, or 8%, from $2.8 million for the three months ended March 31, 2019 to $3.0 million for the three months ended March 31, 2020. The increase was primarily due to higher product development costs related to the development of the next generation of our NeuroStar Advanced Therapy System and TrakStar practice management system.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Interest expense increased $0.6 million from $0.9 million for the three months ended March 31, 2019 to $1.5 million for the three months ended March 31, 2020. This increase is primarily due to early payment fees associated with the Oxford Facility. We also refer you to “Note 12. DEBT.”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9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Other expense (income), net decreased by $0.2 million, from $(0.4) million for the three months ended March 31, 2019 to $(0.2) million for the three months ended March 31, 2020, primarily as a result of decreased interest income earned on the Company’s money market accounts.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 2018, we closed our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March 31, 2020, we had cash and cash equivalents of $63.6 million and an accumulated deficit of $262.7 million, compared to cash and cash equivalents of $75.7 million and an accumulated deficit of $250.1 million as of December 31, 2019. We incurred negative cash flows from operating activities of $13.7 million and $9.6 million for the three months ended March 31, 2020 and March 31, 2019,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March 31, 2020, we had $35.0 million of borrowings outstanding under our credit facility, which matures in February 2025.</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cannot predict our revenues and expenses in the short term as a result of the COVID-19 pandemic and related governmental responses. We also incur additional costs as a public company. Based on our current business plan, we believe that our cash and cash equivalents as of March 31, 2020 and anticipated revenues from sales of our products will be sufficient to meet our cash requirements for at least the next 18 months after March 31, 2020.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7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76"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21"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21"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21"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three months ended March 31, 2020 and 2019</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4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(13,650)</w:t>
            </w:r>
          </w:p>
        </w:tc>
        <w:tc>
          <w:tcPr>
            <w:tcW w:w="4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(9,570)</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Net Decrease in Cash and Cash Equivalents</w:t>
            </w:r>
          </w:p>
        </w:tc>
        <w:tc>
          <w:tcPr>
            <w:tcW w:w="13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Net cash used in operating activities for the three months ended March 31, 2020 was $13.7 million, consisting primarily of a net loss of $12.6 million and a decrease in net operating liabilities of $4.0 million, partially offset by non-cash charges of 3.0 million The decrease in net operating liabilities was primarily due to decreases in accounts payable and accrued expenses as a result of timing and the first quarter 2020 payments of 2019 incentive compensation and commissions accrued as of December 31, 2019. Non-cash charges consisted of loss on debt extinguishment, depreciation and amortization, non-cash interest expense, share-based compensation, and the cost of rental units purchased by customers.</w:t>
      </w:r>
    </w:p>
    <w:p>
      <w:pPr>
        <w:spacing w:after="0" w:line="12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cash used in operating activities for the three months ended March 31, 2019 was $9.6 million, consisting primarily of a net loss of $7.5 million and a decrease in net operating liabilities of $3.0 million, partially offset by non-cash charges of 0.9. The decrease in net operating liabilities was primarily due to a decrease in accrued expenses as a result of the first quarter 2018 payments of 2017 incentive compensation and commissions accrued as of December 31, 2017.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and the three months ended March 31, 2019 was $0.3 million and was in each case attributable to purchases of property and equipment and capitalized software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2020 was $1.9 million and consisted of additional proceeds from our loan refinance and cash proceeds related to stock option exercises. Net cash provided by financing activities for the three months ended March 31, 2019 was $1.4 million, consisting of cash proceeds related to stock option exercises.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Solar Credit Facility</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March 2, 2020, the “Company entered into a loan and security agreement with Solar Capital Ltd. (“Solar”), as collateral agent, and other lenders defined in the agreement, for a credit facility (the “Solar Facility”) that replaced the Company’s previous $35.0 million credit facility with Oxford Finance LLC (“Oxford”, and such facility, the “Oxford Facility”).</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w:t>
      </w:r>
    </w:p>
    <w:p>
      <w:pPr>
        <w:spacing w:after="0" w:line="1" w:lineRule="exact"/>
        <w:rPr>
          <w:sz w:val="20"/>
          <w:szCs w:val="20"/>
          <w:color w:val="auto"/>
        </w:rPr>
      </w:pPr>
    </w:p>
    <w:p>
      <w:pPr>
        <w:ind w:right="340" w:firstLine="8"/>
        <w:spacing w:after="0" w:line="253"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required to pay Solar an exit fee upon the occurrence, prior to March 2, 2030, of (a) any liquidation, dissolution or winding up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(b) transaction that results in a person obtaining control over the Company, (c) the Company achieving $100 million in trailing twelve month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or (d) the Company achieving $125 million in trailing twelve month net product revenue. The exit fee for liquidation, dissolution, winding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or change of control of the Company is equal to 4.50% of the principal amount of the term loans actually funded. The exit fee for achieving either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or $125 million in trailing twelve-month net product revenue is equal to 2.25% of the principal amount of the term loans actually funded or,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net product revenue milestones are achieved, 4.50% of the principal amount of the term loans actually funded. The exit fee is capped at 4.50%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term loans actually funded.</w:t>
      </w:r>
    </w:p>
    <w:p>
      <w:pPr>
        <w:spacing w:after="0" w:line="1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Company’s obligations under the credit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w:t>
      </w:r>
    </w:p>
    <w:p>
      <w:pPr>
        <w:spacing w:after="0" w:line="1" w:lineRule="exact"/>
        <w:rPr>
          <w:sz w:val="20"/>
          <w:szCs w:val="20"/>
          <w:color w:val="auto"/>
        </w:rPr>
      </w:pPr>
    </w:p>
    <w:p>
      <w:pPr>
        <w:ind w:right="20" w:firstLine="8"/>
        <w:spacing w:after="0" w:line="260"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termination or breach of a guaranty; (xi) revocation of governmental approvals necessary for the Company to conduct its business; and (xii) failure by the Company to maintain a valid and perfected lien on the collateral securing the borrowing.</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borrowings are subject to financial covenants, including the Company’s achievement of trailing twelve month net revenue goals beginning December 31, 2020. The agreement also includes subjective acceleration clauses which permit the lenders to accelerate the maturity date under certain circumstances, including, but not limited to, material adverse effects on a Company’s financial status or otherwise. While the Company believes the acceleration of the due date may be reasonably possible, it is not probable and therefore, the debt is classified as a non-current liability in the accompanying balance sheet as of March 31,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As of March 31, 2020, the Company is in compliance with all covenants in the loan and security agreement.</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current amortization of the outstanding principal amounts of the Term A Loan beginning on April 1, 2022 as discussed above, the following table sets forth by year the Company’s required future principal payments (in thousands):</w:t>
      </w:r>
    </w:p>
    <w:p>
      <w:pPr>
        <w:spacing w:after="0" w:line="14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principal payments</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Credit Facility</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evaluated whether the Solar credit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Non-Cash Interest Expense</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2020, we recognized interest expense of $1.5 million, of which $1.4 million was cash and $0.1 million was non-cash interest expense related to the amortization of deferred financing costs and accrual of final payment fees. For the three months ended March 31, 2019, we recognized interest expense of $0.9 million, of which $0.7 million was cash and $0.2 million was non-cash interest expense related to the amortization of deferred financing costs and accrual of final payment fees.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8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March 31, 2020, there was one significant change to our commitments and future minimum contractual obligations as set forth in our Form 10-K, filed with the SEC on March 3, 2020. We refer you to “Note 9. Debt” in this Quarterly Report on Form 10-Q for information regarding our new debt agreements.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JOBS Act Accounting Election</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w:t>
      </w:r>
    </w:p>
    <w:p>
      <w:pPr>
        <w:ind w:firstLine="8"/>
        <w:spacing w:after="0" w:line="252"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0" w:name="page31"/>
    <w:bookmarkEnd w:id="30"/>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9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3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discussed above in the “Management’s Discussion and Analysis of Financial Condition and Results of Operations – Liquidity and Capital Resources - Indebtedness” section of this Quarterly Report on Form 10-Q, our credit facility bears interest at 7.65% plus the greater of (a) 1.66% or (b) the rate per annum rate published by the Intercontinental Exchange Benchmark Administration Ltd. As a result, we are exposed to risks from changes in interest rates.</w:t>
      </w:r>
    </w:p>
    <w:p>
      <w:pPr>
        <w:spacing w:after="0" w:line="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do not currently have any exposure to foreign currency fluctuations and do not engage in any hedging activities as part of our normal course of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2020, the Company experienced a material impact to revenue in March, particularly with regards to U.S. treatment session revenues. As noted in the Company’s April 8, 2020 press release, the Company expects that capital equipment sales and treatment session revenues will be materially impacted by this pandemic as customers are deferring capital purchase decisions, and new patient treatment starts and system utilization have declined compared to pre-COVID-19 projections.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previously withdrew full year 2020 guidance on April 8, 2020. At this date, the Company is currently unable to estimate the specific duration or scale of the impact of the COVID-19 pandemic on its financial and operating results.</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Co-Principal Executive Officers and Chief Financial Officer, evaluated the effectiveness of our disclosure controls and procedures as of the end of the period covered by this Quarterly Report on Form 10-Q. Based on that evaluation, our Co-Principal Executive Officers and our Chief Financial Officer concluded that our disclosure controls and procedures were effective at the reasonable assurance level as of March 31,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Internal control over financial reporting refers to the process designed by, or under the supervision of, our Co-Principal Executive Officers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line="287" w:lineRule="auto"/>
        <w:rPr>
          <w:sz w:val="20"/>
          <w:szCs w:val="20"/>
          <w:color w:val="auto"/>
        </w:rPr>
      </w:pPr>
      <w:r>
        <w:rPr>
          <w:rFonts w:ascii="Arial" w:cs="Arial" w:eastAsia="Arial" w:hAnsi="Arial"/>
          <w:sz w:val="16"/>
          <w:szCs w:val="16"/>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1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Co-Principal Executive Officers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March 31, 2020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During the quarter ended March 31, 2020, there were no changes in our internal control over financial reporting (as defined in Rule 13a-15(f) of the Exchange Act) which materially affected, or are reasonably likely to materially affect, our internal control over financial reporting.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 Item 1A “Risk Factors” of our Annual Report on Form 10-K for the fiscal year ended December 31, 2019, filed with the SEC on March 3, 2020. With the exception of the following, there have been no material changes in reported risk factors from the information reported in our Annual Report on Form 10-K for the fiscal year ended December 31, 2019.</w:t>
      </w:r>
    </w:p>
    <w:p>
      <w:pPr>
        <w:spacing w:after="0" w:line="3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3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March 2020, we entered into a $50.0 million credit facility with Solar Capital Ltd., or Solar, that is secured by a lien covering substantially all of our assets. The credit facility contains customary covenants and events of default applicable to us. The affirmative covenants include, among others, a covenant that requires us to achieve agreed amounts of trailing twelve month net product revenue, measured monthly through the term of the credit facility. The negative covenants include, among others, restrictions on us transferring collateral, changing businesses, engaging in mergers or acquisitions, incurring additional indebtedness and encumbering collateral. There is no guarantee that we will maintain compliance with the covenants under the credit facility, and the COVID-19 pandemic and resulting economic turmoil and related impacts on our financial condition or results of operations may, in whole or in part, cause us to breach one or more of such covenants. If we default under the credit facility, Solar may accelerate all of our repayment obligations and take control of our pledged assets, potentially requiring us to renegotiate our agreement on terms less favorable to us or to immediately cease operations. Further, if we are liquidated, Solar’s right to repayment would be senior to the rights of the holders of our common stock to receive any proceeds from the liquidation. Solar could declare a default upon the occurrence of any event that it interprets as a material adverse effect as defined under the credit facility, thereby requiring us to repay the loan immediately or to attempt to reverse the declaration of default through negotiation or litigation. Any declaration by Solar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decision to repay the funds we received under the Paycheck Protection Program reduces the amount of cash available to us</w:t>
      </w:r>
      <w:r>
        <w:rPr>
          <w:rFonts w:ascii="Arial" w:cs="Arial" w:eastAsia="Arial" w:hAnsi="Arial"/>
          <w:sz w:val="18"/>
          <w:szCs w:val="18"/>
          <w:color w:val="auto"/>
        </w:rPr>
        <w:t>.</w:t>
      </w:r>
    </w:p>
    <w:p>
      <w:pPr>
        <w:spacing w:after="0" w:line="3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27, 2020, the federal government enacted the Coronavirus Aid, Relief, and Economic Security Act (“CARES Act”) in response to the economic turmoil resulting from the COVID-19 pandemic. Among the measures included within the CARES Act was the establishment of an expanded loan program under Section 7(a) of the Small Business Act called the Paycheck Protection Program (“PPP”). On April 13, 2020, we filed a PPP loan application, and on April 23, 2020, we received a PPP loan in the amount of $6.4 million. Since the date of the Company’s loan application, questions have arisen as to whether public companies similarly situated as the Company are eligible for a PPP loan, with the Small Business Administration announcing its plans to audit each PPP loan of more than $2 million. The Company believes that when it submitted its PPP loan application, it was eligible to receive a PPP loan, and its certifications in the PPP loan application were made in good faith and true. In particular, the Company believes that its PPP loan application was necessary due to the impact of COVID-19 and the resulting economic turmoil on our current business activity, including our financial condition, results of operation and cash flows, and our lack of access to other sources of liquidity sufficient to support our ongoing operations in a manner that is not significantly detrimental to the business.</w:t>
      </w:r>
    </w:p>
    <w:p>
      <w:pPr>
        <w:spacing w:after="0" w:line="3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light of the lack of clarity concerning the Company’s PPP loan eligibility and in order to avoid the costs and potential liabilities associated with a determination by the SBA or other regulator that the Company was ineligible, on May 1, 2020, the Company notified Silicon Valley Bank, the lender of its</w:t>
      </w:r>
    </w:p>
    <w:p>
      <w:pPr>
        <w:ind w:right="40" w:firstLine="8"/>
        <w:spacing w:after="0" w:line="295" w:lineRule="auto"/>
        <w:tabs>
          <w:tab w:leader="none" w:pos="3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loan, of its intention to repay the PPP loan. The Company intends to repay the PPP loan on or before May 7, 2020. Such early repayment of the PPP loan, including the portion that would have been forgivable under the terms of the PPP, will reduce the amount of cash available to the Company to support our ongoing operations. Consequently, such repayment could have a material adverse effect on our business, financial condition, results of operations, or cash flows, especially if the economic recovery from the COVID-19 pandemic does not occur on the timeline that we currently expect.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right="4619"/>
        <w:spacing w:after="0" w:line="38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u w:val="single" w:color="auto"/>
          <w:color w:val="auto"/>
        </w:rPr>
        <w:t xml:space="preserve">Recent Issuances of Unregistered Securities </w:t>
      </w:r>
      <w:r>
        <w:rPr>
          <w:rFonts w:ascii="Arial" w:cs="Arial" w:eastAsia="Arial" w:hAnsi="Arial"/>
          <w:sz w:val="18"/>
          <w:szCs w:val="18"/>
          <w:color w:val="auto"/>
        </w:rPr>
        <w:t>None.</w:t>
      </w: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34" w:name="page35"/>
    <w:bookmarkEnd w:id="34"/>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81"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0" w:type="dxa"/>
            <w:vAlign w:val="bottom"/>
            <w:gridSpan w:val="5"/>
            <w:vMerge w:val="restart"/>
          </w:tcPr>
          <w:p>
            <w:pPr>
              <w:ind w:left="4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080" w:type="dxa"/>
            <w:vAlign w:val="bottom"/>
            <w:tcBorders>
              <w:top w:val="single" w:sz="8" w:color="auto"/>
              <w:bottom w:val="single" w:sz="8" w:color="0000EE"/>
            </w:tcBorders>
            <w:gridSpan w:val="5"/>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Loan and Security Agreement, dated March 3, 2020, by and among Solar Capital Ltd., as collateral agent, the lenders listed on Schedule 1.1</w:t>
              </w:r>
            </w:hyperlink>
          </w:p>
        </w:tc>
        <w:tc>
          <w:tcPr>
            <w:tcW w:w="1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7"/>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thereto, and Neuronetics, Inc. (incorporated by reference to Exhibit 10.1 to the Current Report on Form 8-K filed with the SEC on March 3,</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3">
              <w:r>
                <w:rPr>
                  <w:rFonts w:ascii="Arial" w:cs="Arial" w:eastAsia="Arial" w:hAnsi="Arial"/>
                  <w:sz w:val="18"/>
                  <w:szCs w:val="18"/>
                  <w:color w:val="0000EE"/>
                  <w:w w:val="86"/>
                </w:rPr>
                <w:t>2020)</w:t>
              </w:r>
            </w:hyperlink>
          </w:p>
        </w:tc>
        <w:tc>
          <w:tcPr>
            <w:tcW w:w="180" w:type="dxa"/>
            <w:vAlign w:val="bottom"/>
            <w:tcBorders>
              <w:top w:val="single" w:sz="8" w:color="0000EE"/>
            </w:tcBorders>
          </w:tcPr>
          <w:p>
            <w:pPr>
              <w:spacing w:after="0"/>
              <w:rPr>
                <w:sz w:val="17"/>
                <w:szCs w:val="17"/>
                <w:color w:val="auto"/>
              </w:rPr>
            </w:pPr>
          </w:p>
        </w:tc>
        <w:tc>
          <w:tcPr>
            <w:tcW w:w="9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1"/>
                <w:szCs w:val="21"/>
                <w:color w:val="auto"/>
              </w:rPr>
            </w:pPr>
          </w:p>
        </w:tc>
        <w:tc>
          <w:tcPr>
            <w:tcW w:w="10200" w:type="dxa"/>
            <w:vAlign w:val="bottom"/>
            <w:gridSpan w:val="7"/>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2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9"/>
                <w:szCs w:val="19"/>
                <w:color w:val="auto"/>
              </w:rPr>
            </w:pPr>
          </w:p>
        </w:tc>
        <w:tc>
          <w:tcPr>
            <w:tcW w:w="1020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u w:val="single" w:color="auto"/>
                  <w:color w:val="0000EE"/>
                </w:rPr>
                <w:t>Certification of Chief Financial Officer Pursuant to Section 302 of the Sarbanes-Oxley Act of 2002</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190"/>
        </w:trPr>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6"/>
                <w:szCs w:val="16"/>
                <w:color w:val="auto"/>
              </w:rPr>
            </w:pPr>
          </w:p>
        </w:tc>
        <w:tc>
          <w:tcPr>
            <w:tcW w:w="1010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of 2002.</w:t>
              </w:r>
            </w:hyperlink>
          </w:p>
        </w:tc>
        <w:tc>
          <w:tcPr>
            <w:tcW w:w="9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200" w:type="dxa"/>
            <w:vAlign w:val="bottom"/>
            <w:gridSpan w:val="7"/>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of 2002.</w:t>
              </w:r>
            </w:hyperlink>
          </w:p>
        </w:tc>
        <w:tc>
          <w:tcPr>
            <w:tcW w:w="9440" w:type="dxa"/>
            <w:vAlign w:val="bottom"/>
            <w:tcBorders>
              <w:top w:val="single" w:sz="8" w:color="0000EE"/>
            </w:tcBorders>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80" w:right="20" w:hanging="372"/>
        <w:spacing w:after="0" w:line="301"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7800" w:type="dxa"/>
            <w:vAlign w:val="bottom"/>
            <w:gridSpan w:val="2"/>
          </w:tcPr>
          <w:p>
            <w:pPr>
              <w:ind w:left="2840"/>
              <w:spacing w:after="0"/>
              <w:rPr>
                <w:sz w:val="20"/>
                <w:szCs w:val="20"/>
                <w:color w:val="auto"/>
              </w:rPr>
            </w:pPr>
            <w:r>
              <w:rPr>
                <w:rFonts w:ascii="Arial" w:cs="Arial" w:eastAsia="Arial" w:hAnsi="Arial"/>
                <w:sz w:val="18"/>
                <w:szCs w:val="18"/>
                <w:b w:val="1"/>
                <w:bCs w:val="1"/>
                <w:color w:val="auto"/>
              </w:rPr>
              <w:t>NEURONETICS, INC.</w:t>
            </w:r>
          </w:p>
        </w:tc>
      </w:tr>
      <w:tr>
        <w:trPr>
          <w:trHeight w:val="230"/>
        </w:trPr>
        <w:tc>
          <w:tcPr>
            <w:tcW w:w="3440" w:type="dxa"/>
            <w:vAlign w:val="bottom"/>
          </w:tcPr>
          <w:p>
            <w:pPr>
              <w:spacing w:after="0"/>
              <w:rPr>
                <w:sz w:val="20"/>
                <w:szCs w:val="20"/>
                <w:color w:val="auto"/>
              </w:rPr>
            </w:pPr>
          </w:p>
        </w:tc>
        <w:tc>
          <w:tcPr>
            <w:tcW w:w="7800" w:type="dxa"/>
            <w:vAlign w:val="bottom"/>
            <w:gridSpan w:val="2"/>
          </w:tcPr>
          <w:p>
            <w:pPr>
              <w:ind w:left="284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5, 2020</w:t>
            </w:r>
          </w:p>
        </w:tc>
        <w:tc>
          <w:tcPr>
            <w:tcW w:w="3680" w:type="dxa"/>
            <w:vAlign w:val="bottom"/>
          </w:tcPr>
          <w:p>
            <w:pPr>
              <w:ind w:left="284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Andrew Macan</w:t>
            </w:r>
          </w:p>
        </w:tc>
      </w:tr>
      <w:tr>
        <w:trPr>
          <w:trHeight w:val="195"/>
        </w:trPr>
        <w:tc>
          <w:tcPr>
            <w:tcW w:w="3440" w:type="dxa"/>
            <w:vAlign w:val="bottom"/>
          </w:tcPr>
          <w:p>
            <w:pPr>
              <w:spacing w:after="0"/>
              <w:rPr>
                <w:sz w:val="16"/>
                <w:szCs w:val="16"/>
                <w:color w:val="auto"/>
              </w:rPr>
            </w:pPr>
          </w:p>
        </w:tc>
        <w:tc>
          <w:tcPr>
            <w:tcW w:w="3680" w:type="dxa"/>
            <w:vAlign w:val="bottom"/>
          </w:tcPr>
          <w:p>
            <w:pPr>
              <w:ind w:left="2840"/>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W. Andrew Macan</w:t>
            </w:r>
          </w:p>
        </w:tc>
      </w:tr>
      <w:tr>
        <w:trPr>
          <w:trHeight w:val="216"/>
        </w:trPr>
        <w:tc>
          <w:tcPr>
            <w:tcW w:w="3440" w:type="dxa"/>
            <w:vAlign w:val="bottom"/>
          </w:tcPr>
          <w:p>
            <w:pPr>
              <w:spacing w:after="0"/>
              <w:rPr>
                <w:sz w:val="18"/>
                <w:szCs w:val="18"/>
                <w:color w:val="auto"/>
              </w:rPr>
            </w:pPr>
          </w:p>
        </w:tc>
        <w:tc>
          <w:tcPr>
            <w:tcW w:w="3680" w:type="dxa"/>
            <w:vAlign w:val="bottom"/>
          </w:tcPr>
          <w:p>
            <w:pPr>
              <w:ind w:left="2840"/>
              <w:spacing w:after="0"/>
              <w:rPr>
                <w:sz w:val="20"/>
                <w:szCs w:val="20"/>
                <w:color w:val="auto"/>
              </w:rPr>
            </w:pPr>
            <w:r>
              <w:rPr>
                <w:rFonts w:ascii="Arial" w:cs="Arial" w:eastAsia="Arial" w:hAnsi="Arial"/>
                <w:sz w:val="18"/>
                <w:szCs w:val="18"/>
                <w:color w:val="auto"/>
              </w:rPr>
              <w:t>Title:</w:t>
            </w:r>
          </w:p>
        </w:tc>
        <w:tc>
          <w:tcPr>
            <w:tcW w:w="4120" w:type="dxa"/>
            <w:vAlign w:val="bottom"/>
          </w:tcPr>
          <w:p>
            <w:pPr>
              <w:spacing w:after="0"/>
              <w:rPr>
                <w:sz w:val="20"/>
                <w:szCs w:val="20"/>
                <w:color w:val="auto"/>
              </w:rPr>
            </w:pPr>
            <w:r>
              <w:rPr>
                <w:rFonts w:ascii="Arial" w:cs="Arial" w:eastAsia="Arial" w:hAnsi="Arial"/>
                <w:sz w:val="18"/>
                <w:szCs w:val="18"/>
                <w:color w:val="auto"/>
              </w:rPr>
              <w:t>Senior Vice President, General Counsel, Chief</w:t>
            </w:r>
          </w:p>
        </w:tc>
      </w:tr>
      <w:tr>
        <w:trPr>
          <w:trHeight w:val="216"/>
        </w:trPr>
        <w:tc>
          <w:tcPr>
            <w:tcW w:w="3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0"/>
              </w:rPr>
              <w:t>Compliance Officer, Corporate Secretary and Member of</w:t>
            </w:r>
          </w:p>
        </w:tc>
      </w:tr>
      <w:tr>
        <w:trPr>
          <w:trHeight w:val="216"/>
        </w:trPr>
        <w:tc>
          <w:tcPr>
            <w:tcW w:w="3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 Office of the President</w:t>
            </w:r>
          </w:p>
        </w:tc>
      </w:tr>
      <w:tr>
        <w:trPr>
          <w:trHeight w:val="230"/>
        </w:trPr>
        <w:tc>
          <w:tcPr>
            <w:tcW w:w="34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5, 2020</w:t>
            </w:r>
          </w:p>
        </w:tc>
        <w:tc>
          <w:tcPr>
            <w:tcW w:w="3680" w:type="dxa"/>
            <w:vAlign w:val="bottom"/>
          </w:tcPr>
          <w:p>
            <w:pPr>
              <w:ind w:left="284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440" w:type="dxa"/>
            <w:vAlign w:val="bottom"/>
          </w:tcPr>
          <w:p>
            <w:pPr>
              <w:spacing w:after="0"/>
              <w:rPr>
                <w:sz w:val="16"/>
                <w:szCs w:val="16"/>
                <w:color w:val="auto"/>
              </w:rPr>
            </w:pPr>
          </w:p>
        </w:tc>
        <w:tc>
          <w:tcPr>
            <w:tcW w:w="3680" w:type="dxa"/>
            <w:vAlign w:val="bottom"/>
          </w:tcPr>
          <w:p>
            <w:pPr>
              <w:ind w:left="2840"/>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440" w:type="dxa"/>
            <w:vAlign w:val="bottom"/>
          </w:tcPr>
          <w:p>
            <w:pPr>
              <w:spacing w:after="0"/>
              <w:rPr>
                <w:sz w:val="18"/>
                <w:szCs w:val="18"/>
                <w:color w:val="auto"/>
              </w:rPr>
            </w:pPr>
          </w:p>
        </w:tc>
        <w:tc>
          <w:tcPr>
            <w:tcW w:w="3680" w:type="dxa"/>
            <w:vAlign w:val="bottom"/>
          </w:tcPr>
          <w:p>
            <w:pPr>
              <w:ind w:left="2840"/>
              <w:spacing w:after="0"/>
              <w:rPr>
                <w:sz w:val="20"/>
                <w:szCs w:val="20"/>
                <w:color w:val="auto"/>
              </w:rPr>
            </w:pPr>
            <w:r>
              <w:rPr>
                <w:rFonts w:ascii="Arial" w:cs="Arial" w:eastAsia="Arial" w:hAnsi="Arial"/>
                <w:sz w:val="18"/>
                <w:szCs w:val="18"/>
                <w:color w:val="auto"/>
              </w:rPr>
              <w:t>Title:</w:t>
            </w:r>
          </w:p>
        </w:tc>
        <w:tc>
          <w:tcPr>
            <w:tcW w:w="4120" w:type="dxa"/>
            <w:vAlign w:val="bottom"/>
          </w:tcPr>
          <w:p>
            <w:pPr>
              <w:spacing w:after="0"/>
              <w:rPr>
                <w:sz w:val="20"/>
                <w:szCs w:val="20"/>
                <w:color w:val="auto"/>
              </w:rPr>
            </w:pPr>
            <w:r>
              <w:rPr>
                <w:rFonts w:ascii="Arial" w:cs="Arial" w:eastAsia="Arial" w:hAnsi="Arial"/>
                <w:sz w:val="18"/>
                <w:szCs w:val="18"/>
                <w:color w:val="auto"/>
                <w:w w:val="92"/>
              </w:rPr>
              <w:t>VP, Finance, Chief Financial Officer and Member of the</w:t>
            </w:r>
          </w:p>
        </w:tc>
      </w:tr>
      <w:tr>
        <w:trPr>
          <w:trHeight w:val="216"/>
        </w:trPr>
        <w:tc>
          <w:tcPr>
            <w:tcW w:w="3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Office of the President</w:t>
            </w:r>
          </w:p>
        </w:tc>
      </w:tr>
      <w:tr>
        <w:trPr>
          <w:trHeight w:val="216"/>
        </w:trPr>
        <w:tc>
          <w:tcPr>
            <w:tcW w:w="3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3"/>
              </w:rPr>
              <w:t>(Principal Executive Officer and Principal Financial and</w:t>
            </w:r>
          </w:p>
        </w:tc>
      </w:tr>
      <w:tr>
        <w:trPr>
          <w:trHeight w:val="230"/>
        </w:trPr>
        <w:tc>
          <w:tcPr>
            <w:tcW w:w="34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634"/>
        </w:trPr>
        <w:tc>
          <w:tcPr>
            <w:tcW w:w="3440" w:type="dxa"/>
            <w:vAlign w:val="bottom"/>
          </w:tcPr>
          <w:p>
            <w:pPr>
              <w:spacing w:after="0"/>
              <w:rPr>
                <w:sz w:val="24"/>
                <w:szCs w:val="24"/>
                <w:color w:val="auto"/>
              </w:rPr>
            </w:pPr>
          </w:p>
        </w:tc>
        <w:tc>
          <w:tcPr>
            <w:tcW w:w="3680" w:type="dxa"/>
            <w:vAlign w:val="bottom"/>
          </w:tcPr>
          <w:p>
            <w:pPr>
              <w:ind w:left="2100"/>
              <w:spacing w:after="0"/>
              <w:rPr>
                <w:sz w:val="20"/>
                <w:szCs w:val="20"/>
                <w:color w:val="auto"/>
              </w:rPr>
            </w:pPr>
            <w:r>
              <w:rPr>
                <w:rFonts w:ascii="Arial" w:cs="Arial" w:eastAsia="Arial" w:hAnsi="Arial"/>
                <w:sz w:val="18"/>
                <w:szCs w:val="18"/>
                <w:color w:val="auto"/>
              </w:rPr>
              <w:t>36</w:t>
            </w:r>
          </w:p>
        </w:tc>
        <w:tc>
          <w:tcPr>
            <w:tcW w:w="41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Andrew Macan, certify that:</w:t>
      </w:r>
    </w:p>
    <w:p>
      <w:pPr>
        <w:spacing w:after="0" w:line="117" w:lineRule="exact"/>
        <w:rPr>
          <w:sz w:val="20"/>
          <w:szCs w:val="20"/>
          <w:color w:val="auto"/>
        </w:rPr>
      </w:pPr>
    </w:p>
    <w:p>
      <w:pPr>
        <w:ind w:left="900" w:hanging="892"/>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Neuronetics, Inc.;</w:t>
      </w:r>
    </w:p>
    <w:p>
      <w:pPr>
        <w:spacing w:after="0" w:line="117"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hanging="892"/>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00" w:hanging="892"/>
        <w:spacing w:after="0" w:line="29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800" w:hanging="901"/>
        <w:spacing w:after="0" w:line="286" w:lineRule="auto"/>
        <w:tabs>
          <w:tab w:leader="none" w:pos="18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right="20" w:hanging="901"/>
        <w:spacing w:after="0" w:line="263"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800" w:hanging="901"/>
        <w:spacing w:after="0" w:line="263"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800" w:hanging="901"/>
        <w:spacing w:after="0" w:line="286" w:lineRule="auto"/>
        <w:tabs>
          <w:tab w:leader="none" w:pos="18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900" w:hanging="892"/>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hanging="901"/>
        <w:spacing w:after="0" w:line="342" w:lineRule="auto"/>
        <w:tabs>
          <w:tab w:leader="none" w:pos="18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hanging="901"/>
        <w:spacing w:after="0" w:line="277"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5, 2020</w:t>
            </w:r>
          </w:p>
        </w:tc>
        <w:tc>
          <w:tcPr>
            <w:tcW w:w="2580" w:type="dxa"/>
            <w:vAlign w:val="bottom"/>
          </w:tcPr>
          <w:p>
            <w:pPr>
              <w:ind w:left="186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Andrew Macan</w:t>
            </w:r>
          </w:p>
        </w:tc>
      </w:tr>
      <w:tr>
        <w:trPr>
          <w:trHeight w:val="195"/>
        </w:trPr>
        <w:tc>
          <w:tcPr>
            <w:tcW w:w="3220" w:type="dxa"/>
            <w:vAlign w:val="bottom"/>
          </w:tcPr>
          <w:p>
            <w:pPr>
              <w:spacing w:after="0"/>
              <w:rPr>
                <w:sz w:val="16"/>
                <w:szCs w:val="16"/>
                <w:color w:val="auto"/>
              </w:rPr>
            </w:pPr>
          </w:p>
        </w:tc>
        <w:tc>
          <w:tcPr>
            <w:tcW w:w="2580" w:type="dxa"/>
            <w:vAlign w:val="bottom"/>
          </w:tcPr>
          <w:p>
            <w:pPr>
              <w:ind w:left="1860"/>
              <w:spacing w:after="0" w:line="195" w:lineRule="exact"/>
              <w:rPr>
                <w:sz w:val="20"/>
                <w:szCs w:val="20"/>
                <w:color w:val="auto"/>
              </w:rPr>
            </w:pPr>
            <w:r>
              <w:rPr>
                <w:rFonts w:ascii="Arial" w:cs="Arial" w:eastAsia="Arial" w:hAnsi="Arial"/>
                <w:sz w:val="18"/>
                <w:szCs w:val="18"/>
                <w:color w:val="auto"/>
              </w:rPr>
              <w:t>Name:</w:t>
            </w: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W. Andrew Macan</w:t>
            </w:r>
          </w:p>
        </w:tc>
      </w:tr>
      <w:tr>
        <w:trPr>
          <w:trHeight w:val="216"/>
        </w:trPr>
        <w:tc>
          <w:tcPr>
            <w:tcW w:w="3220" w:type="dxa"/>
            <w:vAlign w:val="bottom"/>
          </w:tcPr>
          <w:p>
            <w:pPr>
              <w:spacing w:after="0"/>
              <w:rPr>
                <w:sz w:val="18"/>
                <w:szCs w:val="18"/>
                <w:color w:val="auto"/>
              </w:rPr>
            </w:pPr>
          </w:p>
        </w:tc>
        <w:tc>
          <w:tcPr>
            <w:tcW w:w="2580" w:type="dxa"/>
            <w:vAlign w:val="bottom"/>
          </w:tcPr>
          <w:p>
            <w:pPr>
              <w:ind w:left="1860"/>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rPr>
              <w:t>Senior Vice President, General Counsel, Chief Compliance Officer,</w:t>
            </w:r>
          </w:p>
        </w:tc>
      </w:tr>
      <w:tr>
        <w:trPr>
          <w:trHeight w:val="216"/>
        </w:trPr>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Corporate Secretary and Member of the Office of the President</w:t>
            </w:r>
          </w:p>
        </w:tc>
      </w:tr>
      <w:tr>
        <w:trPr>
          <w:trHeight w:val="230"/>
        </w:trPr>
        <w:tc>
          <w:tcPr>
            <w:tcW w:w="3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(Co-Principal Executive Officer)</w:t>
            </w:r>
          </w:p>
        </w:tc>
      </w:tr>
    </w:tbl>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Furlong, certify that:</w:t>
      </w:r>
    </w:p>
    <w:p>
      <w:pPr>
        <w:spacing w:after="0" w:line="117" w:lineRule="exact"/>
        <w:rPr>
          <w:sz w:val="20"/>
          <w:szCs w:val="20"/>
          <w:color w:val="auto"/>
        </w:rPr>
      </w:pPr>
    </w:p>
    <w:p>
      <w:pPr>
        <w:ind w:left="900" w:hanging="892"/>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Neuronetics, Inc.;</w:t>
      </w:r>
    </w:p>
    <w:p>
      <w:pPr>
        <w:spacing w:after="0" w:line="117"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hanging="892"/>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00" w:hanging="892"/>
        <w:spacing w:after="0" w:line="29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800" w:hanging="901"/>
        <w:spacing w:after="0" w:line="286" w:lineRule="auto"/>
        <w:tabs>
          <w:tab w:leader="none" w:pos="18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right="20" w:hanging="901"/>
        <w:spacing w:after="0" w:line="263"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800" w:hanging="901"/>
        <w:spacing w:after="0" w:line="263"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800" w:hanging="901"/>
        <w:spacing w:after="0" w:line="286" w:lineRule="auto"/>
        <w:tabs>
          <w:tab w:leader="none" w:pos="18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900" w:hanging="892"/>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hanging="901"/>
        <w:spacing w:after="0" w:line="342" w:lineRule="auto"/>
        <w:tabs>
          <w:tab w:leader="none" w:pos="18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hanging="901"/>
        <w:spacing w:after="0" w:line="277"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5, 2020</w:t>
            </w:r>
          </w:p>
        </w:tc>
        <w:tc>
          <w:tcPr>
            <w:tcW w:w="2580" w:type="dxa"/>
            <w:vAlign w:val="bottom"/>
          </w:tcPr>
          <w:p>
            <w:pPr>
              <w:ind w:left="186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220" w:type="dxa"/>
            <w:vAlign w:val="bottom"/>
          </w:tcPr>
          <w:p>
            <w:pPr>
              <w:spacing w:after="0"/>
              <w:rPr>
                <w:sz w:val="16"/>
                <w:szCs w:val="16"/>
                <w:color w:val="auto"/>
              </w:rPr>
            </w:pPr>
          </w:p>
        </w:tc>
        <w:tc>
          <w:tcPr>
            <w:tcW w:w="2580" w:type="dxa"/>
            <w:vAlign w:val="bottom"/>
          </w:tcPr>
          <w:p>
            <w:pPr>
              <w:ind w:left="1860"/>
              <w:spacing w:after="0" w:line="195" w:lineRule="exact"/>
              <w:rPr>
                <w:sz w:val="20"/>
                <w:szCs w:val="20"/>
                <w:color w:val="auto"/>
              </w:rPr>
            </w:pPr>
            <w:r>
              <w:rPr>
                <w:rFonts w:ascii="Arial" w:cs="Arial" w:eastAsia="Arial" w:hAnsi="Arial"/>
                <w:sz w:val="18"/>
                <w:szCs w:val="18"/>
                <w:color w:val="auto"/>
              </w:rPr>
              <w:t>Name:</w:t>
            </w: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220" w:type="dxa"/>
            <w:vAlign w:val="bottom"/>
          </w:tcPr>
          <w:p>
            <w:pPr>
              <w:spacing w:after="0"/>
              <w:rPr>
                <w:sz w:val="18"/>
                <w:szCs w:val="18"/>
                <w:color w:val="auto"/>
              </w:rPr>
            </w:pPr>
          </w:p>
        </w:tc>
        <w:tc>
          <w:tcPr>
            <w:tcW w:w="2580" w:type="dxa"/>
            <w:vAlign w:val="bottom"/>
          </w:tcPr>
          <w:p>
            <w:pPr>
              <w:ind w:left="1860"/>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w w:val="99"/>
              </w:rPr>
              <w:t>VP, Finance, Chief Financial Officer and Member of the Office of the</w:t>
            </w:r>
          </w:p>
        </w:tc>
      </w:tr>
      <w:tr>
        <w:trPr>
          <w:trHeight w:val="216"/>
        </w:trPr>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6"/>
              </w:rPr>
              <w:t>(Co-Principal Executive Officer and Principal Financial and Accounting</w:t>
            </w:r>
          </w:p>
        </w:tc>
      </w:tr>
      <w:tr>
        <w:trPr>
          <w:trHeight w:val="230"/>
        </w:trPr>
        <w:tc>
          <w:tcPr>
            <w:tcW w:w="3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March 31, 2020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44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May 5, 2020</w:t>
            </w:r>
          </w:p>
        </w:tc>
        <w:tc>
          <w:tcPr>
            <w:tcW w:w="3080" w:type="dxa"/>
            <w:vAlign w:val="bottom"/>
          </w:tcPr>
          <w:p>
            <w:pPr>
              <w:ind w:left="24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Andrew Macan</w:t>
            </w:r>
          </w:p>
        </w:tc>
      </w:tr>
      <w:tr>
        <w:trPr>
          <w:trHeight w:val="188"/>
        </w:trPr>
        <w:tc>
          <w:tcPr>
            <w:tcW w:w="3780" w:type="dxa"/>
            <w:vAlign w:val="bottom"/>
          </w:tcPr>
          <w:p>
            <w:pPr>
              <w:spacing w:after="0"/>
              <w:rPr>
                <w:sz w:val="16"/>
                <w:szCs w:val="16"/>
                <w:color w:val="auto"/>
              </w:rPr>
            </w:pPr>
          </w:p>
        </w:tc>
        <w:tc>
          <w:tcPr>
            <w:tcW w:w="3080" w:type="dxa"/>
            <w:vAlign w:val="bottom"/>
          </w:tcPr>
          <w:p>
            <w:pPr>
              <w:ind w:left="2420"/>
              <w:spacing w:after="0" w:line="189"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89" w:lineRule="exact"/>
              <w:rPr>
                <w:sz w:val="20"/>
                <w:szCs w:val="20"/>
                <w:color w:val="auto"/>
              </w:rPr>
            </w:pPr>
            <w:r>
              <w:rPr>
                <w:rFonts w:ascii="Arial" w:cs="Arial" w:eastAsia="Arial" w:hAnsi="Arial"/>
                <w:sz w:val="18"/>
                <w:szCs w:val="18"/>
                <w:color w:val="auto"/>
              </w:rPr>
              <w:t>W. Andrew Macan</w:t>
            </w:r>
          </w:p>
        </w:tc>
      </w:tr>
      <w:tr>
        <w:trPr>
          <w:trHeight w:val="243"/>
        </w:trPr>
        <w:tc>
          <w:tcPr>
            <w:tcW w:w="3780" w:type="dxa"/>
            <w:vAlign w:val="bottom"/>
          </w:tcPr>
          <w:p>
            <w:pPr>
              <w:spacing w:after="0"/>
              <w:rPr>
                <w:sz w:val="21"/>
                <w:szCs w:val="21"/>
                <w:color w:val="auto"/>
              </w:rPr>
            </w:pPr>
          </w:p>
        </w:tc>
        <w:tc>
          <w:tcPr>
            <w:tcW w:w="3080" w:type="dxa"/>
            <w:vAlign w:val="bottom"/>
          </w:tcPr>
          <w:p>
            <w:pPr>
              <w:ind w:left="242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6"/>
              </w:rPr>
              <w:t>Senior Vice President, General Counsel, Chief</w:t>
            </w:r>
          </w:p>
        </w:tc>
      </w:tr>
      <w:tr>
        <w:trPr>
          <w:trHeight w:val="243"/>
        </w:trPr>
        <w:tc>
          <w:tcPr>
            <w:tcW w:w="37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9"/>
              </w:rPr>
              <w:t>Compliance Officer, Corporate Secretary and</w:t>
            </w:r>
          </w:p>
        </w:tc>
      </w:tr>
      <w:tr>
        <w:trPr>
          <w:trHeight w:val="243"/>
        </w:trPr>
        <w:tc>
          <w:tcPr>
            <w:tcW w:w="37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rPr>
              <w:t>Member of the Office of the President(Co-</w:t>
            </w:r>
          </w:p>
        </w:tc>
      </w:tr>
      <w:tr>
        <w:trPr>
          <w:trHeight w:val="274"/>
        </w:trPr>
        <w:tc>
          <w:tcPr>
            <w:tcW w:w="37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Principal Executive Officer)</w:t>
            </w: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March 31, 2020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44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May 5, 2020</w:t>
            </w:r>
          </w:p>
        </w:tc>
        <w:tc>
          <w:tcPr>
            <w:tcW w:w="3080" w:type="dxa"/>
            <w:vAlign w:val="bottom"/>
          </w:tcPr>
          <w:p>
            <w:pPr>
              <w:ind w:left="24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88"/>
        </w:trPr>
        <w:tc>
          <w:tcPr>
            <w:tcW w:w="3780" w:type="dxa"/>
            <w:vAlign w:val="bottom"/>
          </w:tcPr>
          <w:p>
            <w:pPr>
              <w:spacing w:after="0"/>
              <w:rPr>
                <w:sz w:val="16"/>
                <w:szCs w:val="16"/>
                <w:color w:val="auto"/>
              </w:rPr>
            </w:pPr>
          </w:p>
        </w:tc>
        <w:tc>
          <w:tcPr>
            <w:tcW w:w="3080" w:type="dxa"/>
            <w:vAlign w:val="bottom"/>
          </w:tcPr>
          <w:p>
            <w:pPr>
              <w:ind w:left="2420"/>
              <w:spacing w:after="0" w:line="189"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89" w:lineRule="exact"/>
              <w:rPr>
                <w:sz w:val="20"/>
                <w:szCs w:val="20"/>
                <w:color w:val="auto"/>
              </w:rPr>
            </w:pPr>
            <w:r>
              <w:rPr>
                <w:rFonts w:ascii="Arial" w:cs="Arial" w:eastAsia="Arial" w:hAnsi="Arial"/>
                <w:sz w:val="18"/>
                <w:szCs w:val="18"/>
                <w:color w:val="auto"/>
              </w:rPr>
              <w:t>Stephen Furlong</w:t>
            </w:r>
          </w:p>
        </w:tc>
      </w:tr>
      <w:tr>
        <w:trPr>
          <w:trHeight w:val="243"/>
        </w:trPr>
        <w:tc>
          <w:tcPr>
            <w:tcW w:w="3780" w:type="dxa"/>
            <w:vAlign w:val="bottom"/>
          </w:tcPr>
          <w:p>
            <w:pPr>
              <w:spacing w:after="0"/>
              <w:rPr>
                <w:sz w:val="21"/>
                <w:szCs w:val="21"/>
                <w:color w:val="auto"/>
              </w:rPr>
            </w:pPr>
          </w:p>
        </w:tc>
        <w:tc>
          <w:tcPr>
            <w:tcW w:w="3080" w:type="dxa"/>
            <w:vAlign w:val="bottom"/>
          </w:tcPr>
          <w:p>
            <w:pPr>
              <w:ind w:left="242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1"/>
              </w:rPr>
              <w:t>VP, Finance, Chief Financial Officer and Member</w:t>
            </w:r>
          </w:p>
        </w:tc>
      </w:tr>
      <w:tr>
        <w:trPr>
          <w:trHeight w:val="243"/>
        </w:trPr>
        <w:tc>
          <w:tcPr>
            <w:tcW w:w="37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rPr>
              <w:t>of the Office of the President(Co-Principal</w:t>
            </w:r>
          </w:p>
        </w:tc>
      </w:tr>
      <w:tr>
        <w:trPr>
          <w:trHeight w:val="243"/>
        </w:trPr>
        <w:tc>
          <w:tcPr>
            <w:tcW w:w="37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9"/>
              </w:rPr>
              <w:t>Executive Officer and Principal Financial and</w:t>
            </w:r>
          </w:p>
        </w:tc>
      </w:tr>
      <w:tr>
        <w:trPr>
          <w:trHeight w:val="274"/>
        </w:trPr>
        <w:tc>
          <w:tcPr>
            <w:tcW w:w="37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Accounting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lowerRoman"/>
      <w:start w:val="1"/>
    </w:lvl>
  </w:abstractNum>
  <w:abstractNum w:abstractNumId="12">
    <w:nsid w:val="436C6125"/>
    <w:multiLevelType w:val="hybridMultilevel"/>
    <w:lvl w:ilvl="0">
      <w:lvlJc w:val="left"/>
      <w:lvlText w:val="(%1)"/>
      <w:numFmt w:val="lowerRoman"/>
      <w:start w:val="10"/>
    </w:lvl>
  </w:abstractNum>
  <w:abstractNum w:abstractNumId="13">
    <w:nsid w:val="628C895D"/>
    <w:multiLevelType w:val="hybridMultilevel"/>
    <w:lvl w:ilvl="0">
      <w:lvlJc w:val="left"/>
      <w:lvlText w:val="%1."/>
      <w:numFmt w:val="decimal"/>
      <w:start w:val="13"/>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6"/>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1)"/>
      <w:numFmt w:val="lowerRoman"/>
      <w:start w:val="10"/>
    </w:lvl>
  </w:abstractNum>
  <w:abstractNum w:abstractNumId="20">
    <w:nsid w:val="8EDBDAB"/>
    <w:multiLevelType w:val="hybridMultilevel"/>
    <w:lvl w:ilvl="0">
      <w:lvlJc w:val="left"/>
      <w:lvlText w:val="(%1)"/>
      <w:numFmt w:val="lowerRoman"/>
      <w:start w:val="2"/>
    </w:lvl>
  </w:abstractNum>
  <w:abstractNum w:abstractNumId="21">
    <w:nsid w:val="79838CB2"/>
    <w:multiLevelType w:val="hybridMultilevel"/>
    <w:lvl w:ilvl="0">
      <w:lvlJc w:val="left"/>
      <w:lvlText w:val="%1"/>
      <w:numFmt w:val="upperLetter"/>
      <w:start w:val="68"/>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3" Type="http://schemas.openxmlformats.org/officeDocument/2006/relationships/hyperlink" Target="http://www.sec.gov/Archives/edgar/data/1227636/000119312520059619/d8956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2020-05-05T15:21:13Z</dcterms:created>
  <dcterms:modified xsi:type="dcterms:W3CDTF">2020-05-05T15:21:13Z</dcterms:modified>
</cp:coreProperties>
</file>