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-144780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9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96" w:lineRule="exact"/>
        <w:rPr>
          <w:sz w:val="24"/>
          <w:szCs w:val="24"/>
          <w:color w:val="auto"/>
        </w:rPr>
      </w:pPr>
    </w:p>
    <w:p>
      <w:pPr>
        <w:ind w:left="700" w:right="499" w:hanging="650"/>
        <w:spacing w:after="0" w:line="258" w:lineRule="auto"/>
        <w:tabs>
          <w:tab w:leader="none" w:pos="7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 OF THE SECURITIES EXCHANGE ACT OF 1934 For the quarterly period ended June 30, 2021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82" w:lineRule="exact"/>
        <w:rPr>
          <w:sz w:val="24"/>
          <w:szCs w:val="24"/>
          <w:color w:val="auto"/>
        </w:rPr>
      </w:pPr>
    </w:p>
    <w:p>
      <w:pPr>
        <w:ind w:left="700" w:right="499" w:hanging="650"/>
        <w:spacing w:after="0" w:line="258" w:lineRule="auto"/>
        <w:tabs>
          <w:tab w:leader="none" w:pos="70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 to 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137795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NEURONETICS, INC.</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118745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70" w:lineRule="exact"/>
        <w:rPr>
          <w:sz w:val="24"/>
          <w:szCs w:val="24"/>
          <w:color w:val="auto"/>
        </w:rPr>
      </w:pPr>
    </w:p>
    <w:tbl>
      <w:tblPr>
        <w:tblLayout w:type="fixed"/>
        <w:tblInd w:w="1020" w:type="dxa"/>
        <w:tblCellMar>
          <w:top w:w="0" w:type="dxa"/>
          <w:left w:w="0" w:type="dxa"/>
          <w:bottom w:w="0" w:type="dxa"/>
          <w:right w:w="0" w:type="dxa"/>
        </w:tblCellMar>
      </w:tblPr>
      <w:tr>
        <w:trPr>
          <w:trHeight w:val="172"/>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375"/>
              <w:spacing w:after="0"/>
              <w:rPr>
                <w:sz w:val="20"/>
                <w:szCs w:val="20"/>
                <w:color w:val="auto"/>
              </w:rPr>
            </w:pPr>
            <w:r>
              <w:rPr>
                <w:rFonts w:ascii="Arial" w:cs="Arial" w:eastAsia="Arial" w:hAnsi="Arial"/>
                <w:sz w:val="14"/>
                <w:szCs w:val="14"/>
                <w:b w:val="1"/>
                <w:bCs w:val="1"/>
                <w:color w:val="auto"/>
              </w:rPr>
              <w:t>33-1051425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8"/>
              </w:rPr>
              <w:t>(State or other jurisdiction of</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8"/>
              </w:rPr>
              <w:t>(I.R.S. Employer Identification No.)</w:t>
            </w:r>
          </w:p>
        </w:tc>
      </w:tr>
      <w:tr>
        <w:trPr>
          <w:trHeight w:val="135"/>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incorporation or organization)</w:t>
            </w:r>
          </w:p>
        </w:tc>
        <w:tc>
          <w:tcPr>
            <w:tcW w:w="3780" w:type="dxa"/>
            <w:vAlign w:val="bottom"/>
          </w:tcPr>
          <w:p>
            <w:pPr>
              <w:spacing w:after="0"/>
              <w:rPr>
                <w:sz w:val="11"/>
                <w:szCs w:val="11"/>
                <w:color w:val="auto"/>
              </w:rPr>
            </w:pPr>
          </w:p>
        </w:tc>
      </w:tr>
      <w:tr>
        <w:trPr>
          <w:trHeight w:val="316"/>
        </w:trPr>
        <w:tc>
          <w:tcPr>
            <w:tcW w:w="2760" w:type="dxa"/>
            <w:vAlign w:val="bottom"/>
          </w:tcPr>
          <w:p>
            <w:pPr>
              <w:jc w:val="center"/>
              <w:ind w:right="178"/>
              <w:spacing w:after="0"/>
              <w:rPr>
                <w:sz w:val="20"/>
                <w:szCs w:val="20"/>
                <w:color w:val="auto"/>
              </w:rPr>
            </w:pPr>
            <w:r>
              <w:rPr>
                <w:rFonts w:ascii="Arial" w:cs="Arial" w:eastAsia="Arial" w:hAnsi="Arial"/>
                <w:sz w:val="14"/>
                <w:szCs w:val="14"/>
                <w:b w:val="1"/>
                <w:bCs w:val="1"/>
                <w:color w:val="auto"/>
              </w:rPr>
              <w:t>3222 Phoenixville Pike, Malvern, PA</w:t>
            </w:r>
          </w:p>
        </w:tc>
        <w:tc>
          <w:tcPr>
            <w:tcW w:w="3780" w:type="dxa"/>
            <w:vAlign w:val="bottom"/>
          </w:tcPr>
          <w:p>
            <w:pPr>
              <w:jc w:val="right"/>
              <w:ind w:right="555"/>
              <w:spacing w:after="0"/>
              <w:rPr>
                <w:sz w:val="20"/>
                <w:szCs w:val="20"/>
                <w:color w:val="auto"/>
              </w:rPr>
            </w:pPr>
            <w:r>
              <w:rPr>
                <w:rFonts w:ascii="Arial" w:cs="Arial" w:eastAsia="Arial" w:hAnsi="Arial"/>
                <w:sz w:val="14"/>
                <w:szCs w:val="14"/>
                <w:b w:val="1"/>
                <w:bCs w:val="1"/>
                <w:color w:val="auto"/>
              </w:rPr>
              <w:t>19355</w:t>
            </w: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(Address of principal executive offices)</w:t>
            </w:r>
          </w:p>
        </w:tc>
        <w:tc>
          <w:tcPr>
            <w:tcW w:w="3780" w:type="dxa"/>
            <w:vAlign w:val="bottom"/>
          </w:tcPr>
          <w:p>
            <w:pPr>
              <w:jc w:val="center"/>
              <w:ind w:left="2055"/>
              <w:spacing w:after="0"/>
              <w:rPr>
                <w:sz w:val="20"/>
                <w:szCs w:val="20"/>
                <w:color w:val="auto"/>
              </w:rPr>
            </w:pPr>
            <w:r>
              <w:rPr>
                <w:rFonts w:ascii="Arial" w:cs="Arial" w:eastAsia="Arial" w:hAnsi="Arial"/>
                <w:sz w:val="11"/>
                <w:szCs w:val="11"/>
                <w:color w:val="auto"/>
                <w:w w:val="96"/>
              </w:rPr>
              <w:t>(Zip Code)</w:t>
            </w:r>
          </w:p>
        </w:tc>
      </w:tr>
      <w:tr>
        <w:trPr>
          <w:trHeight w:val="221"/>
        </w:trPr>
        <w:tc>
          <w:tcPr>
            <w:tcW w:w="2760" w:type="dxa"/>
            <w:vAlign w:val="bottom"/>
          </w:tcPr>
          <w:p>
            <w:pPr>
              <w:jc w:val="center"/>
              <w:ind w:right="158"/>
              <w:spacing w:after="0"/>
              <w:rPr>
                <w:sz w:val="20"/>
                <w:szCs w:val="20"/>
                <w:color w:val="auto"/>
              </w:rPr>
            </w:pPr>
            <w:r>
              <w:rPr>
                <w:rFonts w:ascii="Arial" w:cs="Arial" w:eastAsia="Arial" w:hAnsi="Arial"/>
                <w:sz w:val="14"/>
                <w:szCs w:val="14"/>
                <w:b w:val="1"/>
                <w:bCs w:val="1"/>
                <w:color w:val="auto"/>
              </w:rPr>
              <w:t>(610) 640-4202</w:t>
            </w:r>
          </w:p>
        </w:tc>
        <w:tc>
          <w:tcPr>
            <w:tcW w:w="3780" w:type="dxa"/>
            <w:vAlign w:val="bottom"/>
          </w:tcPr>
          <w:p>
            <w:pPr>
              <w:spacing w:after="0"/>
              <w:rPr>
                <w:sz w:val="19"/>
                <w:szCs w:val="19"/>
                <w:color w:val="auto"/>
              </w:rPr>
            </w:pPr>
          </w:p>
        </w:tc>
      </w:tr>
      <w:tr>
        <w:trPr>
          <w:trHeight w:val="130"/>
        </w:trPr>
        <w:tc>
          <w:tcPr>
            <w:tcW w:w="2760" w:type="dxa"/>
            <w:vAlign w:val="bottom"/>
          </w:tcPr>
          <w:p>
            <w:pPr>
              <w:jc w:val="center"/>
              <w:ind w:right="178"/>
              <w:spacing w:after="0"/>
              <w:rPr>
                <w:sz w:val="20"/>
                <w:szCs w:val="20"/>
                <w:color w:val="auto"/>
              </w:rPr>
            </w:pPr>
            <w:r>
              <w:rPr>
                <w:rFonts w:ascii="Arial" w:cs="Arial" w:eastAsia="Arial" w:hAnsi="Arial"/>
                <w:sz w:val="11"/>
                <w:szCs w:val="11"/>
                <w:color w:val="auto"/>
                <w:w w:val="97"/>
              </w:rPr>
              <w:t>(Registrant’s telephone number, including area code)</w:t>
            </w:r>
          </w:p>
        </w:tc>
        <w:tc>
          <w:tcPr>
            <w:tcW w:w="3780" w:type="dxa"/>
            <w:vAlign w:val="bottom"/>
          </w:tcPr>
          <w:p>
            <w:pPr>
              <w:spacing w:after="0"/>
              <w:rPr>
                <w:sz w:val="11"/>
                <w:szCs w:val="11"/>
                <w:color w:val="auto"/>
              </w:rPr>
            </w:pPr>
          </w:p>
        </w:tc>
      </w:tr>
      <w:tr>
        <w:trPr>
          <w:trHeight w:val="253"/>
        </w:trPr>
        <w:tc>
          <w:tcPr>
            <w:tcW w:w="2760" w:type="dxa"/>
            <w:vAlign w:val="bottom"/>
          </w:tcPr>
          <w:p>
            <w:pPr>
              <w:spacing w:after="0"/>
              <w:rPr>
                <w:sz w:val="22"/>
                <w:szCs w:val="22"/>
                <w:color w:val="auto"/>
              </w:rPr>
            </w:pPr>
          </w:p>
        </w:tc>
        <w:tc>
          <w:tcPr>
            <w:tcW w:w="3780" w:type="dxa"/>
            <w:vAlign w:val="bottom"/>
          </w:tcPr>
          <w:p>
            <w:pPr>
              <w:ind w:left="220"/>
              <w:spacing w:after="0"/>
              <w:rPr>
                <w:sz w:val="20"/>
                <w:szCs w:val="20"/>
                <w:color w:val="auto"/>
              </w:rPr>
            </w:pPr>
            <w:r>
              <w:rPr>
                <w:rFonts w:ascii="Arial" w:cs="Arial" w:eastAsia="Arial" w:hAnsi="Arial"/>
                <w:sz w:val="14"/>
                <w:szCs w:val="14"/>
                <w:b w:val="1"/>
                <w:bCs w:val="1"/>
                <w:color w:val="auto"/>
              </w:rPr>
              <w:t>Not applicable.</w:t>
            </w: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(Former name, former address and former fiscal year, if changed since last report)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228"/>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Trading</w:t>
            </w:r>
          </w:p>
        </w:tc>
        <w:tc>
          <w:tcPr>
            <w:tcW w:w="3780" w:type="dxa"/>
            <w:vAlign w:val="bottom"/>
          </w:tcPr>
          <w:p>
            <w:pPr>
              <w:spacing w:after="0"/>
              <w:rPr>
                <w:sz w:val="19"/>
                <w:szCs w:val="19"/>
                <w:color w:val="auto"/>
              </w:rPr>
            </w:pPr>
          </w:p>
        </w:tc>
      </w:tr>
      <w:tr>
        <w:trPr>
          <w:trHeight w:val="17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 (s)</w:t>
            </w:r>
          </w:p>
        </w:tc>
        <w:tc>
          <w:tcPr>
            <w:tcW w:w="260" w:type="dxa"/>
            <w:vAlign w:val="bottom"/>
          </w:tcPr>
          <w:p>
            <w:pPr>
              <w:spacing w:after="0"/>
              <w:rPr>
                <w:sz w:val="15"/>
                <w:szCs w:val="15"/>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on each exchange on which registered</w:t>
            </w:r>
          </w:p>
        </w:tc>
      </w:tr>
      <w:tr>
        <w:trPr>
          <w:trHeight w:val="170"/>
        </w:trPr>
        <w:tc>
          <w:tcPr>
            <w:tcW w:w="3740" w:type="dxa"/>
            <w:vAlign w:val="bottom"/>
            <w:gridSpan w:val="2"/>
          </w:tcPr>
          <w:p>
            <w:pPr>
              <w:jc w:val="center"/>
              <w:ind w:right="200"/>
              <w:spacing w:after="0"/>
              <w:rPr>
                <w:sz w:val="20"/>
                <w:szCs w:val="20"/>
                <w:color w:val="auto"/>
              </w:rPr>
            </w:pPr>
            <w:r>
              <w:rPr>
                <w:rFonts w:ascii="Arial" w:cs="Arial" w:eastAsia="Arial" w:hAnsi="Arial"/>
                <w:sz w:val="14"/>
                <w:szCs w:val="14"/>
                <w:color w:val="auto"/>
              </w:rPr>
              <w:t>Common Stock ($0.01 par value)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STIM</w:t>
            </w:r>
          </w:p>
        </w:tc>
        <w:tc>
          <w:tcPr>
            <w:tcW w:w="378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110490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1"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2380" w:type="dxa"/>
            <w:vAlign w:val="bottom"/>
          </w:tcPr>
          <w:p>
            <w:pPr>
              <w:ind w:left="2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4"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There were 26,318,346 shares of the registrant’s common stock outstanding as of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NEURONETICS, INC.</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40" w:type="dxa"/>
            <w:vAlign w:val="bottom"/>
            <w:gridSpan w:val="24"/>
          </w:tcPr>
          <w:p>
            <w:pPr>
              <w:jc w:val="center"/>
              <w:ind w:right="460"/>
              <w:spacing w:after="0"/>
              <w:rPr>
                <w:sz w:val="20"/>
                <w:szCs w:val="20"/>
                <w:color w:val="auto"/>
              </w:rPr>
            </w:pPr>
            <w:r>
              <w:rPr>
                <w:rFonts w:ascii="Arial" w:cs="Arial" w:eastAsia="Arial" w:hAnsi="Arial"/>
                <w:sz w:val="16"/>
                <w:szCs w:val="16"/>
                <w:b w:val="1"/>
                <w:bCs w:val="1"/>
                <w:color w:val="auto"/>
              </w:rPr>
              <w:t xml:space="preserve">Quarterly Report on </w:t>
            </w:r>
            <w:r>
              <w:rPr>
                <w:rFonts w:ascii="Arial" w:cs="Arial" w:eastAsia="Arial" w:hAnsi="Arial"/>
                <w:sz w:val="17"/>
                <w:szCs w:val="17"/>
                <w:b w:val="1"/>
                <w:bCs w:val="1"/>
                <w:color w:val="auto"/>
              </w:rPr>
              <w:t>Form</w:t>
            </w:r>
            <w:r>
              <w:rPr>
                <w:rFonts w:ascii="Arial" w:cs="Arial" w:eastAsia="Arial" w:hAnsi="Arial"/>
                <w:sz w:val="16"/>
                <w:szCs w:val="16"/>
                <w:b w:val="1"/>
                <w:bCs w:val="1"/>
                <w:color w:val="auto"/>
              </w:rPr>
              <w:t xml:space="preserve"> 10-Q for the quarterly period ended June 30, 2021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gridSpan w:val="12"/>
          </w:tcPr>
          <w:p>
            <w:pPr>
              <w:jc w:val="center"/>
              <w:ind w:right="2640"/>
              <w:spacing w:after="0"/>
              <w:rPr>
                <w:sz w:val="20"/>
                <w:szCs w:val="20"/>
                <w:color w:val="auto"/>
              </w:rPr>
            </w:pPr>
            <w:r>
              <w:rPr>
                <w:rFonts w:ascii="Arial" w:cs="Arial" w:eastAsia="Arial" w:hAnsi="Arial"/>
                <w:sz w:val="16"/>
                <w:szCs w:val="16"/>
                <w:b w:val="1"/>
                <w:bCs w:val="1"/>
                <w:color w:val="auto"/>
              </w:rPr>
              <w:t>Table of Contents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00" w:type="dxa"/>
            <w:vAlign w:val="bottom"/>
            <w:gridSpan w:val="17"/>
            <w:vMerge w:val="restart"/>
          </w:tcPr>
          <w:p>
            <w:pPr>
              <w:jc w:val="center"/>
              <w:ind w:right="236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00" w:type="dxa"/>
            <w:vAlign w:val="bottom"/>
            <w:gridSpan w:val="17"/>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190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3060" w:type="dxa"/>
            <w:vAlign w:val="bottom"/>
            <w:tcBorders>
              <w:top w:val="single" w:sz="8" w:color="0000EE"/>
            </w:tcBorders>
            <w:gridSpan w:val="8"/>
          </w:tcPr>
          <w:p>
            <w:pPr>
              <w:spacing w:after="0"/>
              <w:rPr>
                <w:sz w:val="24"/>
                <w:szCs w:val="24"/>
                <w:color w:val="auto"/>
              </w:rPr>
            </w:pPr>
          </w:p>
        </w:tc>
        <w:tc>
          <w:tcPr>
            <w:tcW w:w="24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8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Balance Sheets as of</w:t>
              </w:r>
            </w:hyperlink>
          </w:p>
        </w:tc>
        <w:tc>
          <w:tcPr>
            <w:tcW w:w="3220" w:type="dxa"/>
            <w:vAlign w:val="bottom"/>
            <w:tcBorders>
              <w:bottom w:val="single" w:sz="8" w:color="0000EE"/>
            </w:tcBorders>
            <w:gridSpan w:val="10"/>
          </w:tcPr>
          <w:p>
            <w:pPr>
              <w:jc w:val="cente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June 30, 2021 and December 31, 2020</w:t>
              </w:r>
            </w:hyperlink>
          </w:p>
        </w:tc>
        <w:tc>
          <w:tcPr>
            <w:tcW w:w="2280" w:type="dxa"/>
            <w:vAlign w:val="bottom"/>
            <w:gridSpan w:val="7"/>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Statements of Operations for the Three and Six Months ended June 30, 2021 and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4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Statements of Changes in Stockholders’ Equity for the Three and Six Months ended</w:t>
              </w:r>
            </w:hyperlink>
          </w:p>
        </w:tc>
        <w:tc>
          <w:tcPr>
            <w:tcW w:w="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June 30, 2021 and 2020</w:t>
              </w:r>
            </w:hyperlink>
          </w:p>
        </w:tc>
        <w:tc>
          <w:tcPr>
            <w:tcW w:w="5160" w:type="dxa"/>
            <w:vAlign w:val="bottom"/>
            <w:tcBorders>
              <w:top w:val="single" w:sz="8" w:color="0000EE"/>
            </w:tcBorders>
            <w:gridSpan w:val="13"/>
          </w:tcPr>
          <w:p>
            <w:pPr>
              <w:spacing w:after="0"/>
              <w:rPr>
                <w:sz w:val="15"/>
                <w:szCs w:val="15"/>
                <w:color w:val="auto"/>
              </w:rPr>
            </w:pPr>
          </w:p>
        </w:tc>
        <w:tc>
          <w:tcPr>
            <w:tcW w:w="200" w:type="dxa"/>
            <w:vAlign w:val="bottom"/>
            <w:gridSpan w:val="2"/>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Statements of Cash Flows for the Six Months ended June 30, 2021 and 2020</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8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Notes to Interim Financial Statements</w:t>
              </w:r>
            </w:hyperlink>
          </w:p>
        </w:tc>
        <w:tc>
          <w:tcPr>
            <w:tcW w:w="180" w:type="dxa"/>
            <w:vAlign w:val="bottom"/>
          </w:tcPr>
          <w:p>
            <w:pPr>
              <w:spacing w:after="0"/>
              <w:rPr>
                <w:sz w:val="15"/>
                <w:szCs w:val="15"/>
                <w:color w:val="auto"/>
              </w:rPr>
            </w:pPr>
          </w:p>
        </w:tc>
        <w:tc>
          <w:tcPr>
            <w:tcW w:w="70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gridSpan w:val="5"/>
            <w:vMerge w:val="restart"/>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2.</w:t>
              </w:r>
            </w:hyperlink>
          </w:p>
        </w:tc>
        <w:tc>
          <w:tcPr>
            <w:tcW w:w="7360" w:type="dxa"/>
            <w:vAlign w:val="bottom"/>
            <w:gridSpan w:val="25"/>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Management’s Discussion and Analysis of Financial Condition and Results of</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183"/>
        </w:trPr>
        <w:tc>
          <w:tcPr>
            <w:tcW w:w="980" w:type="dxa"/>
            <w:vAlign w:val="bottom"/>
            <w:gridSpan w:val="5"/>
            <w:vMerge w:val="continue"/>
          </w:tcPr>
          <w:p>
            <w:pPr>
              <w:spacing w:after="0"/>
              <w:rPr>
                <w:sz w:val="15"/>
                <w:szCs w:val="15"/>
                <w:color w:val="auto"/>
              </w:rPr>
            </w:pPr>
          </w:p>
        </w:tc>
        <w:tc>
          <w:tcPr>
            <w:tcW w:w="666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Operations.</w:t>
              </w:r>
            </w:hyperlink>
          </w:p>
        </w:tc>
        <w:tc>
          <w:tcPr>
            <w:tcW w:w="700" w:type="dxa"/>
            <w:vAlign w:val="bottom"/>
            <w:gridSpan w:val="3"/>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3.</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top w:val="single" w:sz="8" w:color="0000EE"/>
            </w:tcBorders>
            <w:gridSpan w:val="2"/>
          </w:tcPr>
          <w:p>
            <w:pPr>
              <w:spacing w:after="0" w:line="182" w:lineRule="exact"/>
              <w:rPr>
                <w:rFonts w:ascii="Arial" w:cs="Arial" w:eastAsia="Arial" w:hAnsi="Arial"/>
                <w:sz w:val="18"/>
                <w:szCs w:val="18"/>
                <w:b w:val="1"/>
                <w:bCs w:val="1"/>
                <w:color w:val="0000EE"/>
                <w:w w:val="92"/>
              </w:rPr>
            </w:pPr>
            <w:hyperlink w:anchor="page38">
              <w:r>
                <w:rPr>
                  <w:rFonts w:ascii="Arial" w:cs="Arial" w:eastAsia="Arial" w:hAnsi="Arial"/>
                  <w:sz w:val="18"/>
                  <w:szCs w:val="18"/>
                  <w:b w:val="1"/>
                  <w:bCs w:val="1"/>
                  <w:color w:val="0000EE"/>
                  <w:w w:val="92"/>
                </w:rPr>
                <w:t>Quantitative</w:t>
              </w:r>
            </w:hyperlink>
          </w:p>
        </w:tc>
        <w:tc>
          <w:tcPr>
            <w:tcW w:w="80" w:type="dxa"/>
            <w:vAlign w:val="bottom"/>
          </w:tcPr>
          <w:p>
            <w:pPr>
              <w:spacing w:after="0"/>
              <w:rPr>
                <w:sz w:val="15"/>
                <w:szCs w:val="15"/>
                <w:color w:val="auto"/>
              </w:rPr>
            </w:pPr>
          </w:p>
        </w:tc>
        <w:tc>
          <w:tcPr>
            <w:tcW w:w="6280" w:type="dxa"/>
            <w:vAlign w:val="bottom"/>
            <w:gridSpan w:val="21"/>
          </w:tcPr>
          <w:p>
            <w:pPr>
              <w:ind w:left="20"/>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and Qualitative Disclosures About Market Risk.</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Item 4.</w:t>
              </w:r>
            </w:hyperlink>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Controls and Procedures.</w:t>
              </w:r>
            </w:hyperlink>
          </w:p>
        </w:tc>
        <w:tc>
          <w:tcPr>
            <w:tcW w:w="100" w:type="dxa"/>
            <w:vAlign w:val="bottom"/>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20" w:type="dxa"/>
            <w:vAlign w:val="bottom"/>
            <w:gridSpan w:val="14"/>
          </w:tcPr>
          <w:p>
            <w:pPr>
              <w:jc w:val="center"/>
              <w:ind w:right="2560"/>
              <w:spacing w:after="0" w:line="182"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PART II – OTHER INFORMATION</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gridSpan w:val="5"/>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w:t>
              </w:r>
            </w:hyperlink>
          </w:p>
        </w:tc>
        <w:tc>
          <w:tcPr>
            <w:tcW w:w="2040" w:type="dxa"/>
            <w:vAlign w:val="bottom"/>
            <w:gridSpan w:val="11"/>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Legal Proceedings.</w:t>
              </w:r>
            </w:hyperlink>
          </w:p>
        </w:tc>
        <w:tc>
          <w:tcPr>
            <w:tcW w:w="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gridSpan w:val="2"/>
          </w:tcPr>
          <w:p>
            <w:pPr>
              <w:spacing w:after="0"/>
              <w:rPr>
                <w:sz w:val="15"/>
                <w:szCs w:val="15"/>
                <w:color w:val="auto"/>
              </w:rPr>
            </w:pPr>
          </w:p>
        </w:tc>
        <w:tc>
          <w:tcPr>
            <w:tcW w:w="2000" w:type="dxa"/>
            <w:vAlign w:val="bottom"/>
            <w:tcBorders>
              <w:top w:val="single" w:sz="8" w:color="0000EE"/>
            </w:tcBorders>
            <w:gridSpan w:val="2"/>
          </w:tcPr>
          <w:p>
            <w:pPr>
              <w:spacing w:after="0"/>
              <w:rPr>
                <w:sz w:val="15"/>
                <w:szCs w:val="15"/>
                <w:color w:val="auto"/>
              </w:rPr>
            </w:pPr>
          </w:p>
        </w:tc>
        <w:tc>
          <w:tcPr>
            <w:tcW w:w="440" w:type="dxa"/>
            <w:vAlign w:val="bottom"/>
            <w:gridSpan w:val="4"/>
          </w:tcPr>
          <w:p>
            <w:pPr>
              <w:spacing w:after="0"/>
              <w:rPr>
                <w:sz w:val="15"/>
                <w:szCs w:val="15"/>
                <w:color w:val="auto"/>
              </w:rPr>
            </w:pPr>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vMerge w:val="restart"/>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2440" w:type="dxa"/>
            <w:vAlign w:val="bottom"/>
            <w:gridSpan w:val="6"/>
            <w:vMerge w:val="restart"/>
          </w:tcPr>
          <w:p>
            <w:pPr>
              <w:spacing w:after="0" w:line="20" w:lineRule="exact"/>
              <w:rPr>
                <w:sz w:val="1"/>
                <w:szCs w:val="1"/>
                <w:color w:val="auto"/>
              </w:rPr>
            </w:pPr>
          </w:p>
        </w:tc>
        <w:tc>
          <w:tcPr>
            <w:tcW w:w="2120" w:type="dxa"/>
            <w:vAlign w:val="bottom"/>
            <w:gridSpan w:val="5"/>
            <w:vMerge w:val="restart"/>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60" w:type="dxa"/>
            <w:vAlign w:val="bottom"/>
            <w:gridSpan w:val="4"/>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1A</w:t>
              </w:r>
            </w:hyperlink>
            <w:r>
              <w:rPr>
                <w:rFonts w:ascii="Arial" w:cs="Arial" w:eastAsia="Arial" w:hAnsi="Arial"/>
                <w:sz w:val="18"/>
                <w:szCs w:val="18"/>
                <w:b w:val="1"/>
                <w:bCs w:val="1"/>
                <w:color w:val="000000"/>
              </w:rPr>
              <w:t>.</w:t>
            </w:r>
          </w:p>
        </w:tc>
        <w:tc>
          <w:tcPr>
            <w:tcW w:w="20" w:type="dxa"/>
            <w:vAlign w:val="bottom"/>
            <w:vMerge w:val="continue"/>
          </w:tcPr>
          <w:p>
            <w:pPr>
              <w:spacing w:after="0"/>
              <w:rPr>
                <w:sz w:val="15"/>
                <w:szCs w:val="15"/>
                <w:color w:val="auto"/>
              </w:rPr>
            </w:pPr>
          </w:p>
        </w:tc>
        <w:tc>
          <w:tcPr>
            <w:tcW w:w="1640" w:type="dxa"/>
            <w:vAlign w:val="bottom"/>
            <w:gridSpan w:val="6"/>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Risk Factors</w:t>
              </w:r>
            </w:hyperlink>
            <w:r>
              <w:rPr>
                <w:rFonts w:ascii="Arial" w:cs="Arial" w:eastAsia="Arial" w:hAnsi="Arial"/>
                <w:sz w:val="18"/>
                <w:szCs w:val="18"/>
                <w:b w:val="1"/>
                <w:bCs w:val="1"/>
                <w:color w:val="000000"/>
              </w:rPr>
              <w:t>.</w:t>
            </w:r>
          </w:p>
        </w:tc>
        <w:tc>
          <w:tcPr>
            <w:tcW w:w="460" w:type="dxa"/>
            <w:vAlign w:val="bottom"/>
            <w:gridSpan w:val="5"/>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40" w:type="dxa"/>
            <w:vAlign w:val="bottom"/>
            <w:gridSpan w:val="6"/>
            <w:vMerge w:val="continue"/>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w:t>
              </w:r>
            </w:hyperlink>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3"/>
              </w:rPr>
            </w:pPr>
            <w:hyperlink w:anchor="page39">
              <w:r>
                <w:rPr>
                  <w:rFonts w:ascii="Arial" w:cs="Arial" w:eastAsia="Arial" w:hAnsi="Arial"/>
                  <w:sz w:val="18"/>
                  <w:szCs w:val="18"/>
                  <w:b w:val="1"/>
                  <w:bCs w:val="1"/>
                  <w:color w:val="0000EE"/>
                  <w:w w:val="93"/>
                </w:rPr>
                <w:t>Unregistered</w:t>
              </w:r>
            </w:hyperlink>
          </w:p>
        </w:tc>
        <w:tc>
          <w:tcPr>
            <w:tcW w:w="6280" w:type="dxa"/>
            <w:vAlign w:val="bottom"/>
            <w:gridSpan w:val="21"/>
          </w:tcPr>
          <w:p>
            <w:pPr>
              <w:ind w:left="80"/>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Sales of Equity Securities and Use of Proceeds.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Item 3.</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Defaults Upon Senior Securities.</w:t>
              </w:r>
            </w:hyperlink>
          </w:p>
        </w:tc>
        <w:tc>
          <w:tcPr>
            <w:tcW w:w="212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Item 4.</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EE"/>
            </w:tcBorders>
            <w:gridSpan w:val="13"/>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Mine Safety Disclosures.</w:t>
              </w:r>
            </w:hyperlink>
          </w:p>
        </w:tc>
        <w:tc>
          <w:tcPr>
            <w:tcW w:w="45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Item 5.</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Information.</w:t>
              </w:r>
            </w:hyperlink>
          </w:p>
        </w:tc>
        <w:tc>
          <w:tcPr>
            <w:tcW w:w="524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tcBorders>
            <w:gridSpan w:val="3"/>
          </w:tcPr>
          <w:p>
            <w:pPr>
              <w:spacing w:after="0" w:line="182" w:lineRule="exact"/>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Item 6.</w:t>
              </w:r>
            </w:hyperlink>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EE"/>
            </w:tcBorders>
            <w:gridSpan w:val="5"/>
          </w:tcPr>
          <w:p>
            <w:pPr>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Exhibits.</w:t>
              </w:r>
            </w:hyperlink>
          </w:p>
        </w:tc>
        <w:tc>
          <w:tcPr>
            <w:tcW w:w="5780" w:type="dxa"/>
            <w:vAlign w:val="bottom"/>
            <w:gridSpan w:val="1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180" w:type="dxa"/>
            <w:vAlign w:val="bottom"/>
            <w:gridSpan w:val="20"/>
          </w:tcPr>
          <w:p>
            <w:pPr>
              <w:spacing w:after="0" w:line="20" w:lineRule="exact"/>
              <w:rPr>
                <w:sz w:val="1"/>
                <w:szCs w:val="1"/>
                <w:color w:val="auto"/>
              </w:rPr>
            </w:pPr>
          </w:p>
        </w:tc>
        <w:tc>
          <w:tcPr>
            <w:tcW w:w="4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116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96"/>
              </w:rPr>
            </w:pPr>
            <w:hyperlink w:anchor="page41">
              <w:r>
                <w:rPr>
                  <w:rFonts w:ascii="Arial" w:cs="Arial" w:eastAsia="Arial" w:hAnsi="Arial"/>
                  <w:sz w:val="18"/>
                  <w:szCs w:val="18"/>
                  <w:b w:val="1"/>
                  <w:bCs w:val="1"/>
                  <w:color w:val="0000EE"/>
                  <w:w w:val="96"/>
                </w:rPr>
                <w:t>SIGNATURES</w:t>
              </w:r>
            </w:hyperlink>
          </w:p>
        </w:tc>
        <w:tc>
          <w:tcPr>
            <w:tcW w:w="6180" w:type="dxa"/>
            <w:vAlign w:val="bottom"/>
            <w:gridSpan w:val="20"/>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gridSpan w:val="4"/>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9,002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net investments in sales-type leases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prepaid commission expense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1,447</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134,878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Net investments in sales-type leases</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commission expense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148,098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4"/>
            <w:vMerge w:val="restart"/>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2,425</w:t>
            </w:r>
          </w:p>
        </w:tc>
        <w:tc>
          <w:tcPr>
            <w:tcW w:w="160" w:type="dxa"/>
            <w:vAlign w:val="bottom"/>
          </w:tcPr>
          <w:p>
            <w:pPr>
              <w:spacing w:after="0"/>
              <w:rPr>
                <w:sz w:val="17"/>
                <w:szCs w:val="17"/>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Current portion of long-term debt, net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800" w:type="dxa"/>
            <w:vAlign w:val="bottom"/>
            <w:tcBorders>
              <w:top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34,944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34,620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4"/>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50,932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Preferred stock, $0.01 par value: 10,000 shares authorized; no shares issued 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at June 30, 2021 and December 31, 2020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Common stock, $0.01 par value: 200,000 shares authorized; 26,167 and 19,114</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shares issued and outstanding at June 30, 2021 and December 31, 2020,</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389,850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302,842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(292,946)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3"/>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97,166</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800" w:type="dxa"/>
            <w:vAlign w:val="bottom"/>
            <w:tcBorders>
              <w:bottom w:val="single" w:sz="8" w:color="CCEEFF"/>
            </w:tcBorders>
            <w:gridSpan w:val="3"/>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148,098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78,657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jc w:val="center"/>
        <w:ind w:right="1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0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14,203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9,741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26,491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2,750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4,971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21,520</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12,785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2,294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2,116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18,017</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14,277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34,993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(13,473)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120"/>
              <w:spacing w:after="0" w:line="202" w:lineRule="exact"/>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(7,525)</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(7,765)</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(15,406)</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(20,378)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loss per share of common stock outstanding, basic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line="195" w:lineRule="exact"/>
              <w:rPr>
                <w:sz w:val="20"/>
                <w:szCs w:val="20"/>
                <w:color w:val="auto"/>
              </w:rPr>
            </w:pPr>
            <w:r>
              <w:rPr>
                <w:rFonts w:ascii="Arial" w:cs="Arial" w:eastAsia="Arial" w:hAnsi="Arial"/>
                <w:sz w:val="18"/>
                <w:szCs w:val="18"/>
                <w:color w:val="auto"/>
              </w:rPr>
              <w:t>Weighted-average common shares outstanding,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25,903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18,747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24,608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18,714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40" w:type="dxa"/>
            <w:vAlign w:val="bottom"/>
          </w:tcPr>
          <w:p>
            <w:pPr>
              <w:ind w:left="20"/>
              <w:spacing w:after="0" w:line="190"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88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8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06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11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6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$ 297,753</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(250,087)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47,852</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(12,613)</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$ 299,024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(262,700)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20"/>
              <w:spacing w:after="0"/>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vMerge w:val="continue"/>
          </w:tcPr>
          <w:p>
            <w:pPr>
              <w:spacing w:after="0"/>
              <w:rPr>
                <w:sz w:val="15"/>
                <w:szCs w:val="15"/>
                <w:color w:val="auto"/>
              </w:rPr>
            </w:pPr>
          </w:p>
        </w:tc>
        <w:tc>
          <w:tcPr>
            <w:tcW w:w="7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47</w:t>
            </w:r>
          </w:p>
        </w:tc>
        <w:tc>
          <w:tcPr>
            <w:tcW w:w="160" w:type="dxa"/>
            <w:vAlign w:val="bottom"/>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(7,765)</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2020</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$ 299,717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(270,465)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$ 302,842</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 (277,540)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25,493</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1,581</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Issuance of common stock, net of issuance</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costs of $401</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80,515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80,571</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25,756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$ 387,134</w:t>
            </w:r>
          </w:p>
        </w:tc>
        <w:tc>
          <w:tcPr>
            <w:tcW w:w="16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(285,421)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101,971</w:t>
            </w: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Share-based awards and options exercises</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3820" w:type="dxa"/>
            <w:vAlign w:val="bottom"/>
          </w:tcPr>
          <w:p>
            <w:pPr>
              <w:ind w:left="120"/>
              <w:spacing w:after="0" w:line="202" w:lineRule="exact"/>
              <w:rPr>
                <w:sz w:val="20"/>
                <w:szCs w:val="20"/>
                <w:color w:val="auto"/>
              </w:rPr>
            </w:pPr>
            <w:r>
              <w:rPr>
                <w:rFonts w:ascii="Arial" w:cs="Arial" w:eastAsia="Arial" w:hAnsi="Arial"/>
                <w:sz w:val="18"/>
                <w:szCs w:val="18"/>
                <w:color w:val="auto"/>
              </w:rPr>
              <w:t>Share-based compensation expense</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Balance at June 30, 2021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26,167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$ 389,850</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(292,946)</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97,166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NEURONETICS, INC.</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Cash Flows</w:t>
      </w:r>
    </w:p>
    <w:p>
      <w:pPr>
        <w:ind w:left="3380"/>
        <w:spacing w:after="0"/>
        <w:rPr>
          <w:sz w:val="20"/>
          <w:szCs w:val="20"/>
          <w:color w:val="auto"/>
        </w:rPr>
      </w:pPr>
      <w:r>
        <w:rPr>
          <w:rFonts w:ascii="Arial" w:cs="Arial" w:eastAsia="Arial" w:hAnsi="Arial"/>
          <w:sz w:val="18"/>
          <w:szCs w:val="18"/>
          <w:b w:val="1"/>
          <w:bCs w:val="1"/>
          <w:color w:val="auto"/>
        </w:rPr>
        <w:t>(Unaudited; In thousands)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(15,406)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(20,378)</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rental units purchased by customers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9"/>
        </w:trPr>
        <w:tc>
          <w:tcPr>
            <w:tcW w:w="644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certain assets and liabilities: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(1,835)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(1,673)</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Net investments in sales-type leases</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Leasehold reimbursement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Prepaid commission expense</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(278)</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(1,365)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(715)</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(3,492)</w:t>
            </w:r>
          </w:p>
        </w:tc>
        <w:tc>
          <w:tcPr>
            <w:tcW w:w="0" w:type="dxa"/>
            <w:vAlign w:val="bottom"/>
          </w:tcPr>
          <w:p>
            <w:pPr>
              <w:spacing w:after="0"/>
              <w:rPr>
                <w:sz w:val="1"/>
                <w:szCs w:val="1"/>
                <w:color w:val="auto"/>
              </w:rPr>
            </w:pPr>
          </w:p>
        </w:tc>
      </w:tr>
      <w:tr>
        <w:trPr>
          <w:trHeight w:val="189"/>
        </w:trPr>
        <w:tc>
          <w:tcPr>
            <w:tcW w:w="644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(336)</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(14,940)</w:t>
            </w: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(23,131)</w:t>
            </w: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Purchases of property and equipment and capitalized software</w:t>
            </w:r>
          </w:p>
        </w:tc>
        <w:tc>
          <w:tcPr>
            <w:tcW w:w="12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(1,108)</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6"/>
                <w:szCs w:val="16"/>
                <w:color w:val="auto"/>
              </w:rPr>
              <w:t>(1,108)</w:t>
            </w: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83"/>
        </w:trPr>
        <w:tc>
          <w:tcPr>
            <w:tcW w:w="6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41,360</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long-term debt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(38,860)</w:t>
            </w: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12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exercises of stock options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89"/>
        </w:trPr>
        <w:tc>
          <w:tcPr>
            <w:tcW w:w="644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80,972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common stock offering issuance costs</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(401)</w:t>
            </w: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tcPr>
          <w:p>
            <w:pPr>
              <w:ind w:left="44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82,874</w:t>
            </w:r>
          </w:p>
        </w:tc>
        <w:tc>
          <w:tcPr>
            <w:tcW w:w="2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ind w:left="440"/>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66,826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(21,711)</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Cash and Cash Equivalents, Beginning of Period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48,957</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75,708</w:t>
            </w: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shd w:val="clear" w:color="auto" w:fill="CCEEFF"/>
          </w:tcPr>
          <w:p>
            <w:pPr>
              <w:ind w:left="440"/>
              <w:spacing w:after="0" w:line="183" w:lineRule="exact"/>
              <w:rPr>
                <w:sz w:val="20"/>
                <w:szCs w:val="20"/>
                <w:color w:val="auto"/>
              </w:rPr>
            </w:pPr>
            <w:r>
              <w:rPr>
                <w:rFonts w:ascii="Arial" w:cs="Arial" w:eastAsia="Arial" w:hAnsi="Arial"/>
                <w:sz w:val="16"/>
                <w:szCs w:val="16"/>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115,783</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53,997</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 and capitalized software in accounts payable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19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Company is continuing to monitor the impact of the COVID-19 pandemic on all aspects of its business and geographies, including how it will continue to impact the Company’s customers, supply chain, employees and other business partners. While the Company began to experience significant disruptions in March 2020 through the end of June 30, 2021 from the COVID-19 pandemic, it is unable to predict the full impact that the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pandemic has significantly adversely impacted global economic activity and has contributed to significant volatility and negative pressure in financial markets, and may contribute to periods of economic uncertainty in the future.</w:t>
      </w:r>
    </w:p>
    <w:p>
      <w:pPr>
        <w:spacing w:after="0" w:line="17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of June 30, 2021, the Company had cash and cash equivalents of $115.8 million and an accumulated deficit of $292.9 million. The Company incurred negative cash flows from operating activities of $14.9 million for the six months ended June 30, 2021 and $28.4 million for the year ended December 31, 2020.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proceeds from its secondary public offering of common stock, revenues from sales of its products and other public offerings of the Company’s common stock. As of June 30, 2021, the Company had $35.0 million of borrowings outstanding under its credit facility, which has a final maturity in February 2025. Management believes that the Company’s cash and cash equivalents as of June 30, 2021, and anticipated revenues from sales of its products are sufficient to fund the Company’s operations for at least the next 12 months from the issuance of these financial statements.</w:t>
      </w:r>
    </w:p>
    <w:p>
      <w:pPr>
        <w:spacing w:after="0" w:line="155" w:lineRule="exact"/>
        <w:rPr>
          <w:sz w:val="20"/>
          <w:szCs w:val="20"/>
          <w:color w:val="auto"/>
        </w:rPr>
      </w:pPr>
    </w:p>
    <w:p>
      <w:pPr>
        <w:ind w:left="460" w:hanging="410"/>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07" w:lineRule="exact"/>
        <w:rPr>
          <w:sz w:val="20"/>
          <w:szCs w:val="20"/>
          <w:color w:val="auto"/>
        </w:rPr>
      </w:pPr>
    </w:p>
    <w:p>
      <w:pPr>
        <w:ind w:left="60" w:right="559"/>
        <w:spacing w:after="0" w:line="274"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or GAAP. Any reference in these notes to applicable guidance is meant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refer to GAAP as found in the Accounting Standards Codification, or ASC, and Accounting Standards Updates, or ASUs, promulgated by the Financial Accounting Standards Board, or FASB.</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Interim Financial Statements</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six months ended June 30, 2021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2, 2021, wherein a more complete discussion of significant accounting policies and certain other information can be found.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including those related to the COVID-19 pandemic, and given the subjective element of the estimates and assumptions made, actual results may differ materially from estimated results.</w:t>
      </w:r>
    </w:p>
    <w:p>
      <w:pPr>
        <w:spacing w:after="0" w:line="154" w:lineRule="exact"/>
        <w:rPr>
          <w:sz w:val="20"/>
          <w:szCs w:val="20"/>
          <w:color w:val="auto"/>
        </w:rPr>
      </w:pPr>
    </w:p>
    <w:p>
      <w:pPr>
        <w:ind w:left="460" w:hanging="410"/>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 Company’s complete summary of significant accounting policies can be found in “Note 3. Summary of Significant Accounting Policies” in the audited financial statements included in the Company’s Form 10-K filed with the SEC on March 2, 2021.</w:t>
      </w:r>
    </w:p>
    <w:p>
      <w:pPr>
        <w:spacing w:after="0" w:line="154" w:lineRule="exact"/>
        <w:rPr>
          <w:sz w:val="20"/>
          <w:szCs w:val="20"/>
          <w:color w:val="auto"/>
        </w:rPr>
      </w:pPr>
    </w:p>
    <w:p>
      <w:pPr>
        <w:ind w:left="460" w:hanging="410"/>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Standards Not Yet Adopted by the Company</w:t>
      </w:r>
    </w:p>
    <w:p>
      <w:pPr>
        <w:spacing w:after="0" w:line="189" w:lineRule="exact"/>
        <w:rPr>
          <w:sz w:val="20"/>
          <w:szCs w:val="20"/>
          <w:color w:val="auto"/>
        </w:rPr>
      </w:pPr>
    </w:p>
    <w:p>
      <w:pPr>
        <w:ind w:left="60" w:right="79"/>
        <w:spacing w:after="0" w:line="264"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w:t>
      </w:r>
      <w:r>
        <w:rPr>
          <w:rFonts w:ascii="Arial" w:cs="Arial" w:eastAsia="Arial" w:hAnsi="Arial"/>
          <w:sz w:val="17"/>
          <w:szCs w:val="17"/>
          <w:i w:val="1"/>
          <w:iCs w:val="1"/>
          <w:color w:val="auto"/>
        </w:rPr>
        <w:t>“Topic 326”</w:t>
      </w:r>
      <w:r>
        <w:rPr>
          <w:rFonts w:ascii="Arial" w:cs="Arial" w:eastAsia="Arial" w:hAnsi="Arial"/>
          <w:sz w:val="17"/>
          <w:szCs w:val="17"/>
          <w:color w:val="auto"/>
        </w:rPr>
        <w:t>). This ASU provides guidance for recognizing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losses on financial instruments based on an estimate of current expected credit losses model. The FASB subsequently issued </w:t>
      </w:r>
      <w:r>
        <w:rPr>
          <w:rFonts w:ascii="Arial" w:cs="Arial" w:eastAsia="Arial" w:hAnsi="Arial"/>
          <w:sz w:val="17"/>
          <w:szCs w:val="17"/>
          <w:i w:val="1"/>
          <w:iCs w:val="1"/>
          <w:color w:val="auto"/>
        </w:rPr>
        <w:t>ASU 2019-04,</w:t>
      </w:r>
      <w:r>
        <w:rPr>
          <w:rFonts w:ascii="Arial" w:cs="Arial" w:eastAsia="Arial" w:hAnsi="Arial"/>
          <w:sz w:val="17"/>
          <w:szCs w:val="17"/>
          <w:color w:val="auto"/>
        </w:rPr>
        <w:t xml:space="preserve"> to clarify and address certain items related to the amendments in Topic 326.</w:t>
      </w:r>
    </w:p>
    <w:p>
      <w:pPr>
        <w:spacing w:after="0" w:line="125" w:lineRule="exact"/>
        <w:rPr>
          <w:sz w:val="20"/>
          <w:szCs w:val="20"/>
          <w:color w:val="auto"/>
        </w:rPr>
      </w:pPr>
    </w:p>
    <w:p>
      <w:pPr>
        <w:ind w:left="60" w:right="379"/>
        <w:spacing w:after="0" w:line="296" w:lineRule="auto"/>
        <w:rPr>
          <w:sz w:val="20"/>
          <w:szCs w:val="20"/>
          <w:color w:val="auto"/>
        </w:rPr>
      </w:pPr>
      <w:r>
        <w:rPr>
          <w:rFonts w:ascii="Arial" w:cs="Arial" w:eastAsia="Arial" w:hAnsi="Arial"/>
          <w:sz w:val="17"/>
          <w:szCs w:val="17"/>
          <w:i w:val="1"/>
          <w:iCs w:val="1"/>
          <w:color w:val="auto"/>
        </w:rPr>
        <w:t>ASU 2019-05, Financial Instruments - Credit Losses (Topic 326)</w:t>
      </w:r>
      <w:r>
        <w:rPr>
          <w:rFonts w:ascii="Arial" w:cs="Arial" w:eastAsia="Arial" w:hAnsi="Arial"/>
          <w:sz w:val="17"/>
          <w:szCs w:val="17"/>
          <w:color w:val="auto"/>
        </w:rPr>
        <w:t>:</w:t>
      </w:r>
      <w:r>
        <w:rPr>
          <w:rFonts w:ascii="Arial" w:cs="Arial" w:eastAsia="Arial" w:hAnsi="Arial"/>
          <w:sz w:val="17"/>
          <w:szCs w:val="17"/>
          <w:i w:val="1"/>
          <w:iCs w:val="1"/>
          <w:color w:val="auto"/>
        </w:rPr>
        <w:t xml:space="preserve"> Targeted Transition Relief</w:t>
      </w:r>
      <w:r>
        <w:rPr>
          <w:rFonts w:ascii="Arial" w:cs="Arial" w:eastAsia="Arial" w:hAnsi="Arial"/>
          <w:sz w:val="17"/>
          <w:szCs w:val="17"/>
          <w:color w:val="auto"/>
        </w:rPr>
        <w:t>, was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entities that have certain instruments within the scope of ASC 326 with an option to irrevocably elect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p>
      <w:pPr>
        <w:ind w:left="60" w:right="99"/>
        <w:spacing w:after="0" w:line="250" w:lineRule="auto"/>
        <w:rPr>
          <w:sz w:val="20"/>
          <w:szCs w:val="20"/>
          <w:color w:val="auto"/>
        </w:rPr>
      </w:pPr>
      <w:r>
        <w:rPr>
          <w:rFonts w:ascii="Arial" w:cs="Arial" w:eastAsia="Arial" w:hAnsi="Arial"/>
          <w:sz w:val="18"/>
          <w:szCs w:val="18"/>
          <w:color w:val="auto"/>
        </w:rPr>
        <w:t xml:space="preserve">the fair value option under </w:t>
      </w:r>
      <w:r>
        <w:rPr>
          <w:rFonts w:ascii="Arial" w:cs="Arial" w:eastAsia="Arial" w:hAnsi="Arial"/>
          <w:sz w:val="18"/>
          <w:szCs w:val="18"/>
          <w:i w:val="1"/>
          <w:iCs w:val="1"/>
          <w:color w:val="auto"/>
        </w:rPr>
        <w:t>ASC 825-10, Financial Instruments - Overall</w:t>
      </w:r>
      <w:r>
        <w:rPr>
          <w:rFonts w:ascii="Arial" w:cs="Arial" w:eastAsia="Arial" w:hAnsi="Arial"/>
          <w:sz w:val="18"/>
          <w:szCs w:val="18"/>
          <w:color w:val="auto"/>
        </w:rPr>
        <w:t>, applied on an instrument-by-instrument basis for eligible instruments</w:t>
      </w:r>
      <w:r>
        <w:rPr>
          <w:rFonts w:ascii="Arial" w:cs="Arial" w:eastAsia="Arial" w:hAnsi="Arial"/>
          <w:sz w:val="16"/>
          <w:szCs w:val="16"/>
          <w:color w:val="auto"/>
        </w:rPr>
        <w:t>.</w:t>
      </w:r>
      <w:r>
        <w:rPr>
          <w:rFonts w:ascii="Arial" w:cs="Arial" w:eastAsia="Arial" w:hAnsi="Arial"/>
          <w:sz w:val="18"/>
          <w:szCs w:val="18"/>
          <w:color w:val="auto"/>
        </w:rPr>
        <w:t xml:space="preserve"> ASU 2019-10, Topic 326, Topic 815, and Topic 842 amends the mandatory effective date for Topic 326.</w:t>
      </w:r>
    </w:p>
    <w:p>
      <w:pPr>
        <w:spacing w:after="0" w:line="16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These ASUs are effective for fiscal years beginning after December 15, 2022 for entities that are eligible to be defined by the SEC as a smaller reporting company. The Company is a smaller reporting company. Although the impact upon adoption will depend on the financial instruments held by the Company at that time, the Company does not anticipate a significant impact on its financial statements based on the instruments currently held and its historical trend of bad debt expense relating to trade accounts receivable.</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Other than the items noted above, there have been no new accounting pronouncements not yet effective or adopted in the current year that we believe have a significant impact, or potential significant impact, to our unaudited interim financial statements.</w:t>
      </w:r>
    </w:p>
    <w:p>
      <w:pPr>
        <w:spacing w:after="0" w:line="154" w:lineRule="exact"/>
        <w:rPr>
          <w:sz w:val="20"/>
          <w:szCs w:val="20"/>
          <w:color w:val="auto"/>
        </w:rPr>
      </w:pPr>
    </w:p>
    <w:p>
      <w:pPr>
        <w:ind w:left="460" w:hanging="410"/>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AND FINANCIAL INSTRUMENTS</w:t>
      </w:r>
    </w:p>
    <w:p>
      <w:pPr>
        <w:spacing w:after="0" w:line="19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carrying values of cash equivalents, accounts receivable, prepaids and other current assets, and accounts payable on the Company’s balance sheets approximated their fair values as of June 30, 2021 and December 31, 2020 due to their short-term nature. The carrying values of the Company’s credit facility approximated its fair value as of June 30, 2021 and December 31, 2020 due to its variable interest rate.</w:t>
      </w:r>
    </w:p>
    <w:p>
      <w:pPr>
        <w:spacing w:after="0" w:line="164"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:Inputs are quoted prices for identical instruments in active markets.</w:t>
      </w:r>
    </w:p>
    <w:p>
      <w:pPr>
        <w:spacing w:after="0" w:line="171" w:lineRule="exact"/>
        <w:rPr>
          <w:sz w:val="20"/>
          <w:szCs w:val="20"/>
          <w:color w:val="auto"/>
        </w:rPr>
      </w:pPr>
    </w:p>
    <w:p>
      <w:pPr>
        <w:jc w:val="both"/>
        <w:ind w:left="700" w:right="179" w:hanging="647"/>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162" w:lineRule="exact"/>
        <w:rPr>
          <w:sz w:val="20"/>
          <w:szCs w:val="20"/>
          <w:color w:val="auto"/>
        </w:rPr>
      </w:pPr>
    </w:p>
    <w:p>
      <w:pPr>
        <w:ind w:left="700" w:right="339" w:hanging="647"/>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:Inputs are unobservable and reflect the Company’s own assumptions, based on the best information available, including the Company’s own data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set forth the carrying amounts and fair values of the Company’s financial instruments as of</w:t>
      </w:r>
    </w:p>
    <w:p>
      <w:pPr>
        <w:ind w:left="60"/>
        <w:spacing w:after="0"/>
        <w:rPr>
          <w:sz w:val="20"/>
          <w:szCs w:val="20"/>
          <w:color w:val="auto"/>
        </w:rPr>
      </w:pPr>
      <w:r>
        <w:rPr>
          <w:rFonts w:ascii="Arial" w:cs="Arial" w:eastAsia="Arial" w:hAnsi="Arial"/>
          <w:sz w:val="18"/>
          <w:szCs w:val="18"/>
          <w:color w:val="auto"/>
        </w:rPr>
        <w:t>June 30, 2021 and December 31, 2020 (in thousands):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Borders>
              <w:bottom w:val="single" w:sz="8" w:color="auto"/>
            </w:tcBorders>
            <w:gridSpan w:val="12"/>
          </w:tcPr>
          <w:p>
            <w:pPr>
              <w:ind w:left="3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Active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$ 114,626</w:t>
            </w:r>
          </w:p>
        </w:tc>
        <w:tc>
          <w:tcPr>
            <w:tcW w:w="20" w:type="dxa"/>
            <w:vAlign w:val="bottom"/>
          </w:tcPr>
          <w:p>
            <w:pPr>
              <w:spacing w:after="0"/>
              <w:rPr>
                <w:sz w:val="17"/>
                <w:szCs w:val="17"/>
                <w:color w:val="auto"/>
              </w:rPr>
            </w:pPr>
          </w:p>
        </w:tc>
        <w:tc>
          <w:tcPr>
            <w:tcW w:w="10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$ 114,626</w:t>
            </w:r>
          </w:p>
        </w:tc>
        <w:tc>
          <w:tcPr>
            <w:tcW w:w="20" w:type="dxa"/>
            <w:vAlign w:val="bottom"/>
          </w:tcPr>
          <w:p>
            <w:pPr>
              <w:spacing w:after="0"/>
              <w:rPr>
                <w:sz w:val="17"/>
                <w:szCs w:val="17"/>
                <w:color w:val="auto"/>
              </w:rPr>
            </w:pPr>
          </w:p>
        </w:tc>
        <w:tc>
          <w:tcPr>
            <w:tcW w:w="10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$ 114,626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52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December 31, 2020</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Borders>
              <w:bottom w:val="single" w:sz="8" w:color="auto"/>
            </w:tcBorders>
            <w:gridSpan w:val="12"/>
          </w:tcPr>
          <w:p>
            <w:pPr>
              <w:ind w:left="360"/>
              <w:spacing w:after="0" w:line="155" w:lineRule="exact"/>
              <w:rPr>
                <w:sz w:val="20"/>
                <w:szCs w:val="20"/>
                <w:color w:val="auto"/>
              </w:rPr>
            </w:pPr>
            <w:r>
              <w:rPr>
                <w:rFonts w:ascii="Arial" w:cs="Arial" w:eastAsia="Arial" w:hAnsi="Arial"/>
                <w:sz w:val="14"/>
                <w:szCs w:val="14"/>
                <w:b w:val="1"/>
                <w:bCs w:val="1"/>
                <w:color w:val="auto"/>
              </w:rPr>
              <w:t>Fair Value Measurement Based 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rPr>
              <w:t>Quoted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Prices In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Active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420" w:type="dxa"/>
            <w:vAlign w:val="bottom"/>
            <w:gridSpan w:val="2"/>
          </w:tcPr>
          <w:p>
            <w:pPr>
              <w:spacing w:after="0" w:line="204" w:lineRule="exact"/>
              <w:rPr>
                <w:sz w:val="20"/>
                <w:szCs w:val="20"/>
                <w:color w:val="auto"/>
              </w:rPr>
            </w:pPr>
            <w:r>
              <w:rPr>
                <w:rFonts w:ascii="Arial" w:cs="Arial" w:eastAsia="Arial" w:hAnsi="Arial"/>
                <w:sz w:val="18"/>
                <w:szCs w:val="18"/>
                <w:color w:val="auto"/>
              </w:rPr>
              <w:t>Money market funds (cash equivalents)</w:t>
            </w: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47,117</w:t>
            </w:r>
          </w:p>
        </w:tc>
        <w:tc>
          <w:tcPr>
            <w:tcW w:w="20" w:type="dxa"/>
            <w:vAlign w:val="bottom"/>
          </w:tcPr>
          <w:p>
            <w:pPr>
              <w:spacing w:after="0"/>
              <w:rPr>
                <w:sz w:val="17"/>
                <w:szCs w:val="17"/>
                <w:color w:val="auto"/>
              </w:rPr>
            </w:pPr>
          </w:p>
        </w:tc>
        <w:tc>
          <w:tcPr>
            <w:tcW w:w="10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  47,117</w:t>
            </w:r>
          </w:p>
        </w:tc>
        <w:tc>
          <w:tcPr>
            <w:tcW w:w="20" w:type="dxa"/>
            <w:vAlign w:val="bottom"/>
          </w:tcPr>
          <w:p>
            <w:pPr>
              <w:spacing w:after="0"/>
              <w:rPr>
                <w:sz w:val="17"/>
                <w:szCs w:val="17"/>
                <w:color w:val="auto"/>
              </w:rPr>
            </w:pPr>
          </w:p>
        </w:tc>
        <w:tc>
          <w:tcPr>
            <w:tcW w:w="102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  47,117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760" w:type="dxa"/>
            <w:vAlign w:val="bottom"/>
            <w:gridSpan w:val="2"/>
          </w:tcPr>
          <w:p>
            <w:pPr>
              <w:ind w:left="500"/>
              <w:spacing w:after="0" w:line="204" w:lineRule="exact"/>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860" w:type="dxa"/>
            <w:vAlign w:val="bottom"/>
          </w:tcPr>
          <w:p>
            <w:pPr>
              <w:ind w:left="620"/>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40" w:hanging="390"/>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accounts receivable, net as of June 30,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accounts receivable - trade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8,178</w:t>
            </w:r>
          </w:p>
        </w:tc>
        <w:tc>
          <w:tcPr>
            <w:tcW w:w="20" w:type="dxa"/>
            <w:vAlign w:val="bottom"/>
            <w:shd w:val="clear" w:color="auto" w:fill="CCEEFF"/>
          </w:tcPr>
          <w:p>
            <w:pPr>
              <w:spacing w:after="0"/>
              <w:rPr>
                <w:sz w:val="17"/>
                <w:szCs w:val="17"/>
                <w:color w:val="auto"/>
              </w:rPr>
            </w:pPr>
          </w:p>
        </w:tc>
      </w:tr>
      <w:tr>
        <w:trPr>
          <w:trHeight w:val="203"/>
        </w:trPr>
        <w:tc>
          <w:tcPr>
            <w:tcW w:w="4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Allowances for doubtful accounts</w:t>
            </w:r>
          </w:p>
        </w:tc>
        <w:tc>
          <w:tcPr>
            <w:tcW w:w="1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(1,012)</w:t>
            </w:r>
          </w:p>
        </w:tc>
        <w:tc>
          <w:tcPr>
            <w:tcW w:w="20" w:type="dxa"/>
            <w:vAlign w:val="bottom"/>
            <w:tcBorders>
              <w:bottom w:val="single" w:sz="8" w:color="CCEEFF"/>
            </w:tcBorders>
          </w:tcPr>
          <w:p>
            <w:pPr>
              <w:spacing w:after="0"/>
              <w:rPr>
                <w:sz w:val="17"/>
                <w:szCs w:val="17"/>
                <w:color w:val="auto"/>
              </w:rPr>
            </w:pPr>
          </w:p>
        </w:tc>
      </w:tr>
      <w:tr>
        <w:trPr>
          <w:trHeight w:val="196"/>
        </w:trPr>
        <w:tc>
          <w:tcPr>
            <w:tcW w:w="41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Accounts receivable, net</w:t>
            </w: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7,166</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hanging="410"/>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CAPITALIZED SOFTWARE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composition of property and equipment, net as of June 30, 2021 and</w:t>
      </w:r>
    </w:p>
    <w:p>
      <w:pPr>
        <w:ind w:left="60"/>
        <w:spacing w:after="0"/>
        <w:rPr>
          <w:sz w:val="20"/>
          <w:szCs w:val="20"/>
          <w:color w:val="auto"/>
        </w:rPr>
      </w:pPr>
      <w:r>
        <w:rPr>
          <w:rFonts w:ascii="Arial" w:cs="Arial" w:eastAsia="Arial" w:hAnsi="Arial"/>
          <w:sz w:val="18"/>
          <w:szCs w:val="18"/>
          <w:color w:val="auto"/>
        </w:rPr>
        <w:t>December 31, 2020 (in thousands):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r>
      <w:tr>
        <w:trPr>
          <w:trHeight w:val="203"/>
        </w:trPr>
        <w:tc>
          <w:tcPr>
            <w:tcW w:w="6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Rental equipment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Borders>
              <w:bottom w:val="single" w:sz="8" w:color="CCEEFF"/>
            </w:tcBorders>
          </w:tcPr>
          <w:p>
            <w:pPr>
              <w:spacing w:after="0"/>
              <w:rPr>
                <w:sz w:val="17"/>
                <w:szCs w:val="17"/>
                <w:color w:val="auto"/>
              </w:rPr>
            </w:pPr>
          </w:p>
        </w:tc>
      </w:tr>
      <w:tr>
        <w:trPr>
          <w:trHeight w:val="196"/>
        </w:trPr>
        <w:tc>
          <w:tcPr>
            <w:tcW w:w="63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gross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3,134</w:t>
            </w:r>
          </w:p>
        </w:tc>
        <w:tc>
          <w:tcPr>
            <w:tcW w:w="20" w:type="dxa"/>
            <w:vAlign w:val="bottom"/>
            <w:shd w:val="clear" w:color="auto" w:fill="CCEEFF"/>
          </w:tcPr>
          <w:p>
            <w:pPr>
              <w:spacing w:after="0"/>
              <w:rPr>
                <w:sz w:val="17"/>
                <w:szCs w:val="17"/>
                <w:color w:val="auto"/>
              </w:rPr>
            </w:pPr>
          </w:p>
        </w:tc>
      </w:tr>
      <w:tr>
        <w:trPr>
          <w:trHeight w:val="203"/>
        </w:trPr>
        <w:tc>
          <w:tcPr>
            <w:tcW w:w="6360" w:type="dxa"/>
            <w:vAlign w:val="bottom"/>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(2,431)</w:t>
            </w:r>
          </w:p>
        </w:tc>
        <w:tc>
          <w:tcPr>
            <w:tcW w:w="1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(2,404)</w:t>
            </w:r>
          </w:p>
        </w:tc>
      </w:tr>
      <w:tr>
        <w:trPr>
          <w:trHeight w:val="196"/>
        </w:trPr>
        <w:tc>
          <w:tcPr>
            <w:tcW w:w="63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As of June 30, 2021 and December 31, 2020, the Company had capitalized software costs, net of $1.6 million and $1.2 million, respectively, which are included in “Prepaid expenses and other current assets” and “Other assets” on the balance sheet.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was $0.3 million and $0.2 million for the three months ended</w:t>
      </w:r>
    </w:p>
    <w:p>
      <w:pPr>
        <w:ind w:left="60" w:right="119"/>
        <w:spacing w:after="0" w:line="246" w:lineRule="auto"/>
        <w:rPr>
          <w:sz w:val="20"/>
          <w:szCs w:val="20"/>
          <w:color w:val="auto"/>
        </w:rPr>
      </w:pPr>
      <w:r>
        <w:rPr>
          <w:rFonts w:ascii="Arial" w:cs="Arial" w:eastAsia="Arial" w:hAnsi="Arial"/>
          <w:sz w:val="18"/>
          <w:szCs w:val="18"/>
          <w:color w:val="auto"/>
        </w:rPr>
        <w:t>June 30, 2021 and 2020, respectively, and $0.6 million and $0.5 million for the six months ended June 30, 2021 and 2020, respectively.</w:t>
      </w:r>
    </w:p>
    <w:p>
      <w:pPr>
        <w:spacing w:after="0" w:line="148"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Lessee:</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has operating leases for its corporate headquarters and office equipment, including copiers. The Company leases an approximately 32,000 square foot facility in Malvern, Pennsylvania for its corporate headquarters, which includes office and warehouse space. The Company does not currently have any finance leases or executed leases that have not yet commenced.</w:t>
      </w:r>
    </w:p>
    <w:p>
      <w:pPr>
        <w:spacing w:after="0" w:line="164"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Operating lease rent expense was $0.1 million and $0.2 million for the three months ended June 30, 2021 and 2020, respectively, and $0.3 million for the six months ended June 30, 2021 and 2020, respectively. As of June 30, 2021, the weighted-average remaining lease term of operating leases was 6.6 years and the weighted-average discount rate was 6.5%.</w:t>
      </w:r>
    </w:p>
    <w:p>
      <w:pPr>
        <w:spacing w:after="0" w:line="178" w:lineRule="exact"/>
        <w:rPr>
          <w:sz w:val="20"/>
          <w:szCs w:val="20"/>
          <w:color w:val="auto"/>
        </w:rPr>
      </w:pPr>
    </w:p>
    <w:p>
      <w:pPr>
        <w:jc w:val="both"/>
        <w:ind w:left="60" w:right="519"/>
        <w:spacing w:after="0" w:line="238" w:lineRule="auto"/>
        <w:rPr>
          <w:sz w:val="20"/>
          <w:szCs w:val="20"/>
          <w:color w:val="auto"/>
        </w:rPr>
      </w:pPr>
      <w:r>
        <w:rPr>
          <w:rFonts w:ascii="Arial" w:cs="Arial" w:eastAsia="Arial" w:hAnsi="Arial"/>
          <w:sz w:val="18"/>
          <w:szCs w:val="18"/>
          <w:color w:val="auto"/>
        </w:rPr>
        <w:t>In the first quarter of 2020, the Company received a reimbursement of $0.8 million for leasehold expenses previously incurred in connection with the lease agreement for its Malvern facility. The reimbursement was recorded as an offset to the non-current lease liability that was established when the lease agreement was executed.</w:t>
      </w:r>
    </w:p>
    <w:p>
      <w:pPr>
        <w:spacing w:after="0" w:line="164"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color w:val="auto"/>
        </w:rPr>
        <w:t>The following table presents the supplemental cash flow information as a lessee related to leases (in thousands):</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8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June 30, 2021</w:t>
            </w: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June 30, 2020</w:t>
            </w:r>
          </w:p>
        </w:tc>
        <w:tc>
          <w:tcPr>
            <w:tcW w:w="40" w:type="dxa"/>
            <w:vAlign w:val="bottom"/>
            <w:tcBorders>
              <w:bottom w:val="single" w:sz="8" w:color="CCEEFF"/>
            </w:tcBorders>
          </w:tcPr>
          <w:p>
            <w:pPr>
              <w:spacing w:after="0"/>
              <w:rPr>
                <w:sz w:val="13"/>
                <w:szCs w:val="13"/>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584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w:t>
            </w:r>
          </w:p>
        </w:tc>
        <w:tc>
          <w:tcPr>
            <w:tcW w:w="40" w:type="dxa"/>
            <w:vAlign w:val="bottom"/>
          </w:tcPr>
          <w:p>
            <w:pPr>
              <w:spacing w:after="0"/>
              <w:rPr>
                <w:sz w:val="18"/>
                <w:szCs w:val="18"/>
                <w:color w:val="auto"/>
              </w:rPr>
            </w:pPr>
          </w:p>
        </w:tc>
      </w:tr>
    </w:tbl>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by year the required future payments of operating lease liabilities (in thousands):</w:t>
      </w:r>
    </w:p>
    <w:p>
      <w:pPr>
        <w:spacing w:after="0" w:line="186"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1,487</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4,381</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1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(847)</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3,534</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sales-type leases:</w:t>
      </w:r>
    </w:p>
    <w:p>
      <w:pPr>
        <w:spacing w:after="0" w:line="1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Certain customers have purchased NeuroStar Advanced Therapy Systems on a rent-to-own basis. The lease term is three or four years with a customer option to purchase the NeuroStar Advanced Therapy System at the end of the lease or automatic transfer of ownership of the NeuroStar Advanced Therapy System at the end of the lease.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profit recognized on sales-type leases (in thousands):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2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7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Profit recognized at commencement, net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726</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6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sales-type lease income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726</w:t>
            </w: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sets forth a maturity analysis of the undiscounted lease receivables related to sales-type leases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1,176</w:t>
            </w: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1,804</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w:t>
            </w: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196"/>
        </w:trPr>
        <w:tc>
          <w:tcPr>
            <w:tcW w:w="20" w:type="dxa"/>
            <w:vAlign w:val="bottom"/>
          </w:tcPr>
          <w:p>
            <w:pPr>
              <w:spacing w:after="0"/>
              <w:rPr>
                <w:sz w:val="17"/>
                <w:szCs w:val="17"/>
                <w:color w:val="auto"/>
              </w:rPr>
            </w:pPr>
          </w:p>
        </w:tc>
        <w:tc>
          <w:tcPr>
            <w:tcW w:w="5680" w:type="dxa"/>
            <w:vAlign w:val="bottom"/>
          </w:tcPr>
          <w:p>
            <w:pPr>
              <w:ind w:left="100"/>
              <w:spacing w:after="0" w:line="196" w:lineRule="exact"/>
              <w:rPr>
                <w:sz w:val="20"/>
                <w:szCs w:val="20"/>
                <w:color w:val="auto"/>
              </w:rPr>
            </w:pPr>
            <w:r>
              <w:rPr>
                <w:rFonts w:ascii="Arial" w:cs="Arial" w:eastAsia="Arial" w:hAnsi="Arial"/>
                <w:sz w:val="18"/>
                <w:szCs w:val="18"/>
                <w:color w:val="auto"/>
              </w:rPr>
              <w:t>Total sales-type lease receivables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3,888</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179"/>
        <w:spacing w:after="0" w:line="246" w:lineRule="auto"/>
        <w:rPr>
          <w:sz w:val="20"/>
          <w:szCs w:val="20"/>
          <w:color w:val="auto"/>
        </w:rPr>
      </w:pPr>
      <w:r>
        <w:rPr>
          <w:rFonts w:ascii="Arial" w:cs="Arial" w:eastAsia="Arial" w:hAnsi="Arial"/>
          <w:sz w:val="18"/>
          <w:szCs w:val="18"/>
          <w:color w:val="auto"/>
        </w:rPr>
        <w:t>As of June 30, 2021, the carrying amount of the lease receivables is $3.9 million. The Company does not have any unguaranteed residual assets.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Lessor operating leases:</w:t>
      </w:r>
    </w:p>
    <w:p>
      <w:pPr>
        <w:spacing w:after="0" w:line="189" w:lineRule="exact"/>
        <w:rPr>
          <w:sz w:val="20"/>
          <w:szCs w:val="20"/>
          <w:color w:val="auto"/>
        </w:rPr>
      </w:pPr>
    </w:p>
    <w:p>
      <w:pPr>
        <w:jc w:val="both"/>
        <w:ind w:left="60" w:right="199"/>
        <w:spacing w:after="0" w:line="238" w:lineRule="auto"/>
        <w:rPr>
          <w:sz w:val="20"/>
          <w:szCs w:val="20"/>
          <w:color w:val="auto"/>
        </w:rPr>
      </w:pPr>
      <w:r>
        <w:rPr>
          <w:rFonts w:ascii="Arial" w:cs="Arial" w:eastAsia="Arial" w:hAnsi="Arial"/>
          <w:sz w:val="18"/>
          <w:szCs w:val="18"/>
          <w:color w:val="auto"/>
        </w:rPr>
        <w:t>NeuroStar Advanced Therapy Systems sold on a rent-to-own basis prior to January 1, 2019 are accounted for as operating leases. For the three months ended June 30, 2021 and 2020, the Company recognized operating lease income of $0.1 million and $0.1 million, respectively. For the six months ended June 30, 2021 and 2020, the Company recognized operating lease income of $0.2 million and $0.2 million, respectively.</w:t>
      </w:r>
    </w:p>
    <w:p>
      <w:pPr>
        <w:spacing w:after="0" w:line="164"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following table sets forth a maturity analysis of its undiscounted lease receivables related to operating leases as of June 30, 2021 (in thousands):</w:t>
      </w:r>
    </w:p>
    <w:p>
      <w:pPr>
        <w:spacing w:after="0" w:line="171" w:lineRule="exact"/>
        <w:rPr>
          <w:sz w:val="20"/>
          <w:szCs w:val="20"/>
          <w:color w:val="auto"/>
        </w:rPr>
      </w:pPr>
    </w:p>
    <w:tbl>
      <w:tblPr>
        <w:tblLayout w:type="fixed"/>
        <w:tblInd w:w="1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w:t>
            </w:r>
          </w:p>
        </w:tc>
      </w:tr>
      <w:tr>
        <w:trPr>
          <w:trHeight w:val="175"/>
        </w:trPr>
        <w:tc>
          <w:tcPr>
            <w:tcW w:w="20" w:type="dxa"/>
            <w:vAlign w:val="bottom"/>
          </w:tcPr>
          <w:p>
            <w:pPr>
              <w:spacing w:after="0"/>
              <w:rPr>
                <w:sz w:val="15"/>
                <w:szCs w:val="15"/>
                <w:color w:val="auto"/>
              </w:rPr>
            </w:pPr>
          </w:p>
        </w:tc>
        <w:tc>
          <w:tcPr>
            <w:tcW w:w="3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lease receivables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The Company maintained Rental Equipment, net of $ 0.1 million and $ 0.2 million as of June 30, 2021 and December 31, 2020, respectively, which are included in “Property and equipment, net” on the balance sheet. Rental equipment depreciation expense was $0.01 million and $0.02 million for the three months ended June 30, 2021 and 2020, respectively, and $0.02 million and $0.05 million for the six months ended June 30, 2021 and 2020.</w:t>
      </w:r>
    </w:p>
    <w:p>
      <w:pPr>
        <w:spacing w:after="0" w:line="153" w:lineRule="exact"/>
        <w:rPr>
          <w:sz w:val="20"/>
          <w:szCs w:val="20"/>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COMMISSION EXPENSE</w:t>
      </w:r>
    </w:p>
    <w:p>
      <w:pPr>
        <w:spacing w:after="0" w:line="20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 pays a commission on both NeuroStar Advanced System sales and Treatment Session sales. Since the commission paid for System sales is not commensurate with the commission paid for Treatment Sessions, the Company capitalizes commission expense associated with NeuroStar Advanced Therapy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7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the Company’s balance sheets, the current portion of capitalized contract costs is represented by the current portion of prepaid commission expense, while the long-term portion is included in prepaid commission expense. Amortization expense was $0.3 million and $0.2 million for the three months ended June 30, 2021 and 2020, respectively, and $0.6 million and $0.4 million for the six months ended June 30, 2021 and 2020, respectively.</w:t>
      </w:r>
    </w:p>
    <w:p>
      <w:pPr>
        <w:spacing w:after="0" w:line="153" w:lineRule="exact"/>
        <w:rPr>
          <w:sz w:val="20"/>
          <w:szCs w:val="20"/>
          <w:color w:val="auto"/>
        </w:rPr>
      </w:pPr>
    </w:p>
    <w:p>
      <w:pPr>
        <w:ind w:left="540" w:hanging="490"/>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93"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following table presents the composition of accrued expenses as of June 30, 2021 and December 31, 2020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related benefits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5,023</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Consulting and professional fees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r>
      <w:tr>
        <w:trPr>
          <w:trHeight w:val="202"/>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Warranty</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Sales and other taxes payable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726</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r>
      <w:tr>
        <w:trPr>
          <w:trHeight w:val="196"/>
        </w:trPr>
        <w:tc>
          <w:tcPr>
            <w:tcW w:w="4100" w:type="dxa"/>
            <w:vAlign w:val="bottom"/>
          </w:tcPr>
          <w:p>
            <w:pPr>
              <w:ind w:left="100"/>
              <w:spacing w:after="0" w:line="196" w:lineRule="exact"/>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6,604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7,319</w:t>
            </w:r>
          </w:p>
        </w:tc>
      </w:tr>
      <w:tr>
        <w:trPr>
          <w:trHeight w:val="20"/>
        </w:trPr>
        <w:tc>
          <w:tcPr>
            <w:tcW w:w="4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76"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As of June 30, 2021, the Company expects to recognize approximately the following percentages of deferred revenue by year:</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Revenue</w:t>
            </w:r>
          </w:p>
        </w:tc>
      </w:tr>
      <w:tr>
        <w:trPr>
          <w:trHeight w:val="175"/>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Recognition</w:t>
            </w: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03"/>
        </w:trPr>
        <w:tc>
          <w:tcPr>
            <w:tcW w:w="20" w:type="dxa"/>
            <w:vAlign w:val="bottom"/>
          </w:tcPr>
          <w:p>
            <w:pPr>
              <w:spacing w:after="0"/>
              <w:rPr>
                <w:sz w:val="17"/>
                <w:szCs w:val="17"/>
                <w:color w:val="auto"/>
              </w:rPr>
            </w:pPr>
          </w:p>
        </w:tc>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w:t>
            </w: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12"/>
        <w:spacing w:after="0" w:line="238" w:lineRule="auto"/>
        <w:rPr>
          <w:sz w:val="20"/>
          <w:szCs w:val="20"/>
          <w:color w:val="auto"/>
        </w:rPr>
      </w:pPr>
      <w:r>
        <w:rPr>
          <w:rFonts w:ascii="Arial" w:cs="Arial" w:eastAsia="Arial" w:hAnsi="Arial"/>
          <w:sz w:val="18"/>
          <w:szCs w:val="18"/>
          <w:color w:val="auto"/>
        </w:rPr>
        <w:t>Revenue recognized for the three and six months ended June 30, 2021 that was included in the contract liability balance at the beginning of the year was $0.3 million and $1.5 million, respectively, and primarily represented revenue earned from separately priced extended warranties, rent-to-own revenue, milestone revenue, and clinical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-426085</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Customers</w:t>
      </w:r>
    </w:p>
    <w:p>
      <w:pPr>
        <w:spacing w:after="0" w:line="203" w:lineRule="exact"/>
        <w:rPr>
          <w:sz w:val="20"/>
          <w:szCs w:val="20"/>
          <w:color w:val="auto"/>
        </w:rPr>
      </w:pPr>
    </w:p>
    <w:p>
      <w:pPr>
        <w:ind w:left="60" w:right="659"/>
        <w:spacing w:after="0"/>
        <w:rPr>
          <w:sz w:val="20"/>
          <w:szCs w:val="20"/>
          <w:color w:val="auto"/>
        </w:rPr>
      </w:pPr>
      <w:r>
        <w:rPr>
          <w:rFonts w:ascii="Arial" w:cs="Arial" w:eastAsia="Arial" w:hAnsi="Arial"/>
          <w:sz w:val="18"/>
          <w:szCs w:val="18"/>
          <w:color w:val="auto"/>
        </w:rPr>
        <w:t>For the three months ended June 30, 2021 and 2020, one customer accounted for more than 10% of the Company’s revenues, respectively. For the six months ended June 30, 2021 and 2020, one customer accounted for more than 10% of the Company’s revenues, respectively.</w:t>
      </w:r>
    </w:p>
    <w:p>
      <w:pPr>
        <w:spacing w:after="0" w:line="154"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3" w:lineRule="exact"/>
        <w:rPr>
          <w:sz w:val="20"/>
          <w:szCs w:val="20"/>
          <w:color w:val="auto"/>
        </w:rPr>
      </w:pPr>
    </w:p>
    <w:p>
      <w:pPr>
        <w:ind w:left="60" w:right="959"/>
        <w:spacing w:after="0" w:line="246" w:lineRule="auto"/>
        <w:rPr>
          <w:sz w:val="20"/>
          <w:szCs w:val="20"/>
          <w:color w:val="auto"/>
        </w:rPr>
      </w:pPr>
      <w:r>
        <w:rPr>
          <w:rFonts w:ascii="Arial" w:cs="Arial" w:eastAsia="Arial" w:hAnsi="Arial"/>
          <w:sz w:val="18"/>
          <w:szCs w:val="18"/>
          <w:color w:val="auto"/>
        </w:rPr>
        <w:t>The following table presents the composition of debt as of June 30, 2021 and December 31, 2020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700" w:type="dxa"/>
            <w:vAlign w:val="bottom"/>
          </w:tcPr>
          <w:p>
            <w:pPr>
              <w:spacing w:after="0"/>
              <w:rPr>
                <w:sz w:val="15"/>
                <w:szCs w:val="15"/>
                <w:color w:val="auto"/>
              </w:rPr>
            </w:pPr>
          </w:p>
        </w:tc>
        <w:tc>
          <w:tcPr>
            <w:tcW w:w="232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96"/>
        </w:trPr>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principal</w:t>
            </w:r>
          </w:p>
        </w:tc>
        <w:tc>
          <w:tcPr>
            <w:tcW w:w="1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$ 35,000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Accrued final payment fees</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1,925</w:t>
            </w:r>
          </w:p>
        </w:tc>
        <w:tc>
          <w:tcPr>
            <w:tcW w:w="2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discounts</w:t>
            </w:r>
          </w:p>
        </w:tc>
        <w:tc>
          <w:tcPr>
            <w:tcW w:w="2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(2,305)</w:t>
            </w:r>
          </w:p>
        </w:tc>
        <w:tc>
          <w:tcPr>
            <w:tcW w:w="20" w:type="dxa"/>
            <w:vAlign w:val="bottom"/>
            <w:shd w:val="clear" w:color="auto" w:fill="CCEEFF"/>
          </w:tcPr>
          <w:p>
            <w:pPr>
              <w:spacing w:after="0"/>
              <w:rPr>
                <w:sz w:val="17"/>
                <w:szCs w:val="17"/>
                <w:color w:val="auto"/>
              </w:rPr>
            </w:pPr>
          </w:p>
        </w:tc>
      </w:tr>
      <w:tr>
        <w:trPr>
          <w:trHeight w:val="196"/>
        </w:trPr>
        <w:tc>
          <w:tcPr>
            <w:tcW w:w="3700" w:type="dxa"/>
            <w:vAlign w:val="bottom"/>
          </w:tcPr>
          <w:p>
            <w:pPr>
              <w:ind w:left="100"/>
              <w:spacing w:after="0" w:line="196" w:lineRule="exact"/>
              <w:rPr>
                <w:sz w:val="20"/>
                <w:szCs w:val="20"/>
                <w:color w:val="auto"/>
              </w:rPr>
            </w:pPr>
            <w:r>
              <w:rPr>
                <w:rFonts w:ascii="Arial" w:cs="Arial" w:eastAsia="Arial" w:hAnsi="Arial"/>
                <w:sz w:val="18"/>
                <w:szCs w:val="18"/>
                <w:color w:val="auto"/>
              </w:rPr>
              <w:t>Total debt, net</w:t>
            </w:r>
          </w:p>
        </w:tc>
        <w:tc>
          <w:tcPr>
            <w:tcW w:w="154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34,944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c>
          <w:tcPr>
            <w:tcW w:w="20" w:type="dxa"/>
            <w:vAlign w:val="bottom"/>
          </w:tcPr>
          <w:p>
            <w:pPr>
              <w:spacing w:after="0"/>
              <w:rPr>
                <w:sz w:val="17"/>
                <w:szCs w:val="17"/>
                <w:color w:val="auto"/>
              </w:rPr>
            </w:pPr>
          </w:p>
        </w:tc>
      </w:tr>
      <w:tr>
        <w:trPr>
          <w:trHeight w:val="203"/>
        </w:trPr>
        <w:tc>
          <w:tcPr>
            <w:tcW w:w="3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current portion</w:t>
            </w:r>
          </w:p>
        </w:tc>
        <w:tc>
          <w:tcPr>
            <w:tcW w:w="1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96"/>
        </w:trPr>
        <w:tc>
          <w:tcPr>
            <w:tcW w:w="3700" w:type="dxa"/>
            <w:vAlign w:val="bottom"/>
          </w:tcPr>
          <w:p>
            <w:pPr>
              <w:ind w:left="100"/>
              <w:spacing w:after="0" w:line="196" w:lineRule="exact"/>
              <w:rPr>
                <w:sz w:val="20"/>
                <w:szCs w:val="20"/>
                <w:color w:val="auto"/>
              </w:rPr>
            </w:pPr>
            <w:r>
              <w:rPr>
                <w:rFonts w:ascii="Arial" w:cs="Arial" w:eastAsia="Arial" w:hAnsi="Arial"/>
                <w:sz w:val="18"/>
                <w:szCs w:val="18"/>
                <w:color w:val="auto"/>
              </w:rPr>
              <w:t>Long-term debt, net</w:t>
            </w:r>
          </w:p>
        </w:tc>
        <w:tc>
          <w:tcPr>
            <w:tcW w:w="15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$ 34,944</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34,620</w:t>
            </w:r>
          </w:p>
        </w:tc>
        <w:tc>
          <w:tcPr>
            <w:tcW w:w="2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For the three months ended June 30, 2021, the Company recognized interest expense of $1.0 million, of which $0.8 million was cash and $0.2 million was non-cash interest expense related to the amortization of deferred debt issuance costs and accrual of final payment fees. For the three months ended June 30, 2020, the Company recognized interest expense of $1.0 million, of which $0.8 million was cash paid for interest during the period and $0.2 million was non-cash interest expense related to the amortization of deferred debt issuance costs and accrual of final payment fees.</w:t>
      </w:r>
    </w:p>
    <w:p>
      <w:pPr>
        <w:spacing w:after="0" w:line="16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For the six months ended June 30, 2021, the Company recognized interest expense of $2.0 million, of which $1.7 million was cash and $0.3 million was non-cash interest expense related to the amortization of deferred debt issuance costs and accrual of final payment fees. For the six months ended June 30, 2020, the Company recognized interest expense of $2.5 million, of which $2.2 million was cash paid for interest during the period and $0.3 million was non-cash interest expense related to the amortization of deferred debt issuance costs and accrual of final payment fees.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59"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64"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76"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June 30,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59"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June 30, 2021, the Company is in compliance with the financial covenant and is projected to be in compliance with the reduced minimum revenue covenant amounts going forward.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the Company is in compliance with all covenants in the Solar Facility.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Oxford Credit Facility</w:t>
      </w:r>
    </w:p>
    <w:p>
      <w:pPr>
        <w:spacing w:after="0" w:line="193"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56"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8"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 in March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jc w:val="both"/>
        <w:ind w:left="60" w:right="6899" w:hanging="10"/>
        <w:spacing w:after="0" w:line="485" w:lineRule="auto"/>
        <w:tabs>
          <w:tab w:leader="none" w:pos="5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 Common Stock Offering</w:t>
      </w:r>
    </w:p>
    <w:p>
      <w:pPr>
        <w:spacing w:after="0" w:line="1"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auto"/>
        </w:rPr>
        <w:t>On February 2, 2021, we closed on our public offering and sale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07"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The following table summarizes the total number of shares of the Company’s common stock issued and reserved for issuance as of June 30, 2021 and December 31, 2020 (in thousands):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of common stock issued</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26,167</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Shares of common stock reserved for issuance for:</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Common stock warrants outstanding</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Stock options outstanding</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1,607</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2,365</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Restricted stock units outstanding</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1,860</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Shares available for grant under stock incentive plan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2,153</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1,530</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Shares available for sale under employee stock purchase plan</w:t>
            </w: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r>
      <w:tr>
        <w:trPr>
          <w:trHeight w:val="196"/>
        </w:trPr>
        <w:tc>
          <w:tcPr>
            <w:tcW w:w="5680" w:type="dxa"/>
            <w:vAlign w:val="bottom"/>
          </w:tcPr>
          <w:p>
            <w:pPr>
              <w:ind w:left="220"/>
              <w:spacing w:after="0" w:line="196" w:lineRule="exact"/>
              <w:rPr>
                <w:sz w:val="20"/>
                <w:szCs w:val="20"/>
                <w:color w:val="auto"/>
              </w:rPr>
            </w:pPr>
            <w:r>
              <w:rPr>
                <w:rFonts w:ascii="Arial" w:cs="Arial" w:eastAsia="Arial" w:hAnsi="Arial"/>
                <w:sz w:val="18"/>
                <w:szCs w:val="18"/>
                <w:color w:val="auto"/>
              </w:rPr>
              <w:t>Total shares of common stock issued and reserved for issuance</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32,940</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25,582</w:t>
            </w:r>
          </w:p>
        </w:tc>
      </w:tr>
      <w:tr>
        <w:trPr>
          <w:trHeight w:val="20"/>
        </w:trPr>
        <w:tc>
          <w:tcPr>
            <w:tcW w:w="5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Company’s outstanding common stock warrants as of June 30, 2021, and</w:t>
      </w:r>
    </w:p>
    <w:p>
      <w:pPr>
        <w:ind w:left="60"/>
        <w:spacing w:after="0"/>
        <w:rPr>
          <w:sz w:val="20"/>
          <w:szCs w:val="20"/>
          <w:color w:val="auto"/>
        </w:rPr>
      </w:pPr>
      <w:r>
        <w:rPr>
          <w:rFonts w:ascii="Arial" w:cs="Arial" w:eastAsia="Arial" w:hAnsi="Arial"/>
          <w:sz w:val="18"/>
          <w:szCs w:val="18"/>
          <w:color w:val="auto"/>
        </w:rPr>
        <w:t>December 31, 2020:</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4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196"/>
        </w:trPr>
        <w:tc>
          <w:tcPr>
            <w:tcW w:w="4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19.55</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Dec-2022</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Feb-2021</w:t>
            </w:r>
          </w:p>
        </w:tc>
      </w:tr>
      <w:tr>
        <w:trPr>
          <w:trHeight w:val="203"/>
        </w:trPr>
        <w:tc>
          <w:tcPr>
            <w:tcW w:w="4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Aug-2023</w:t>
            </w:r>
          </w:p>
        </w:tc>
      </w:tr>
      <w:tr>
        <w:trPr>
          <w:trHeight w:val="203"/>
        </w:trPr>
        <w:tc>
          <w:tcPr>
            <w:tcW w:w="43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8"/>
              </w:rPr>
              <w:t>Mar-2024</w:t>
            </w:r>
          </w:p>
        </w:tc>
      </w:tr>
      <w:tr>
        <w:trPr>
          <w:trHeight w:val="203"/>
        </w:trPr>
        <w:tc>
          <w:tcPr>
            <w:tcW w:w="4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Dec-2024</w:t>
            </w:r>
          </w:p>
        </w:tc>
      </w:tr>
      <w:tr>
        <w:trPr>
          <w:trHeight w:val="196"/>
        </w:trPr>
        <w:tc>
          <w:tcPr>
            <w:tcW w:w="4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560" w:hanging="510"/>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07"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6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non-vested restricted stock units and non-vested performance restricted stock units using the treasury stock method, along with the effect, if any, from the potential conversion of outstanding securities, such as convertible preferred stock.</w:t>
      </w:r>
    </w:p>
    <w:p>
      <w:pPr>
        <w:spacing w:after="0" w:line="162"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following potentially dilutive securities outstanding as of June 30, 2021 and 2020 have been excluded from the denominator of the diluted loss per share of common stock outstanding calculation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11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53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1,865</w:t>
            </w:r>
          </w:p>
        </w:tc>
        <w:tc>
          <w:tcPr>
            <w:tcW w:w="20" w:type="dxa"/>
            <w:vAlign w:val="bottom"/>
            <w:shd w:val="clear" w:color="auto" w:fill="CCEEFF"/>
          </w:tcPr>
          <w:p>
            <w:pPr>
              <w:spacing w:after="0"/>
              <w:rPr>
                <w:sz w:val="17"/>
                <w:szCs w:val="17"/>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Non-vested performance 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restricted stock units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1,289</w:t>
            </w:r>
          </w:p>
        </w:tc>
        <w:tc>
          <w:tcPr>
            <w:tcW w:w="20" w:type="dxa"/>
            <w:vAlign w:val="bottom"/>
            <w:shd w:val="clear" w:color="auto" w:fill="CCEEFF"/>
          </w:tcPr>
          <w:p>
            <w:pPr>
              <w:spacing w:after="0"/>
              <w:rPr>
                <w:sz w:val="17"/>
                <w:szCs w:val="17"/>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bl>
    <w:p>
      <w:pPr>
        <w:spacing w:after="0" w:line="206" w:lineRule="exact"/>
        <w:rPr>
          <w:sz w:val="20"/>
          <w:szCs w:val="20"/>
          <w:color w:val="auto"/>
        </w:rPr>
      </w:pPr>
    </w:p>
    <w:p>
      <w:pPr>
        <w:ind w:left="560" w:hanging="510"/>
        <w:spacing w:after="0"/>
        <w:tabs>
          <w:tab w:leader="none" w:pos="5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The amount of share-based compensation expense recognized by the Company by location in its statements of operations for the three and six months ended June 30, 2021 and 2020 is as follows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9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1,093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r>
      <w:tr>
        <w:trPr>
          <w:trHeight w:val="203"/>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r>
      <w:tr>
        <w:trPr>
          <w:trHeight w:val="203"/>
        </w:trPr>
        <w:tc>
          <w:tcPr>
            <w:tcW w:w="29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r>
      <w:tr>
        <w:trPr>
          <w:trHeight w:val="196"/>
        </w:trPr>
        <w:tc>
          <w:tcPr>
            <w:tcW w:w="2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1,842</w:t>
            </w: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Equity Incentive Plan</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units generally vest ratably in three equal installments on the first, second and third anniversaries of the grant date. Performance restricted stock units (“PRSUs”) generally vest based on appreciation of the Company’s common stock to a certain price as determined by the Company’s board of</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directors measured using a trailing 30-day volume weighted average price of a share of the Company’s common stock. The fair value of the PRSU awards are determined using a risk neutral Monte Carlo simulation valuation model. As of June 30, 2021, there were 2.1 million shares available for future issuance under the 2018 Plan.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2020 Inducement Incentive Plan</w:t>
      </w:r>
    </w:p>
    <w:p>
      <w:pPr>
        <w:spacing w:after="0" w:line="19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December 2020, the Company adopted the 2020 Inducement Incentive Plan, which authorized the issuance of up to 0.4 million shares in the form of stock options, stock appreciation rights, restricted stock awards, restricted stock unit awards, performance stock awards and other stock awards to eligible employees who satisfy the standards for inducement grants under Nasdaq global market rules. An individual who previously served as an employee or director of the Company is not eligible to receive awards under this plan. The amount and terms of grants are determined by the Company’s board of directors. As of June 30, 2021, there were 0.1 million shares available for future issuance under the 2020 Inducement Incentive Plan.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2021:</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under</w:t>
            </w:r>
          </w:p>
        </w:tc>
        <w:tc>
          <w:tcPr>
            <w:tcW w:w="1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Option</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Life (in years)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14.84</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2021</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line="20" w:lineRule="exact"/>
              <w:rPr>
                <w:sz w:val="1"/>
                <w:szCs w:val="1"/>
                <w:color w:val="auto"/>
              </w:rPr>
            </w:pPr>
          </w:p>
        </w:tc>
      </w:tr>
      <w:tr>
        <w:trPr>
          <w:trHeight w:val="183"/>
        </w:trPr>
        <w:tc>
          <w:tcPr>
            <w:tcW w:w="42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451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June 30, 2021</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4.39</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Company recognized share-based compensation expense related to stock options of $0.2 million and $0.3 million for the three months ended June 30, 2021 and 2020, respectively, and $0.4 million and $0.8 million for the six months ended June 30, 2021 and 2020, respectively. As of June 30, 2021, there was $1.7 million of total unrecognized compensation cost related to non-vested stock options which the Company expects to recognize over a weighted-average period of 2.5 years. The total intrinsic value of stock options exercised during the six months ended June 30, 2021 was $8.0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 and Performance Restricted Stock Units</w:t>
      </w:r>
    </w:p>
    <w:p>
      <w:pPr>
        <w:spacing w:after="0" w:line="207"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The following table summarizes the Company’s restricted stock unit and performance restricted stock unit activity for June 30, 2021:</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Non-vested</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5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2020</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2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13.58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(586)</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328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June 30, 2021</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1,744</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 recognized $1.8 million and $0.4 million in share-based compensation expense related to the restricted stock units and performance restricted stock units for the three months ended June 30, 2021 and 2020, respectively, and $3.8 and $ 1.0 million for the six months ended June 30, 2021 and 2020, respectively. As of June 30, 2021, there was $11.9 million of unrecognized compensation cost related to non-vested restricted stock units and performance restricted stock units, which the Company expects to recognize over a weighted-average period of 2.3 years. The total fair value at the vesting date of restricted stock units and performance restricted stock units vested during the six months ended June 30, 2021, was $11.8 million.</w:t>
      </w:r>
    </w:p>
    <w:p>
      <w:pPr>
        <w:spacing w:after="0" w:line="16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For the period ended June 30, 2021 and December 31, 2020, the grant-date fair value of the performance restricted stock units was estimated at the time of grant using the following inputs and assumptions in the Monte Carlo simulation valuation model:</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Closing price of common stock</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ind w:left="1020"/>
              <w:spacing w:after="0" w:line="196" w:lineRule="exact"/>
              <w:rPr>
                <w:sz w:val="20"/>
                <w:szCs w:val="20"/>
                <w:color w:val="auto"/>
              </w:rPr>
            </w:pPr>
            <w:r>
              <w:rPr>
                <w:rFonts w:ascii="Arial" w:cs="Arial" w:eastAsia="Arial" w:hAnsi="Arial"/>
                <w:sz w:val="18"/>
                <w:szCs w:val="18"/>
                <w:color w:val="auto"/>
              </w:rPr>
              <w:t>1.98</w:t>
            </w:r>
          </w:p>
        </w:tc>
        <w:tc>
          <w:tcPr>
            <w:tcW w:w="2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1.15 %</w:t>
            </w:r>
          </w:p>
        </w:tc>
        <w:tc>
          <w:tcPr>
            <w:tcW w:w="180" w:type="dxa"/>
            <w:vAlign w:val="bottom"/>
          </w:tcPr>
          <w:p>
            <w:pPr>
              <w:spacing w:after="0"/>
              <w:rPr>
                <w:sz w:val="17"/>
                <w:szCs w:val="17"/>
                <w:color w:val="auto"/>
              </w:rPr>
            </w:pPr>
          </w:p>
        </w:tc>
        <w:tc>
          <w:tcPr>
            <w:tcW w:w="1700" w:type="dxa"/>
            <w:vAlign w:val="bottom"/>
            <w:gridSpan w:val="2"/>
          </w:tcPr>
          <w:p>
            <w:pPr>
              <w:ind w:left="1020"/>
              <w:spacing w:after="0" w:line="202" w:lineRule="exact"/>
              <w:rPr>
                <w:sz w:val="20"/>
                <w:szCs w:val="20"/>
                <w:color w:val="auto"/>
              </w:rPr>
            </w:pPr>
            <w:r>
              <w:rPr>
                <w:rFonts w:ascii="Arial" w:cs="Arial" w:eastAsia="Arial" w:hAnsi="Arial"/>
                <w:sz w:val="18"/>
                <w:szCs w:val="18"/>
                <w:color w:val="auto"/>
              </w:rPr>
              <w:t>0.63 %</w:t>
            </w: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99.7 %</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020"/>
              <w:spacing w:after="0" w:line="202" w:lineRule="exact"/>
              <w:rPr>
                <w:sz w:val="20"/>
                <w:szCs w:val="20"/>
                <w:color w:val="auto"/>
              </w:rPr>
            </w:pPr>
            <w:r>
              <w:rPr>
                <w:rFonts w:ascii="Arial" w:cs="Arial" w:eastAsia="Arial" w:hAnsi="Arial"/>
                <w:sz w:val="18"/>
                <w:szCs w:val="18"/>
                <w:color w:val="auto"/>
              </w:rPr>
              <w:t>87.4 %</w:t>
            </w:r>
          </w:p>
        </w:tc>
      </w:tr>
    </w:tbl>
    <w:p>
      <w:pPr>
        <w:spacing w:after="0" w:line="193" w:lineRule="exact"/>
        <w:rPr>
          <w:sz w:val="20"/>
          <w:szCs w:val="20"/>
          <w:color w:val="auto"/>
        </w:rPr>
      </w:pPr>
    </w:p>
    <w:p>
      <w:pPr>
        <w:ind w:left="60" w:right="5119" w:hanging="10"/>
        <w:spacing w:after="0" w:line="458" w:lineRule="auto"/>
        <w:tabs>
          <w:tab w:leader="none" w:pos="5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6" w:lineRule="exact"/>
        <w:rPr>
          <w:sz w:val="20"/>
          <w:szCs w:val="20"/>
          <w:color w:val="auto"/>
        </w:rPr>
      </w:pPr>
    </w:p>
    <w:p>
      <w:pPr>
        <w:ind w:left="500" w:hanging="450"/>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GEOGRAPHICAL SEGMENT INFORMATION</w:t>
      </w:r>
    </w:p>
    <w:p>
      <w:pPr>
        <w:spacing w:after="0" w:line="193"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00" w:type="dxa"/>
            <w:vAlign w:val="bottom"/>
            <w:gridSpan w:val="9"/>
          </w:tcPr>
          <w:p>
            <w:pPr>
              <w:jc w:val="right"/>
              <w:ind w:right="1010"/>
              <w:spacing w:after="0"/>
              <w:rPr>
                <w:sz w:val="20"/>
                <w:szCs w:val="20"/>
                <w:color w:val="auto"/>
              </w:rPr>
            </w:pPr>
            <w:r>
              <w:rPr>
                <w:rFonts w:ascii="Arial" w:cs="Arial" w:eastAsia="Arial" w:hAnsi="Arial"/>
                <w:sz w:val="14"/>
                <w:szCs w:val="14"/>
                <w:b w:val="1"/>
                <w:bCs w:val="1"/>
                <w:color w:val="auto"/>
              </w:rPr>
              <w:t>Revenues by Geography</w:t>
            </w:r>
          </w:p>
        </w:tc>
      </w:tr>
      <w:tr>
        <w:trPr>
          <w:trHeight w:val="175"/>
        </w:trPr>
        <w:tc>
          <w:tcPr>
            <w:tcW w:w="2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700" w:type="dxa"/>
            <w:vAlign w:val="bottom"/>
            <w:gridSpan w:val="10"/>
          </w:tcPr>
          <w:p>
            <w:pPr>
              <w:jc w:val="right"/>
              <w:ind w:right="850"/>
              <w:spacing w:after="0"/>
              <w:rPr>
                <w:sz w:val="20"/>
                <w:szCs w:val="20"/>
                <w:color w:val="auto"/>
              </w:rPr>
            </w:pPr>
            <w:r>
              <w:rPr>
                <w:rFonts w:ascii="Arial" w:cs="Arial" w:eastAsia="Arial" w:hAnsi="Arial"/>
                <w:sz w:val="14"/>
                <w:szCs w:val="14"/>
                <w:b w:val="1"/>
                <w:bCs w:val="1"/>
                <w:color w:val="auto"/>
              </w:rPr>
              <w:t>Three Months Ended June 30,</w:t>
            </w:r>
          </w:p>
        </w:tc>
      </w:tr>
      <w:tr>
        <w:trPr>
          <w:trHeight w:val="155"/>
        </w:trPr>
        <w:tc>
          <w:tcPr>
            <w:tcW w:w="2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80" w:type="dxa"/>
            <w:vAlign w:val="bottom"/>
            <w:tcBorders>
              <w:top w:val="single" w:sz="8" w:color="auto"/>
              <w:bottom w:val="single" w:sz="8" w:color="auto"/>
            </w:tcBorders>
            <w:gridSpan w:val="3"/>
          </w:tcPr>
          <w:p>
            <w:pPr>
              <w:jc w:val="right"/>
              <w:ind w:right="60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3"/>
          </w:tcPr>
          <w:p>
            <w:pPr>
              <w:jc w:val="right"/>
              <w:ind w:right="54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r>
      <w:tr>
        <w:trPr>
          <w:trHeight w:val="142"/>
        </w:trPr>
        <w:tc>
          <w:tcPr>
            <w:tcW w:w="2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02"/>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2"/>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r>
      <w:tr>
        <w:trPr>
          <w:trHeight w:val="175"/>
        </w:trPr>
        <w:tc>
          <w:tcPr>
            <w:tcW w:w="2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r>
      <w:tr>
        <w:trPr>
          <w:trHeight w:val="142"/>
        </w:trPr>
        <w:tc>
          <w:tcPr>
            <w:tcW w:w="2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80" w:type="dxa"/>
            <w:vAlign w:val="bottom"/>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gridSpan w:val="2"/>
          </w:tcPr>
          <w:p>
            <w:pPr>
              <w:spacing w:after="0"/>
              <w:rPr>
                <w:sz w:val="20"/>
                <w:szCs w:val="20"/>
                <w:color w:val="auto"/>
              </w:rPr>
            </w:pPr>
            <w:r>
              <w:rPr>
                <w:rFonts w:ascii="Arial" w:cs="Arial" w:eastAsia="Arial" w:hAnsi="Arial"/>
                <w:sz w:val="11"/>
                <w:szCs w:val="11"/>
                <w:b w:val="1"/>
                <w:bCs w:val="1"/>
                <w:color w:val="auto"/>
                <w:w w:val="74"/>
              </w:rPr>
              <w:t>except</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percentages)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900" w:type="dxa"/>
            <w:vAlign w:val="bottom"/>
            <w:gridSpan w:val="2"/>
            <w:shd w:val="clear" w:color="auto" w:fill="CCEEFF"/>
          </w:tcPr>
          <w:p>
            <w:pPr>
              <w:jc w:val="right"/>
              <w:ind w:right="4"/>
              <w:spacing w:after="0" w:line="202" w:lineRule="exact"/>
              <w:rPr>
                <w:sz w:val="20"/>
                <w:szCs w:val="20"/>
                <w:color w:val="auto"/>
              </w:rPr>
            </w:pPr>
            <w:r>
              <w:rPr>
                <w:rFonts w:ascii="Arial" w:cs="Arial" w:eastAsia="Arial" w:hAnsi="Arial"/>
                <w:sz w:val="18"/>
                <w:szCs w:val="18"/>
                <w:color w:val="auto"/>
              </w:rPr>
              <w:t>$ 13,809</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$ 9,267</w:t>
            </w:r>
          </w:p>
        </w:tc>
        <w:tc>
          <w:tcPr>
            <w:tcW w:w="11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95 %</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19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394</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3 %</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474</w:t>
            </w:r>
          </w:p>
        </w:tc>
        <w:tc>
          <w:tcPr>
            <w:tcW w:w="11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5 %</w:t>
            </w:r>
          </w:p>
        </w:tc>
      </w:tr>
      <w:tr>
        <w:trPr>
          <w:trHeight w:val="196"/>
        </w:trPr>
        <w:tc>
          <w:tcPr>
            <w:tcW w:w="238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4"/>
              <w:spacing w:after="0" w:line="196" w:lineRule="exact"/>
              <w:rPr>
                <w:sz w:val="20"/>
                <w:szCs w:val="20"/>
                <w:color w:val="auto"/>
              </w:rPr>
            </w:pPr>
            <w:r>
              <w:rPr>
                <w:rFonts w:ascii="Arial" w:cs="Arial" w:eastAsia="Arial" w:hAnsi="Arial"/>
                <w:sz w:val="18"/>
                <w:szCs w:val="18"/>
                <w:color w:val="auto"/>
                <w:w w:val="99"/>
              </w:rPr>
              <w:t>$ 14,203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$ 9,741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22"/>
          </w:tcPr>
          <w:p>
            <w:pPr>
              <w:jc w:val="center"/>
              <w:ind w:right="210"/>
              <w:spacing w:after="0"/>
              <w:rPr>
                <w:sz w:val="20"/>
                <w:szCs w:val="20"/>
                <w:color w:val="auto"/>
              </w:rPr>
            </w:pPr>
            <w:r>
              <w:rPr>
                <w:rFonts w:ascii="Arial" w:cs="Arial" w:eastAsia="Arial" w:hAnsi="Arial"/>
                <w:sz w:val="14"/>
                <w:szCs w:val="14"/>
                <w:b w:val="1"/>
                <w:bCs w:val="1"/>
                <w:color w:val="auto"/>
              </w:rPr>
              <w:t>U.S. Revenues by Product Category</w:t>
            </w: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19"/>
          </w:tcPr>
          <w:p>
            <w:pPr>
              <w:jc w:val="center"/>
              <w:ind w:right="730"/>
              <w:spacing w:after="0"/>
              <w:rPr>
                <w:sz w:val="20"/>
                <w:szCs w:val="20"/>
                <w:color w:val="auto"/>
              </w:rPr>
            </w:pPr>
            <w:r>
              <w:rPr>
                <w:rFonts w:ascii="Arial" w:cs="Arial" w:eastAsia="Arial" w:hAnsi="Arial"/>
                <w:sz w:val="14"/>
                <w:szCs w:val="14"/>
                <w:b w:val="1"/>
                <w:bCs w:val="1"/>
                <w:color w:val="auto"/>
              </w:rPr>
              <w:t>Three Months Ended June 30,</w:t>
            </w: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7"/>
          </w:tcPr>
          <w:p>
            <w:pPr>
              <w:jc w:val="right"/>
              <w:ind w:right="344"/>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gridSpan w:val="5"/>
          </w:tcPr>
          <w:p>
            <w:pPr>
              <w:jc w:val="right"/>
              <w:ind w:right="52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20"/>
          </w:tcPr>
          <w:p>
            <w:pPr>
              <w:jc w:val="center"/>
              <w:ind w:right="44"/>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2,577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9"/>
            <w:shd w:val="clear" w:color="auto" w:fill="CCEEFF"/>
          </w:tcPr>
          <w:p>
            <w:pPr>
              <w:jc w:val="right"/>
              <w:spacing w:after="0" w:line="202" w:lineRule="exact"/>
              <w:rPr>
                <w:sz w:val="20"/>
                <w:szCs w:val="20"/>
                <w:color w:val="auto"/>
              </w:rPr>
            </w:pPr>
            <w:r>
              <w:rPr>
                <w:rFonts w:ascii="Arial" w:cs="Arial" w:eastAsia="Arial" w:hAnsi="Arial"/>
                <w:sz w:val="18"/>
                <w:szCs w:val="18"/>
                <w:color w:val="auto"/>
              </w:rPr>
              <w:t>19 % $ 2,338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10,801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78 %</w:t>
            </w:r>
          </w:p>
        </w:tc>
        <w:tc>
          <w:tcPr>
            <w:tcW w:w="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6,547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71 %</w:t>
            </w: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99"/>
              </w:rPr>
              <w:t>$ 13,809</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$ 9,267</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23"/>
          </w:tcPr>
          <w:p>
            <w:pPr>
              <w:jc w:val="center"/>
              <w:ind w:right="230"/>
              <w:spacing w:after="0"/>
              <w:rPr>
                <w:sz w:val="20"/>
                <w:szCs w:val="20"/>
                <w:color w:val="auto"/>
              </w:rPr>
            </w:pPr>
            <w:r>
              <w:rPr>
                <w:rFonts w:ascii="Arial" w:cs="Arial" w:eastAsia="Arial" w:hAnsi="Arial"/>
                <w:sz w:val="14"/>
                <w:szCs w:val="14"/>
                <w:b w:val="1"/>
                <w:bCs w:val="1"/>
                <w:color w:val="auto"/>
              </w:rPr>
              <w:t>International Revenues by Product Category</w:t>
            </w: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6"/>
          </w:tcPr>
          <w:p>
            <w:pPr>
              <w:jc w:val="center"/>
              <w:ind w:right="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7"/>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90"/>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80" w:type="dxa"/>
            <w:vAlign w:val="bottom"/>
            <w:gridSpan w:val="2"/>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18"/>
          </w:tcPr>
          <w:p>
            <w:pPr>
              <w:ind w:left="28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72 % $</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66 %</w:t>
            </w:r>
          </w:p>
        </w:tc>
      </w:tr>
      <w:tr>
        <w:trPr>
          <w:trHeight w:val="203"/>
        </w:trPr>
        <w:tc>
          <w:tcPr>
            <w:tcW w:w="20" w:type="dxa"/>
            <w:vAlign w:val="bottom"/>
          </w:tcPr>
          <w:p>
            <w:pPr>
              <w:spacing w:after="0"/>
              <w:rPr>
                <w:sz w:val="17"/>
                <w:szCs w:val="17"/>
                <w:color w:val="auto"/>
              </w:rPr>
            </w:pPr>
          </w:p>
        </w:tc>
        <w:tc>
          <w:tcPr>
            <w:tcW w:w="340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24 %</w:t>
            </w: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10 %</w:t>
            </w:r>
          </w:p>
        </w:tc>
      </w:tr>
      <w:tr>
        <w:trPr>
          <w:trHeight w:val="196"/>
        </w:trPr>
        <w:tc>
          <w:tcPr>
            <w:tcW w:w="20" w:type="dxa"/>
            <w:vAlign w:val="bottom"/>
          </w:tcPr>
          <w:p>
            <w:pPr>
              <w:spacing w:after="0"/>
              <w:rPr>
                <w:sz w:val="17"/>
                <w:szCs w:val="17"/>
                <w:color w:val="auto"/>
              </w:rPr>
            </w:pPr>
          </w:p>
        </w:tc>
        <w:tc>
          <w:tcPr>
            <w:tcW w:w="340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394</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15"/>
          </w:tcPr>
          <w:p>
            <w:pPr>
              <w:jc w:val="center"/>
              <w:ind w:right="18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6"/>
          </w:tcPr>
          <w:p>
            <w:pPr>
              <w:jc w:val="center"/>
              <w:ind w:right="1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04"/>
              <w:spacing w:after="0" w:line="143" w:lineRule="exact"/>
              <w:rPr>
                <w:sz w:val="20"/>
                <w:szCs w:val="20"/>
                <w:color w:val="auto"/>
              </w:rPr>
            </w:pPr>
            <w:r>
              <w:rPr>
                <w:rFonts w:ascii="Arial" w:cs="Arial" w:eastAsia="Arial" w:hAnsi="Arial"/>
                <w:sz w:val="14"/>
                <w:szCs w:val="14"/>
                <w:b w:val="1"/>
                <w:bCs w:val="1"/>
                <w:color w:val="auto"/>
              </w:rPr>
              <w:t>% of</w:t>
            </w: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7"/>
          </w:tcPr>
          <w:p>
            <w:pPr>
              <w:jc w:val="right"/>
              <w:ind w:right="150"/>
              <w:spacing w:after="0"/>
              <w:rPr>
                <w:sz w:val="20"/>
                <w:szCs w:val="20"/>
                <w:color w:val="auto"/>
              </w:rPr>
            </w:pPr>
            <w:r>
              <w:rPr>
                <w:rFonts w:ascii="Arial" w:cs="Arial" w:eastAsia="Arial" w:hAnsi="Arial"/>
                <w:sz w:val="14"/>
                <w:szCs w:val="14"/>
                <w:b w:val="1"/>
                <w:bCs w:val="1"/>
                <w:color w:val="auto"/>
                <w:w w:val="99"/>
              </w:rPr>
              <w:t>Revenues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rPr>
              <w:t>Revenues</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22"/>
          </w:tcPr>
          <w:p>
            <w:pPr>
              <w:jc w:val="center"/>
              <w:ind w:right="450"/>
              <w:spacing w:after="0"/>
              <w:rPr>
                <w:sz w:val="20"/>
                <w:szCs w:val="20"/>
                <w:color w:val="auto"/>
              </w:rPr>
            </w:pPr>
            <w:r>
              <w:rPr>
                <w:rFonts w:ascii="Arial" w:cs="Arial" w:eastAsia="Arial" w:hAnsi="Arial"/>
                <w:sz w:val="14"/>
                <w:szCs w:val="14"/>
                <w:b w:val="1"/>
                <w:bCs w:val="1"/>
                <w:color w:val="auto"/>
              </w:rPr>
              <w:t>(in thousands, except percentages)</w:t>
            </w:r>
          </w:p>
        </w:tc>
      </w:tr>
      <w:tr>
        <w:trPr>
          <w:trHeight w:val="203"/>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$ 25,611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8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$ 20,444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773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$ 26,491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$ 21,217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NEURONETICS,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Interim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17"/>
          </w:tcPr>
          <w:p>
            <w:pPr>
              <w:jc w:val="center"/>
              <w:ind w:right="17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6"/>
          </w:tcPr>
          <w:p>
            <w:pPr>
              <w:jc w:val="right"/>
              <w:ind w:right="46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6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10"/>
              <w:spacing w:after="0" w:line="14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Revenues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14"/>
          </w:tcPr>
          <w:p>
            <w:pPr>
              <w:jc w:val="center"/>
              <w:ind w:left="319"/>
              <w:spacing w:after="0" w:line="142" w:lineRule="exact"/>
              <w:rPr>
                <w:sz w:val="20"/>
                <w:szCs w:val="20"/>
                <w:color w:val="auto"/>
              </w:rPr>
            </w:pPr>
            <w:r>
              <w:rPr>
                <w:rFonts w:ascii="Arial" w:cs="Arial" w:eastAsia="Arial" w:hAnsi="Arial"/>
                <w:sz w:val="14"/>
                <w:szCs w:val="14"/>
                <w:b w:val="1"/>
                <w:bCs w:val="1"/>
                <w:color w:val="auto"/>
                <w:w w:val="93"/>
              </w:rPr>
              <w:t>(in thousands, except percentages)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4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4,333</w:t>
            </w:r>
          </w:p>
        </w:tc>
        <w:tc>
          <w:tcPr>
            <w:tcW w:w="116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20,429</w:t>
            </w:r>
          </w:p>
        </w:tc>
        <w:tc>
          <w:tcPr>
            <w:tcW w:w="1060" w:type="dxa"/>
            <w:vAlign w:val="bottom"/>
            <w:gridSpan w:val="7"/>
          </w:tcPr>
          <w:p>
            <w:pPr>
              <w:jc w:val="right"/>
              <w:spacing w:after="0" w:line="202" w:lineRule="exact"/>
              <w:rPr>
                <w:sz w:val="20"/>
                <w:szCs w:val="20"/>
                <w:color w:val="auto"/>
              </w:rPr>
            </w:pPr>
            <w:r>
              <w:rPr>
                <w:rFonts w:ascii="Arial" w:cs="Arial" w:eastAsia="Arial" w:hAnsi="Arial"/>
                <w:sz w:val="18"/>
                <w:szCs w:val="18"/>
                <w:color w:val="auto"/>
              </w:rPr>
              <w:t>80 %</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14,740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1060" w:type="dxa"/>
            <w:vAlign w:val="bottom"/>
            <w:gridSpan w:val="7"/>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80"/>
              <w:spacing w:after="0" w:line="196" w:lineRule="exact"/>
              <w:rPr>
                <w:sz w:val="20"/>
                <w:szCs w:val="20"/>
                <w:color w:val="auto"/>
              </w:rPr>
            </w:pPr>
            <w:r>
              <w:rPr>
                <w:rFonts w:ascii="Arial" w:cs="Arial" w:eastAsia="Arial" w:hAnsi="Arial"/>
                <w:sz w:val="18"/>
                <w:szCs w:val="18"/>
                <w:color w:val="auto"/>
              </w:rPr>
              <w:t>Total U.S. revenues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6"/>
              </w:rPr>
              <w:t>$ 25,611</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20,444</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17"/>
          </w:tcPr>
          <w:p>
            <w:pPr>
              <w:jc w:val="right"/>
              <w:ind w:right="310"/>
              <w:spacing w:after="0"/>
              <w:rPr>
                <w:sz w:val="20"/>
                <w:szCs w:val="20"/>
                <w:color w:val="auto"/>
              </w:rPr>
            </w:pPr>
            <w:r>
              <w:rPr>
                <w:rFonts w:ascii="Arial" w:cs="Arial" w:eastAsia="Arial" w:hAnsi="Arial"/>
                <w:sz w:val="14"/>
                <w:szCs w:val="14"/>
                <w:b w:val="1"/>
                <w:bCs w:val="1"/>
                <w:color w:val="auto"/>
              </w:rPr>
              <w:t>International Revenues by Product Category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8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4"/>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right"/>
              <w:ind w:right="124"/>
              <w:spacing w:after="0" w:line="143" w:lineRule="exact"/>
              <w:rPr>
                <w:sz w:val="20"/>
                <w:szCs w:val="20"/>
                <w:color w:val="auto"/>
              </w:rPr>
            </w:pPr>
            <w:r>
              <w:rPr>
                <w:rFonts w:ascii="Arial" w:cs="Arial" w:eastAsia="Arial" w:hAnsi="Arial"/>
                <w:sz w:val="14"/>
                <w:szCs w:val="14"/>
                <w:b w:val="1"/>
                <w:bCs w:val="1"/>
                <w:color w:val="auto"/>
              </w:rPr>
              <w:t>% of</w:t>
            </w:r>
          </w:p>
        </w:tc>
        <w:tc>
          <w:tcPr>
            <w:tcW w:w="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5"/>
                <w:szCs w:val="15"/>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13"/>
          </w:tcPr>
          <w:p>
            <w:pPr>
              <w:ind w:left="320"/>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700" w:type="dxa"/>
            <w:vAlign w:val="bottom"/>
            <w:gridSpan w:val="2"/>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491</w:t>
            </w:r>
          </w:p>
        </w:tc>
        <w:tc>
          <w:tcPr>
            <w:tcW w:w="60" w:type="dxa"/>
            <w:vAlign w:val="bottom"/>
            <w:shd w:val="clear" w:color="auto" w:fill="CCEEFF"/>
          </w:tcPr>
          <w:p>
            <w:pPr>
              <w:spacing w:after="0"/>
              <w:rPr>
                <w:sz w:val="17"/>
                <w:szCs w:val="17"/>
                <w:color w:val="auto"/>
              </w:rPr>
            </w:pPr>
          </w:p>
        </w:tc>
        <w:tc>
          <w:tcPr>
            <w:tcW w:w="116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56 % $</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c>
          <w:tcPr>
            <w:tcW w:w="100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16 %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7"/>
                <w:szCs w:val="17"/>
                <w:color w:val="auto"/>
              </w:rPr>
            </w:pPr>
          </w:p>
        </w:tc>
        <w:tc>
          <w:tcPr>
            <w:tcW w:w="100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28 %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Pr>
          <w:p>
            <w:pPr>
              <w:ind w:left="100"/>
              <w:spacing w:after="0" w:line="196" w:lineRule="exact"/>
              <w:rPr>
                <w:sz w:val="20"/>
                <w:szCs w:val="20"/>
                <w:color w:val="auto"/>
              </w:rPr>
            </w:pPr>
            <w:r>
              <w:rPr>
                <w:rFonts w:ascii="Arial" w:cs="Arial" w:eastAsia="Arial" w:hAnsi="Arial"/>
                <w:sz w:val="18"/>
                <w:szCs w:val="18"/>
                <w:color w:val="auto"/>
              </w:rPr>
              <w:t>Total International revenues</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560" w:hanging="510"/>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16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entered into transition agreements outlining the separation with its former chief executive officer in March 2020, the vice president of medical operations in September 2020, the chief commercial officer and director of medical operations in December 2020, the VP of sales and five business development managers in January 2021, the director of strategic clinical development in February 2021, and other employees during the three months ended June 30, 2021. In connection with these agreements, the Company recorded $0.1 million and $1.1 million of charges in salary, payroll tax and bonus expenses for the three months ended June 30, 2021 and 2020, respectively, and $0.2 million and $1.1 million for the six months ended June 30, 2021 and 2020, respectively. For the six months ended June 30, 2021 and 2020, $0.8 million and $0.3 million of termination benefits were paid associated with the termination of the employees and charged against this liability. As of June 30, 2021 and December 31, 2020, $0.4 million and $1.0 million, respectively, remain in accrued liabilities for the unpaid portion of the separation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ongoing impact of the novel coronavirus, or COVID-19, pandemic on general political and economic uncertainty, including as a result of efforts by governmental authorities to mitigate the COVID-19 pandemic, such as travel bans, shelter in place orders and third-party business closures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4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2, 2021.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the market leader in TMS therapy based on the estimated 110,620 global patients treated with over 4.0 million of our treatment sessions through such date. We generated revenues of $14.2 million and $9.7 million for the three months ended June 30, 2021 and 2020, respectively, and $26.5 million and $21.2 million for the six months ended June 30, 2021 and 2020, respectively.</w:t>
      </w:r>
    </w:p>
    <w:p>
      <w:pPr>
        <w:spacing w:after="0" w:line="17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June 30, 2021, revenues from sales of our Treatment Sessions and NeuroStar Advanced Therapy Systems represented 78% and 19% of our U.S. revenues, respectively, and 80% and 17% for the six months ended June 30, 2021, respectively.</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sell our NeuroStar Advanced Therapy System and recurring Treatment Sessions in the United States with the collaborative support of our 161 employees as of June 30, 2021. Our sales force targets an estimated 50,000 psychiatrists across 26,000 psychiatric practices in the United States, based on data from Symphony Health and our own internal estimates that treat approximately 42% of the total MDD patients in the United States who meet our labeled indication and are insured. Some of our customers have and may purchase more than one NeuroStar Advanced Therapy System. Based on our commercial data, on average, we believe our customers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and six months ended June 30, 2021, one customer accounted for more than 10% of our revenues.</w:t>
      </w:r>
    </w:p>
    <w:p>
      <w:pPr>
        <w:spacing w:after="0" w:line="16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market our products in a few select markets outside the United States through independent distributors. International revenues represented 3% and 5% of our total revenues for the three months ended June 30, 2021 and 2020, respectively, and 3% and 4% for the six months ended June 30, 2021 and 2020,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66" w:lineRule="exact"/>
        <w:rPr>
          <w:sz w:val="20"/>
          <w:szCs w:val="20"/>
          <w:color w:val="auto"/>
        </w:rPr>
      </w:pPr>
    </w:p>
    <w:p>
      <w:pPr>
        <w:ind w:left="60" w:right="279"/>
        <w:spacing w:after="0" w:line="255" w:lineRule="auto"/>
        <w:rPr>
          <w:sz w:val="20"/>
          <w:szCs w:val="20"/>
          <w:color w:val="auto"/>
        </w:rPr>
      </w:pPr>
      <w:r>
        <w:rPr>
          <w:rFonts w:ascii="Arial" w:cs="Arial" w:eastAsia="Arial" w:hAnsi="Arial"/>
          <w:sz w:val="17"/>
          <w:szCs w:val="17"/>
          <w:color w:val="auto"/>
        </w:rPr>
        <w:t>Our research and development efforts are focused on the following: hardware and software product developments and enhancements of our NeuroStar Advanced Therapy System and clinical development relating to expansion of our label and additional indications, which may include bipolar depression and post-traumatic stress disorder. We outsource the manufacture of components of our NeuroStar Advanced Therapy Systems that are produced to our specifications, and individual components are either shipped directly from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19"/>
        <w:spacing w:after="0" w:line="274" w:lineRule="auto"/>
        <w:rPr>
          <w:sz w:val="20"/>
          <w:szCs w:val="20"/>
          <w:color w:val="auto"/>
        </w:rPr>
      </w:pPr>
      <w:r>
        <w:rPr>
          <w:rFonts w:ascii="Arial" w:cs="Arial" w:eastAsia="Arial" w:hAnsi="Arial"/>
          <w:sz w:val="17"/>
          <w:szCs w:val="17"/>
          <w:color w:val="auto"/>
        </w:rPr>
        <w:t>our third-party contract manufacturers to our customers or consolidated into pallets at our Malvern, Pennsylvania facility prior to shipment. Final installation of these systems occurs at the customer site.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total revenues increased by $4.5 million, or 46%, from $9.7 million for the three months ended</w:t>
      </w:r>
    </w:p>
    <w:p>
      <w:pPr>
        <w:ind w:left="60" w:right="59"/>
        <w:spacing w:after="0" w:line="234" w:lineRule="auto"/>
        <w:rPr>
          <w:sz w:val="20"/>
          <w:szCs w:val="20"/>
          <w:color w:val="auto"/>
        </w:rPr>
      </w:pPr>
      <w:r>
        <w:rPr>
          <w:rFonts w:ascii="Arial" w:cs="Arial" w:eastAsia="Arial" w:hAnsi="Arial"/>
          <w:sz w:val="18"/>
          <w:szCs w:val="18"/>
          <w:color w:val="auto"/>
        </w:rPr>
        <w:t>June 30, 2020 to $14.2 million for the three months ended June 30, 2021 and increased by $ 5.3 million, or 25%, from $21.2 million for the six months ended June 30, 2020 to $26.5 million for the six months ended</w:t>
      </w:r>
    </w:p>
    <w:p>
      <w:pPr>
        <w:spacing w:after="0" w:line="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June 30, 2021. For the three and six months ended June 30, 2021, our U.S. revenues were $ 13.8 million and $25.6 million compared to $9.3 million and $20.4 million for three and six months ended June 30, 2020, which represents an increase of 49% and 25% period over period. The increase was primarily attributable to an increase in U.S. treatment session revenue period over period. We incurred net losses of $7.5 million and $15.4 million for the three and six months ended June 30, 2021 compared to net losses of $ 7.8 million and $20.4 million for three and six months ended June 30, 2020. We expect to continue to incur losses for the next several years as we invest in our commercial organization to support our planned sales growth and while continuing to invest in our pipeline indications. As of June 30, 2021, we had an accumulated deficit of $292.9 million.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COVID-19</w:t>
      </w:r>
    </w:p>
    <w:p>
      <w:pPr>
        <w:spacing w:after="0" w:line="207"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Throughout 2020 and the six months ended June 30, 2021, the Company experienced a material impact to revenue, particularly with regards to U.S. treatment session revenues as a result of the COVID-19 pandemic. The Company expects that capital equipment sales and treatment session revenues will continue to be materially impacted by this pandemic as customers are deferring capital purchase decisions and new patient treatment starts. System utilization has also declined compared to pre-COVID-19 projections.</w:t>
      </w:r>
    </w:p>
    <w:p>
      <w:pPr>
        <w:spacing w:after="0" w:line="162" w:lineRule="exact"/>
        <w:rPr>
          <w:sz w:val="20"/>
          <w:szCs w:val="20"/>
          <w:color w:val="auto"/>
        </w:rPr>
      </w:pPr>
    </w:p>
    <w:p>
      <w:pPr>
        <w:ind w:left="60" w:right="239"/>
        <w:spacing w:after="0" w:line="234" w:lineRule="auto"/>
        <w:rPr>
          <w:sz w:val="20"/>
          <w:szCs w:val="20"/>
          <w:color w:val="auto"/>
        </w:rPr>
      </w:pPr>
      <w:r>
        <w:rPr>
          <w:rFonts w:ascii="Arial" w:cs="Arial" w:eastAsia="Arial" w:hAnsi="Arial"/>
          <w:sz w:val="18"/>
          <w:szCs w:val="18"/>
          <w:color w:val="auto"/>
        </w:rPr>
        <w:t>We have monitored the impact of the COVID-19 pandemic on all aspects of our business and geographies, including how it has and will continue to impact the Company’s customers, supply chain, employees and other business partners. While we experienced significant disruptions in 2020 and the six months ended</w:t>
      </w:r>
    </w:p>
    <w:p>
      <w:pPr>
        <w:spacing w:after="0" w:line="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June 30, 2021 from the COVID-19 pandemic, we are unable to predict the ultimate impact that the COVID-19 pandemic may have on our financial condition, results of operations and cash flows due to numerous uncertainties. These uncertainties include the scope, severity and duration of the ongoing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w:t>
      </w:r>
    </w:p>
    <w:p>
      <w:pPr>
        <w:spacing w:after="0" w:line="16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Part II, Item 1A titled “Risk Factors” of our Quarterly Report on Form 10-Q for the period ended June 30,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54"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u w:val="single" w:color="auto"/>
          <w:color w:val="auto"/>
        </w:rPr>
        <w:t>NeuroStar Advanced Therapy System Revenues</w:t>
      </w:r>
      <w:r>
        <w:rPr>
          <w:rFonts w:ascii="Arial" w:cs="Arial" w:eastAsia="Arial" w:hAnsi="Arial"/>
          <w:sz w:val="18"/>
          <w:szCs w:val="18"/>
          <w:color w:val="auto"/>
        </w:rPr>
        <w:t>. NeuroStar Advanced Therapy System revenues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sales or rentals of a capital component, including upgrades to the equipment attributable to the initial sale of the system. NeuroStar Advanced Therapy Systems can be purchased outright or on a rent-to-own basis by certain customers.</w:t>
      </w:r>
    </w:p>
    <w:p>
      <w:pPr>
        <w:spacing w:after="0" w:line="133" w:lineRule="exact"/>
        <w:rPr>
          <w:sz w:val="20"/>
          <w:szCs w:val="20"/>
          <w:color w:val="auto"/>
        </w:rPr>
      </w:pPr>
    </w:p>
    <w:p>
      <w:pPr>
        <w:ind w:left="60" w:right="339"/>
        <w:spacing w:after="0" w:line="301" w:lineRule="auto"/>
        <w:rPr>
          <w:sz w:val="20"/>
          <w:szCs w:val="20"/>
          <w:color w:val="auto"/>
        </w:rPr>
      </w:pPr>
      <w:r>
        <w:rPr>
          <w:rFonts w:ascii="Arial" w:cs="Arial" w:eastAsia="Arial" w:hAnsi="Arial"/>
          <w:sz w:val="17"/>
          <w:szCs w:val="17"/>
          <w:b w:val="1"/>
          <w:bCs w:val="1"/>
          <w:i w:val="1"/>
          <w:iCs w:val="1"/>
          <w:u w:val="single" w:color="auto"/>
          <w:color w:val="auto"/>
        </w:rPr>
        <w:t>Treatment Session Revenues</w:t>
      </w:r>
      <w:r>
        <w:rPr>
          <w:rFonts w:ascii="Arial" w:cs="Arial" w:eastAsia="Arial" w:hAnsi="Arial"/>
          <w:sz w:val="17"/>
          <w:szCs w:val="17"/>
          <w:color w:val="auto"/>
        </w:rPr>
        <w:t>. Treatment session revenues primarily include sales of NeuroStar Treatment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Sessions and SenStar treatment links. The NeuroStar Treatment Sessions are access codes that are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auto"/>
        </w:rPr>
        <w:t>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42"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b w:val="1"/>
          <w:bCs w:val="1"/>
          <w:i w:val="1"/>
          <w:iCs w:val="1"/>
          <w:u w:val="single" w:color="auto"/>
          <w:color w:val="auto"/>
        </w:rPr>
        <w:t>Other Revenues</w:t>
      </w:r>
      <w:r>
        <w:rPr>
          <w:rFonts w:ascii="Arial" w:cs="Arial" w:eastAsia="Arial" w:hAnsi="Arial"/>
          <w:sz w:val="18"/>
          <w:szCs w:val="18"/>
          <w:color w:val="auto"/>
        </w:rPr>
        <w:t>. Other revenues are derived primarily from service and repair and extended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our existing customers.</w:t>
      </w:r>
    </w:p>
    <w:p>
      <w:pPr>
        <w:spacing w:after="0" w:line="13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auto"/>
        </w:rPr>
        <w:t>We refer you to the section titled “Critical Accounting Policies and Use of Estimates—Revenue Recognition” appearing in our Form 10-K filed with the SEC on March 2, 2021. We also refer you to “Note 3.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64" w:lineRule="exact"/>
        <w:rPr>
          <w:sz w:val="20"/>
          <w:szCs w:val="20"/>
          <w:color w:val="auto"/>
        </w:rPr>
      </w:pPr>
    </w:p>
    <w:p>
      <w:pPr>
        <w:ind w:left="60" w:right="179"/>
        <w:spacing w:after="0" w:line="253" w:lineRule="auto"/>
        <w:rPr>
          <w:sz w:val="20"/>
          <w:szCs w:val="20"/>
          <w:color w:val="auto"/>
        </w:rPr>
      </w:pPr>
      <w:r>
        <w:rPr>
          <w:rFonts w:ascii="Arial" w:cs="Arial" w:eastAsia="Arial" w:hAnsi="Arial"/>
          <w:sz w:val="17"/>
          <w:szCs w:val="17"/>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 conferences and trade shows, promotional and marketing activities, including direct and online marketing, practice support programs, travel and training expenses.</w:t>
      </w:r>
    </w:p>
    <w:p>
      <w:pPr>
        <w:spacing w:after="0" w:line="162"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sales and marketing expenses will increase as we continue to execute on our growth initiatives and expand our business in the United States.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We anticipate that our general and administrative expenses will increase in fiscal year 2021 from fiscal year 2020.</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78"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plan to incur research and development expenses for the near future as we expect to continue our development of TMS Therapy for the treatment of additional patient populations and new indications, which may include bipolar depression, post-traumatic stress disorder and potential other clinical indications yet to be determined, as well as for various hardware and software development projects. As a result, we expect our research and development expenses to remain similar to our fiscal year 2020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jc w:val="both"/>
        <w:ind w:left="60" w:right="199"/>
        <w:spacing w:after="0" w:line="274" w:lineRule="auto"/>
        <w:rPr>
          <w:sz w:val="20"/>
          <w:szCs w:val="20"/>
          <w:color w:val="auto"/>
        </w:rPr>
      </w:pPr>
      <w:r>
        <w:rPr>
          <w:rFonts w:ascii="Arial" w:cs="Arial" w:eastAsia="Arial" w:hAnsi="Arial"/>
          <w:sz w:val="17"/>
          <w:szCs w:val="17"/>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consists primarily of interest income earned on our money market account balances.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98"/>
              </w:rPr>
              <w:t>(in thousands, except</w:t>
            </w:r>
          </w:p>
        </w:tc>
        <w:tc>
          <w:tcPr>
            <w:tcW w:w="106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14,203</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9,741</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4,462</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2,323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427</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7,418</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4,035</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80.6</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76.2</w:t>
            </w:r>
          </w:p>
        </w:tc>
        <w:tc>
          <w:tcPr>
            <w:tcW w:w="2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8,151</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6,681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4,010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2,671</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18,017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14,277</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3,740</w:t>
            </w:r>
          </w:p>
        </w:tc>
        <w:tc>
          <w:tcPr>
            <w:tcW w:w="2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(6,859)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62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Revenues by Geography</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center"/>
              <w:ind w:left="447"/>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4"/>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7"/>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900" w:type="dxa"/>
            <w:vAlign w:val="bottom"/>
            <w:gridSpan w:val="3"/>
          </w:tcPr>
          <w:p>
            <w:pPr>
              <w:jc w:val="center"/>
              <w:ind w:right="163"/>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9"/>
              </w:rPr>
              <w:t>Revenues</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74"/>
              </w:rPr>
              <w:t>except</w:t>
            </w: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gridSpan w:val="2"/>
            <w:vMerge w:val="continue"/>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percentages)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$ 13,809</w:t>
            </w:r>
          </w:p>
        </w:tc>
        <w:tc>
          <w:tcPr>
            <w:tcW w:w="1080" w:type="dxa"/>
            <w:vAlign w:val="bottom"/>
            <w:tcBorders>
              <w:left w:val="single" w:sz="8" w:color="CCEEFF"/>
            </w:tcBorders>
            <w:gridSpan w:val="4"/>
            <w:shd w:val="clear" w:color="auto" w:fill="CCEEFF"/>
          </w:tcPr>
          <w:p>
            <w:pPr>
              <w:jc w:val="right"/>
              <w:ind w:right="3"/>
              <w:spacing w:after="0"/>
              <w:rPr>
                <w:sz w:val="20"/>
                <w:szCs w:val="20"/>
                <w:color w:val="auto"/>
              </w:rPr>
            </w:pPr>
            <w:r>
              <w:rPr>
                <w:rFonts w:ascii="Arial" w:cs="Arial" w:eastAsia="Arial" w:hAnsi="Arial"/>
                <w:sz w:val="18"/>
                <w:szCs w:val="18"/>
                <w:color w:val="auto"/>
              </w:rPr>
              <w:t>97 %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$ 9,267</w:t>
            </w:r>
          </w:p>
        </w:tc>
        <w:tc>
          <w:tcPr>
            <w:tcW w:w="18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394</w:t>
            </w:r>
          </w:p>
        </w:tc>
        <w:tc>
          <w:tcPr>
            <w:tcW w:w="180" w:type="dxa"/>
            <w:vAlign w:val="bottom"/>
          </w:tcPr>
          <w:p>
            <w:pPr>
              <w:spacing w:after="0"/>
              <w:rPr>
                <w:sz w:val="17"/>
                <w:szCs w:val="17"/>
                <w:color w:val="auto"/>
              </w:rPr>
            </w:pPr>
          </w:p>
        </w:tc>
        <w:tc>
          <w:tcPr>
            <w:tcW w:w="900" w:type="dxa"/>
            <w:vAlign w:val="bottom"/>
            <w:gridSpan w:val="3"/>
          </w:tcPr>
          <w:p>
            <w:pPr>
              <w:jc w:val="right"/>
              <w:ind w:right="3"/>
              <w:spacing w:after="0" w:line="202" w:lineRule="exact"/>
              <w:rPr>
                <w:sz w:val="20"/>
                <w:szCs w:val="20"/>
                <w:color w:val="auto"/>
              </w:rPr>
            </w:pPr>
            <w:r>
              <w:rPr>
                <w:rFonts w:ascii="Arial" w:cs="Arial" w:eastAsia="Arial" w:hAnsi="Arial"/>
                <w:sz w:val="18"/>
                <w:szCs w:val="18"/>
                <w:color w:val="auto"/>
              </w:rPr>
              <w:t>3 %</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474</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20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$ 14,203</w:t>
            </w:r>
          </w:p>
        </w:tc>
        <w:tc>
          <w:tcPr>
            <w:tcW w:w="180" w:type="dxa"/>
            <w:vAlign w:val="bottom"/>
            <w:tcBorders>
              <w:left w:val="single" w:sz="8" w:color="CCEEFF"/>
              <w:right w:val="single" w:sz="8" w:color="CCEEFF"/>
            </w:tcBorders>
            <w:shd w:val="clear" w:color="auto" w:fill="CCEEFF"/>
          </w:tcPr>
          <w:p>
            <w:pPr>
              <w:spacing w:after="0"/>
              <w:rPr>
                <w:sz w:val="24"/>
                <w:szCs w:val="24"/>
                <w:color w:val="auto"/>
              </w:rPr>
            </w:pPr>
          </w:p>
        </w:tc>
        <w:tc>
          <w:tcPr>
            <w:tcW w:w="900" w:type="dxa"/>
            <w:vAlign w:val="bottom"/>
            <w:gridSpan w:val="3"/>
            <w:shd w:val="clear" w:color="auto" w:fill="CCEEFF"/>
          </w:tcPr>
          <w:p>
            <w:pPr>
              <w:jc w:val="right"/>
              <w:ind w:right="3"/>
              <w:spacing w:after="0"/>
              <w:rPr>
                <w:sz w:val="20"/>
                <w:szCs w:val="20"/>
                <w:color w:val="auto"/>
              </w:rPr>
            </w:pPr>
            <w:r>
              <w:rPr>
                <w:rFonts w:ascii="Arial" w:cs="Arial" w:eastAsia="Arial" w:hAnsi="Arial"/>
                <w:sz w:val="18"/>
                <w:szCs w:val="18"/>
                <w:color w:val="auto"/>
              </w:rPr>
              <w:t>100 %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$ 9,741</w:t>
            </w:r>
          </w:p>
        </w:tc>
        <w:tc>
          <w:tcPr>
            <w:tcW w:w="180" w:type="dxa"/>
            <w:vAlign w:val="bottom"/>
            <w:tcBorders>
              <w:right w:val="single" w:sz="8" w:color="CCEEFF"/>
            </w:tcBorders>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10"/>
          </w:tcPr>
          <w:p>
            <w:pPr>
              <w:jc w:val="center"/>
              <w:ind w:right="21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center"/>
              <w:ind w:left="427"/>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right"/>
              <w:ind w:right="58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4"/>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gridSpan w:val="3"/>
          </w:tcPr>
          <w:p>
            <w:pPr>
              <w:jc w:val="center"/>
              <w:spacing w:after="0"/>
              <w:rPr>
                <w:sz w:val="20"/>
                <w:szCs w:val="20"/>
                <w:color w:val="auto"/>
              </w:rPr>
            </w:pPr>
            <w:r>
              <w:rPr>
                <w:rFonts w:ascii="Arial" w:cs="Arial" w:eastAsia="Arial" w:hAnsi="Arial"/>
                <w:sz w:val="11"/>
                <w:szCs w:val="11"/>
                <w:b w:val="1"/>
                <w:bCs w:val="1"/>
                <w:color w:val="auto"/>
                <w:w w:val="74"/>
              </w:rPr>
              <w:t>except</w:t>
            </w: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percentages)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2,577</w:t>
            </w:r>
          </w:p>
        </w:tc>
        <w:tc>
          <w:tcPr>
            <w:tcW w:w="1080" w:type="dxa"/>
            <w:vAlign w:val="bottom"/>
            <w:tcBorders>
              <w:left w:val="single" w:sz="8" w:color="CCEEFF"/>
            </w:tcBorders>
            <w:gridSpan w:val="4"/>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19 %</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$ 2,338</w:t>
            </w:r>
          </w:p>
        </w:tc>
        <w:tc>
          <w:tcPr>
            <w:tcW w:w="18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10,801</w:t>
            </w:r>
          </w:p>
        </w:tc>
        <w:tc>
          <w:tcPr>
            <w:tcW w:w="1080" w:type="dxa"/>
            <w:vAlign w:val="bottom"/>
            <w:gridSpan w:val="4"/>
          </w:tcPr>
          <w:p>
            <w:pPr>
              <w:jc w:val="right"/>
              <w:ind w:right="23"/>
              <w:spacing w:after="0" w:line="202" w:lineRule="exact"/>
              <w:rPr>
                <w:sz w:val="20"/>
                <w:szCs w:val="20"/>
                <w:color w:val="auto"/>
              </w:rPr>
            </w:pPr>
            <w:r>
              <w:rPr>
                <w:rFonts w:ascii="Arial" w:cs="Arial" w:eastAsia="Arial" w:hAnsi="Arial"/>
                <w:sz w:val="18"/>
                <w:szCs w:val="18"/>
                <w:color w:val="auto"/>
              </w:rPr>
              <w:t>78 %</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6,547</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080" w:type="dxa"/>
            <w:vAlign w:val="bottom"/>
            <w:tcBorders>
              <w:left w:val="single" w:sz="8" w:color="CCEEFF"/>
            </w:tcBorders>
            <w:gridSpan w:val="4"/>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3 %</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196"/>
        </w:trPr>
        <w:tc>
          <w:tcPr>
            <w:tcW w:w="424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6"/>
              </w:rPr>
              <w:t>$ 13,809</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100</w:t>
            </w:r>
          </w:p>
        </w:tc>
        <w:tc>
          <w:tcPr>
            <w:tcW w:w="220" w:type="dxa"/>
            <w:vAlign w:val="bottom"/>
            <w:gridSpan w:val="2"/>
          </w:tcPr>
          <w:p>
            <w:pPr>
              <w:jc w:val="center"/>
              <w:ind w:right="23"/>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$ 9,267</w:t>
            </w:r>
          </w:p>
        </w:tc>
        <w:tc>
          <w:tcPr>
            <w:tcW w:w="1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10"/>
          </w:tcPr>
          <w:p>
            <w:pPr>
              <w:jc w:val="center"/>
              <w:ind w:right="110"/>
              <w:spacing w:after="0"/>
              <w:rPr>
                <w:sz w:val="20"/>
                <w:szCs w:val="20"/>
                <w:color w:val="auto"/>
              </w:rPr>
            </w:pPr>
            <w:r>
              <w:rPr>
                <w:rFonts w:ascii="Arial" w:cs="Arial" w:eastAsia="Arial" w:hAnsi="Arial"/>
                <w:sz w:val="14"/>
                <w:szCs w:val="14"/>
                <w:b w:val="1"/>
                <w:bCs w:val="1"/>
                <w:color w:val="auto"/>
              </w:rPr>
              <w:t>U.S. NeuroStar Advanced Therapy System</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Revenues by Type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0"/>
          </w:tcPr>
          <w:p>
            <w:pPr>
              <w:jc w:val="center"/>
              <w:ind w:right="15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1520" w:type="dxa"/>
            <w:vAlign w:val="bottom"/>
            <w:tcBorders>
              <w:top w:val="single" w:sz="8" w:color="auto"/>
            </w:tcBorders>
            <w:gridSpan w:val="3"/>
          </w:tcPr>
          <w:p>
            <w:pPr>
              <w:jc w:val="right"/>
              <w:ind w:right="54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2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10"/>
          </w:tcPr>
          <w:p>
            <w:pPr>
              <w:jc w:val="center"/>
              <w:ind w:right="9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Capital</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$ 2,441</w:t>
            </w:r>
          </w:p>
        </w:tc>
        <w:tc>
          <w:tcPr>
            <w:tcW w:w="1080" w:type="dxa"/>
            <w:vAlign w:val="bottom"/>
            <w:tcBorders>
              <w:left w:val="single" w:sz="8" w:color="CCEEFF"/>
            </w:tcBorders>
            <w:gridSpan w:val="4"/>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95 %</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$ 2,224</w:t>
            </w:r>
          </w:p>
        </w:tc>
        <w:tc>
          <w:tcPr>
            <w:tcW w:w="180" w:type="dxa"/>
            <w:vAlign w:val="bottom"/>
            <w:tcBorders>
              <w:righ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Operating lease</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w:t>
            </w:r>
          </w:p>
        </w:tc>
        <w:tc>
          <w:tcPr>
            <w:tcW w:w="1080" w:type="dxa"/>
            <w:vAlign w:val="bottom"/>
            <w:gridSpan w:val="4"/>
          </w:tcPr>
          <w:p>
            <w:pPr>
              <w:jc w:val="right"/>
              <w:ind w:right="23"/>
              <w:spacing w:after="0" w:line="202" w:lineRule="exact"/>
              <w:rPr>
                <w:sz w:val="20"/>
                <w:szCs w:val="20"/>
                <w:color w:val="auto"/>
              </w:rPr>
            </w:pPr>
            <w:r>
              <w:rPr>
                <w:rFonts w:ascii="Arial" w:cs="Arial" w:eastAsia="Arial" w:hAnsi="Arial"/>
                <w:sz w:val="18"/>
                <w:szCs w:val="18"/>
                <w:color w:val="auto"/>
              </w:rPr>
              <w:t>2 %</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gridSpan w:val="2"/>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900" w:type="dxa"/>
            <w:vAlign w:val="bottom"/>
            <w:gridSpan w:val="3"/>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3 %</w:t>
            </w:r>
          </w:p>
        </w:tc>
        <w:tc>
          <w:tcPr>
            <w:tcW w:w="6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Total United States NeuroStar Advanced Therapy</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vMerge w:val="continue"/>
          </w:tcPr>
          <w:p>
            <w:pPr>
              <w:spacing w:after="0"/>
              <w:rPr>
                <w:sz w:val="15"/>
                <w:szCs w:val="15"/>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$ 2,577</w:t>
            </w:r>
          </w:p>
        </w:tc>
        <w:tc>
          <w:tcPr>
            <w:tcW w:w="1800" w:type="dxa"/>
            <w:vAlign w:val="bottom"/>
            <w:gridSpan w:val="6"/>
            <w:vMerge w:val="restart"/>
          </w:tcPr>
          <w:p>
            <w:pPr>
              <w:jc w:val="right"/>
              <w:spacing w:after="0"/>
              <w:rPr>
                <w:sz w:val="20"/>
                <w:szCs w:val="20"/>
                <w:color w:val="auto"/>
              </w:rPr>
            </w:pPr>
            <w:r>
              <w:rPr>
                <w:rFonts w:ascii="Arial" w:cs="Arial" w:eastAsia="Arial" w:hAnsi="Arial"/>
                <w:sz w:val="18"/>
                <w:szCs w:val="18"/>
                <w:color w:val="auto"/>
              </w:rPr>
              <w:t>100 % $ 2,338</w:t>
            </w:r>
          </w:p>
        </w:tc>
        <w:tc>
          <w:tcPr>
            <w:tcW w:w="18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4240" w:type="dxa"/>
            <w:vAlign w:val="bottom"/>
          </w:tcPr>
          <w:p>
            <w:pPr>
              <w:ind w:left="100"/>
              <w:spacing w:after="0" w:line="190" w:lineRule="exact"/>
              <w:rPr>
                <w:sz w:val="20"/>
                <w:szCs w:val="20"/>
                <w:color w:val="auto"/>
              </w:rPr>
            </w:pPr>
            <w:r>
              <w:rPr>
                <w:rFonts w:ascii="Arial" w:cs="Arial" w:eastAsia="Arial" w:hAnsi="Arial"/>
                <w:sz w:val="18"/>
                <w:szCs w:val="18"/>
                <w:color w:val="auto"/>
              </w:rPr>
              <w:t>System revenues</w:t>
            </w:r>
          </w:p>
        </w:tc>
        <w:tc>
          <w:tcPr>
            <w:tcW w:w="960" w:type="dxa"/>
            <w:vAlign w:val="bottom"/>
            <w:gridSpan w:val="3"/>
            <w:vMerge w:val="continue"/>
          </w:tcPr>
          <w:p>
            <w:pPr>
              <w:spacing w:after="0"/>
              <w:rPr>
                <w:sz w:val="16"/>
                <w:szCs w:val="16"/>
                <w:color w:val="auto"/>
              </w:rPr>
            </w:pPr>
          </w:p>
        </w:tc>
        <w:tc>
          <w:tcPr>
            <w:tcW w:w="18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Total revenue for the three months ended June 30, 2021 was $14.2 million, an increase of 46% compared to the three months ended June 30, 2020 revenue of $9.7 million. During the quarter, total U.S. revenue increased by 49% and international revenue decreased by 17% over the prior year quarter. The U.S. revenue growth was driven by an increase in U.S. treatment session revenue and the international revenue decline was driven by a decrease in international treatment session revenue.</w:t>
      </w:r>
    </w:p>
    <w:p>
      <w:pPr>
        <w:spacing w:after="0" w:line="16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U.S. NeuroStar Advanced Therapy System revenue for the three months ended June 30, 2021 was $2.6 million, an increase of 10% compared to the three months ended June 30, 2020 revenue of $2.3 million. The increase was primarily driven by an increase in the number of NeuroStar systems sold in the three months ended June 30, 2021 and an increase in the blended NeuroStar system average selling price over the prior year quarter. For the three months ended June 30, 2021 and 2020, the Company sold 36 and 35 systems, respectively, during each period.</w:t>
      </w:r>
    </w:p>
    <w:p>
      <w:pPr>
        <w:spacing w:after="0" w:line="178" w:lineRule="exact"/>
        <w:rPr>
          <w:sz w:val="20"/>
          <w:szCs w:val="20"/>
          <w:color w:val="auto"/>
        </w:rPr>
      </w:pPr>
    </w:p>
    <w:p>
      <w:pPr>
        <w:ind w:left="60" w:right="379"/>
        <w:spacing w:after="0"/>
        <w:rPr>
          <w:sz w:val="20"/>
          <w:szCs w:val="20"/>
          <w:color w:val="auto"/>
        </w:rPr>
      </w:pPr>
      <w:r>
        <w:rPr>
          <w:rFonts w:ascii="Arial" w:cs="Arial" w:eastAsia="Arial" w:hAnsi="Arial"/>
          <w:sz w:val="18"/>
          <w:szCs w:val="18"/>
          <w:color w:val="auto"/>
        </w:rPr>
        <w:t>U.S. treatment session revenue for the three months ended June 30, 2021 was $10.8 million, an increase of 65% compared to the three months ended June 30, 2020 revenue of $6.5 million. The revenue growth was primarily driven by an increase in per click treatment session volume over the prior year quarter.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Cost of revenues increased by $0.5 million, or 18%, from $2.3 million for the three months ended June 30, 2020 to $2.8 million for the three months ended June 30, 2021. Gross margin increased from 76.2%</w:t>
      </w:r>
    </w:p>
    <w:p>
      <w:pPr>
        <w:sectPr>
          <w:pgSz w:w="11900" w:h="16838" w:orient="portrait"/>
          <w:cols w:equalWidth="0" w:num="1">
            <w:col w:w="9019"/>
          </w:cols>
          <w:pgMar w:left="1440" w:top="53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for the three months ended June 30, 2020 to 80.6% for the three months ended June 30, 2021. The increase was primarily a result of a change in the product mix of revenues versus the prior year quarter.</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Sales and marketing expenses increased by $0.8 million, or 11%, from $ 8.2 million for the three months ended June 30, 2020 to $9.0 million for the three months ended June 30, 2021. The increase was primarily due to marketing expenses, digital paid media costs and trade show expense incurred in the current period versus the prior year quarter.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General and administrative expenses increased by $2.7 million, or 67%, from $4.0 million for the three months ended June 30, 2020 to $6.7 million for the three months ended June 30, 2021. The increase was primarily due to increased personnel expenses, including salary and share based compensation, IT consulting costs and insurance premiums in the current period versus the prior year quarter.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0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Research and development expenses increased by $0.2 million, or 8%, from $2.1 million for the three months ended June 30, 2020 to $2.3 million for the three months ended June 30, 2021. The increase was primarily due to increased product development expenses offset by a decrease in personnel expenses in the current period versus the prior year quarter.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Interest expense remained constant from $1.0 million for the three months ended June 30, 2020 to $1.0 million for the three months ended June 30, 2021.</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net decreased by $0.1 million, or 80%, from $0.1 million for the three months ended</w:t>
      </w:r>
    </w:p>
    <w:p>
      <w:pPr>
        <w:ind w:left="60" w:right="419"/>
        <w:spacing w:after="0" w:line="246" w:lineRule="auto"/>
        <w:rPr>
          <w:sz w:val="20"/>
          <w:szCs w:val="20"/>
          <w:color w:val="auto"/>
        </w:rPr>
      </w:pPr>
      <w:r>
        <w:rPr>
          <w:rFonts w:ascii="Arial" w:cs="Arial" w:eastAsia="Arial" w:hAnsi="Arial"/>
          <w:sz w:val="18"/>
          <w:szCs w:val="18"/>
          <w:color w:val="auto"/>
        </w:rPr>
        <w:t>June 30, 2020 to $0.02 million for the three months ended June 30, 2021, primarily as a result of decreased interest income earned on the Company’s money market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397"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6"/>
          </w:tcPr>
          <w:p>
            <w:pPr>
              <w:jc w:val="right"/>
              <w:ind w:right="75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Dollars</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8"/>
              </w:rPr>
              <w:t>(in thousands, except</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26,491</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21,217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spacing w:after="0" w:line="202" w:lineRule="exact"/>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4,971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5,134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(163)</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21,520</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16,083</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5,437</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ind w:left="300"/>
              <w:spacing w:after="0" w:line="196" w:lineRule="exact"/>
              <w:rPr>
                <w:sz w:val="20"/>
                <w:szCs w:val="20"/>
                <w:color w:val="auto"/>
              </w:rPr>
            </w:pPr>
            <w:r>
              <w:rPr>
                <w:rFonts w:ascii="Arial" w:cs="Arial" w:eastAsia="Arial" w:hAnsi="Arial"/>
                <w:sz w:val="18"/>
                <w:szCs w:val="18"/>
                <w:i w:val="1"/>
                <w:iCs w:val="1"/>
                <w:color w:val="auto"/>
              </w:rPr>
              <w:t>Gross Margin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81.2</w:t>
            </w:r>
          </w:p>
        </w:tc>
        <w:tc>
          <w:tcPr>
            <w:tcW w:w="160" w:type="dxa"/>
            <w:vAlign w:val="bottom"/>
          </w:tcPr>
          <w:p>
            <w:pPr>
              <w:jc w:val="right"/>
              <w:spacing w:after="0" w:line="196" w:lineRule="exact"/>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i w:val="1"/>
                <w:iCs w:val="1"/>
                <w:color w:val="auto"/>
              </w:rPr>
              <w:t>75.8</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i w:val="1"/>
                <w:iCs w:val="1"/>
                <w:color w:val="auto"/>
                <w:w w:val="87"/>
              </w:rPr>
              <w:t>%</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18,874</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(1,270)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12,785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9,298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3,487</w:t>
            </w:r>
          </w:p>
        </w:tc>
        <w:tc>
          <w:tcPr>
            <w:tcW w:w="2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(533)</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34,993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33,309</w:t>
            </w:r>
          </w:p>
        </w:tc>
        <w:tc>
          <w:tcPr>
            <w:tcW w:w="2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1,684</w:t>
            </w:r>
          </w:p>
        </w:tc>
        <w:tc>
          <w:tcPr>
            <w:tcW w:w="2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(17,226)</w:t>
            </w: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3,753</w:t>
            </w:r>
          </w:p>
        </w:tc>
        <w:tc>
          <w:tcPr>
            <w:tcW w:w="2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760" w:type="dxa"/>
            <w:vAlign w:val="bottom"/>
            <w:gridSpan w:val="2"/>
          </w:tcPr>
          <w:p>
            <w:pPr>
              <w:spacing w:after="0" w:line="19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(547)</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tcPr>
          <w:p>
            <w:pPr>
              <w:ind w:left="80"/>
              <w:spacing w:after="0" w:line="202" w:lineRule="exact"/>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(924)</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Pr>
          <w:p>
            <w:pPr>
              <w:ind w:left="30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(20,378)</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4,972</w:t>
            </w:r>
          </w:p>
        </w:tc>
        <w:tc>
          <w:tcPr>
            <w:tcW w:w="2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rPr>
              <w:t>Revenues by Geography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11"/>
          </w:tcPr>
          <w:p>
            <w:pPr>
              <w:jc w:val="center"/>
              <w:ind w:right="16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8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8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2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2"/>
          </w:tcPr>
          <w:p>
            <w:pPr>
              <w:spacing w:after="0"/>
              <w:rPr>
                <w:sz w:val="15"/>
                <w:szCs w:val="15"/>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Revenues</w:t>
            </w:r>
          </w:p>
        </w:tc>
        <w:tc>
          <w:tcPr>
            <w:tcW w:w="6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3"/>
          </w:tcPr>
          <w:p>
            <w:pPr>
              <w:ind w:left="42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25,611</w:t>
            </w:r>
          </w:p>
        </w:tc>
        <w:tc>
          <w:tcPr>
            <w:tcW w:w="10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97 %</w:t>
            </w:r>
          </w:p>
        </w:tc>
        <w:tc>
          <w:tcPr>
            <w:tcW w:w="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96 %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0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773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4 %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revenues</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26,491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21,217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9"/>
          </w:tcPr>
          <w:p>
            <w:pPr>
              <w:ind w:left="420"/>
              <w:spacing w:after="0"/>
              <w:rPr>
                <w:sz w:val="20"/>
                <w:szCs w:val="20"/>
                <w:color w:val="auto"/>
              </w:rPr>
            </w:pPr>
            <w:r>
              <w:rPr>
                <w:rFonts w:ascii="Arial" w:cs="Arial" w:eastAsia="Arial" w:hAnsi="Arial"/>
                <w:sz w:val="14"/>
                <w:szCs w:val="14"/>
                <w:b w:val="1"/>
                <w:bCs w:val="1"/>
                <w:color w:val="auto"/>
              </w:rPr>
              <w:t>U.S. Revenues by Product Category</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11"/>
          </w:tcPr>
          <w:p>
            <w:pPr>
              <w:jc w:val="center"/>
              <w:ind w:right="12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562"/>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6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rPr>
              <w:t>Revenues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13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14"/>
          </w:tcPr>
          <w:p>
            <w:pPr>
              <w:ind w:left="440"/>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700" w:type="dxa"/>
            <w:vAlign w:val="bottom"/>
            <w:gridSpan w:val="3"/>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Advanced Therapy System</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4,333</w:t>
            </w:r>
          </w:p>
        </w:tc>
        <w:tc>
          <w:tcPr>
            <w:tcW w:w="10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17 %</w:t>
            </w:r>
          </w:p>
        </w:tc>
        <w:tc>
          <w:tcPr>
            <w:tcW w:w="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Treatment sessions</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20,429</w:t>
            </w:r>
          </w:p>
        </w:tc>
        <w:tc>
          <w:tcPr>
            <w:tcW w:w="108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80 %</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14,740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72 %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w:t>
            </w:r>
          </w:p>
        </w:tc>
        <w:tc>
          <w:tcPr>
            <w:tcW w:w="108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3 %</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4 %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Pr>
          <w:p>
            <w:pPr>
              <w:ind w:left="100"/>
              <w:spacing w:after="0" w:line="196" w:lineRule="exact"/>
              <w:rPr>
                <w:sz w:val="20"/>
                <w:szCs w:val="20"/>
                <w:color w:val="auto"/>
              </w:rPr>
            </w:pPr>
            <w:r>
              <w:rPr>
                <w:rFonts w:ascii="Arial" w:cs="Arial" w:eastAsia="Arial" w:hAnsi="Arial"/>
                <w:sz w:val="18"/>
                <w:szCs w:val="18"/>
                <w:color w:val="auto"/>
              </w:rPr>
              <w:t>Total U.S. revenues</w:t>
            </w:r>
          </w:p>
        </w:tc>
        <w:tc>
          <w:tcPr>
            <w:tcW w:w="8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25,611</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20,444</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vMerge w:val="restart"/>
          </w:tcPr>
          <w:p>
            <w:pPr>
              <w:jc w:val="right"/>
              <w:ind w:right="11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U.S. NeuroStar Advanced Therapy System</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Revenues by Type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Borders>
              <w:bottom w:val="single" w:sz="8" w:color="auto"/>
            </w:tcBorders>
            <w:gridSpan w:val="3"/>
          </w:tcPr>
          <w:p>
            <w:pPr>
              <w:jc w:val="right"/>
              <w:ind w:right="52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8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(in thousands, except percentages)</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NeuroStar Capital</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$ 4,030</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93 %</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$ 4,634</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Operating lease</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w:t>
            </w:r>
          </w:p>
        </w:tc>
        <w:tc>
          <w:tcPr>
            <w:tcW w:w="11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4 %</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16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3 %</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Total United States NeuroStar Advanced Therapy</w:t>
            </w: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80" w:type="dxa"/>
            <w:vAlign w:val="bottom"/>
            <w:vMerge w:val="continue"/>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$ 4,333</w:t>
            </w:r>
          </w:p>
        </w:tc>
        <w:tc>
          <w:tcPr>
            <w:tcW w:w="1800" w:type="dxa"/>
            <w:vAlign w:val="bottom"/>
            <w:gridSpan w:val="4"/>
            <w:vMerge w:val="restart"/>
          </w:tcPr>
          <w:p>
            <w:pPr>
              <w:jc w:val="right"/>
              <w:spacing w:after="0"/>
              <w:rPr>
                <w:sz w:val="20"/>
                <w:szCs w:val="20"/>
                <w:color w:val="auto"/>
              </w:rPr>
            </w:pPr>
            <w:r>
              <w:rPr>
                <w:rFonts w:ascii="Arial" w:cs="Arial" w:eastAsia="Arial" w:hAnsi="Arial"/>
                <w:sz w:val="18"/>
                <w:szCs w:val="18"/>
                <w:color w:val="auto"/>
              </w:rPr>
              <w:t>100 % $ 4,932</w:t>
            </w:r>
          </w:p>
        </w:tc>
        <w:tc>
          <w:tcPr>
            <w:tcW w:w="1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90"/>
        </w:trPr>
        <w:tc>
          <w:tcPr>
            <w:tcW w:w="4280" w:type="dxa"/>
            <w:vAlign w:val="bottom"/>
          </w:tcPr>
          <w:p>
            <w:pPr>
              <w:ind w:left="100"/>
              <w:spacing w:after="0" w:line="190" w:lineRule="exact"/>
              <w:rPr>
                <w:sz w:val="20"/>
                <w:szCs w:val="20"/>
                <w:color w:val="auto"/>
              </w:rPr>
            </w:pPr>
            <w:r>
              <w:rPr>
                <w:rFonts w:ascii="Arial" w:cs="Arial" w:eastAsia="Arial" w:hAnsi="Arial"/>
                <w:sz w:val="18"/>
                <w:szCs w:val="18"/>
                <w:color w:val="auto"/>
              </w:rPr>
              <w:t>System revenues</w:t>
            </w:r>
          </w:p>
        </w:tc>
        <w:tc>
          <w:tcPr>
            <w:tcW w:w="920" w:type="dxa"/>
            <w:vAlign w:val="bottom"/>
            <w:gridSpan w:val="2"/>
            <w:vMerge w:val="continue"/>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revenue for the six months ended June 30, 2021 was $26.5 million, an increase of 25% compared to the</w:t>
      </w:r>
    </w:p>
    <w:p>
      <w:pPr>
        <w:ind w:left="60"/>
        <w:spacing w:after="0" w:line="234" w:lineRule="auto"/>
        <w:rPr>
          <w:sz w:val="20"/>
          <w:szCs w:val="20"/>
          <w:color w:val="auto"/>
        </w:rPr>
      </w:pPr>
      <w:r>
        <w:rPr>
          <w:rFonts w:ascii="Arial" w:cs="Arial" w:eastAsia="Arial" w:hAnsi="Arial"/>
          <w:sz w:val="18"/>
          <w:szCs w:val="18"/>
          <w:color w:val="auto"/>
        </w:rPr>
        <w:t>six months ended June 30, 2020 revenue of $21.2 million. During the six months ended June 30, 2021, total</w:t>
      </w:r>
    </w:p>
    <w:p>
      <w:pPr>
        <w:ind w:left="60"/>
        <w:spacing w:after="0" w:line="235" w:lineRule="auto"/>
        <w:rPr>
          <w:sz w:val="20"/>
          <w:szCs w:val="20"/>
          <w:color w:val="auto"/>
        </w:rPr>
      </w:pPr>
      <w:r>
        <w:rPr>
          <w:rFonts w:ascii="Arial" w:cs="Arial" w:eastAsia="Arial" w:hAnsi="Arial"/>
          <w:sz w:val="18"/>
          <w:szCs w:val="18"/>
          <w:color w:val="auto"/>
        </w:rPr>
        <w:t>U.S. revenue increased by 25% and international revenue increased by 14% over the six months ended</w:t>
      </w:r>
    </w:p>
    <w:p>
      <w:pPr>
        <w:ind w:left="60"/>
        <w:spacing w:after="0" w:line="235" w:lineRule="auto"/>
        <w:rPr>
          <w:sz w:val="20"/>
          <w:szCs w:val="20"/>
          <w:color w:val="auto"/>
        </w:rPr>
      </w:pPr>
      <w:r>
        <w:rPr>
          <w:rFonts w:ascii="Arial" w:cs="Arial" w:eastAsia="Arial" w:hAnsi="Arial"/>
          <w:sz w:val="18"/>
          <w:szCs w:val="18"/>
          <w:color w:val="auto"/>
        </w:rPr>
        <w:t>June 30, 2020. The U.S. revenue growth was driven by an increase in U.S. treatment session revenue and the</w:t>
      </w:r>
    </w:p>
    <w:p>
      <w:pPr>
        <w:ind w:left="60"/>
        <w:spacing w:after="0"/>
        <w:rPr>
          <w:sz w:val="20"/>
          <w:szCs w:val="20"/>
          <w:color w:val="auto"/>
        </w:rPr>
      </w:pPr>
      <w:r>
        <w:rPr>
          <w:rFonts w:ascii="Arial" w:cs="Arial" w:eastAsia="Arial" w:hAnsi="Arial"/>
          <w:sz w:val="18"/>
          <w:szCs w:val="18"/>
          <w:color w:val="auto"/>
        </w:rPr>
        <w:t>international revenue growth was driven by an increase in NeuroStar Advanced Therapy System sales.</w:t>
      </w:r>
    </w:p>
    <w:p>
      <w:pPr>
        <w:spacing w:after="0" w:line="17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U.S. NeuroStar Advanced Therapy System revenue for the six months ended June 30, 2021 was $4.3 million, a decrease of 12% compared to the six months ended June 30, 2020 revenue of $4.9 million. The decrease was primarily driven by a lower number of NeuroStar systems sold in the six months ended June 30, 2021, which was partially offset by an increase in the blended NeuroStar system average selling price over the six months ended June 30, 2020. For the six months ended June 30, 2021 and 2020, the Company sold 59 and 73 systems, respectively, during each period.</w:t>
      </w:r>
    </w:p>
    <w:p>
      <w:pPr>
        <w:spacing w:after="0" w:line="164" w:lineRule="exact"/>
        <w:rPr>
          <w:sz w:val="20"/>
          <w:szCs w:val="20"/>
          <w:color w:val="auto"/>
        </w:rPr>
      </w:pPr>
    </w:p>
    <w:p>
      <w:pPr>
        <w:jc w:val="both"/>
        <w:ind w:left="60" w:right="159"/>
        <w:spacing w:after="0"/>
        <w:rPr>
          <w:sz w:val="20"/>
          <w:szCs w:val="20"/>
          <w:color w:val="auto"/>
        </w:rPr>
      </w:pPr>
      <w:r>
        <w:rPr>
          <w:rFonts w:ascii="Arial" w:cs="Arial" w:eastAsia="Arial" w:hAnsi="Arial"/>
          <w:sz w:val="18"/>
          <w:szCs w:val="18"/>
          <w:color w:val="auto"/>
        </w:rPr>
        <w:t>U.S. treatment session revenue for the six months ended June 30, 2021 was $20.4 million, an increase of 39% compared to the six months ended June 30, 2020 revenue of $14.7 million. The revenue growth was primarily driven by an increase in per click treatment session volume period over period.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Revenues and Gross Margin</w:t>
      </w:r>
    </w:p>
    <w:p>
      <w:pPr>
        <w:spacing w:after="0" w:line="1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Cost of revenues decreased by $0.1 million, or 3%, from $5.1 million for the six months ended June 30, 2020 to $5.0 million for the six months ended June 30, 2021. Gross margin increased from 75.8% for the six months ended June 30, 2020 to 81.2% for the six months ended June 30, 2021. The increase was primarily a result of a change in the product mix of revenues versus the prior year period.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Expenses</w:t>
      </w:r>
    </w:p>
    <w:p>
      <w:pPr>
        <w:spacing w:after="0" w:line="203"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Sales and marketing expenses decreased by $1.3 million, or 7%, from $18.9 million for the six months ended June 30, 2020 to $17.6 million for the six months ended June 30, 2021. The decrease was primarily due to reduced sales, reimbursement and clinical training costs versus the prior year period.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General and administrative expenses increased by $3.5 million, or 38%, from $9.3 million for the six months ended June 30, 2020 to $12.8 million for the six months ended June 30, 2021. The increase was primarily due to increased personnel expenses related to bonus, salary and share based compensation.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jc w:val="both"/>
        <w:ind w:left="60" w:right="259"/>
        <w:spacing w:after="0"/>
        <w:rPr>
          <w:sz w:val="20"/>
          <w:szCs w:val="20"/>
          <w:color w:val="auto"/>
        </w:rPr>
      </w:pPr>
      <w:r>
        <w:rPr>
          <w:rFonts w:ascii="Arial" w:cs="Arial" w:eastAsia="Arial" w:hAnsi="Arial"/>
          <w:sz w:val="18"/>
          <w:szCs w:val="18"/>
          <w:color w:val="auto"/>
        </w:rPr>
        <w:t>Research and development expenses decreased by $0.5 million, or 10%, from $5.1 million for the six months ended June 30, 2020 to $4.6 million for the six months ended June 30, 2021. The decrease was primarily due to reduced product development, personnel and travel expenses.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Interest expense decreased by $ 0.5 million, or 22%, from $2.5 million for the six months ended June 30, 2020 to $2.0 million for the six months ended June 30, 2021. The decrease in interest expense was due to the loss on extinguishment of debt charge recognized in the first quarter of 2020 as part of Oxford debt facility. Refer to “Note 12. Debt” in the financial statements included in this Quarterly Report on Form 10-Q for information regarding the Oxford debt facility.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Other income, net decreased by $ 0.3 million, or 90%, from $0.3 million for the six months ended June 30, 2020 to $0.03 million for the six months ended June 30, 2021, primarily as a result of decreased interest income earned on the Company’s money market accounts.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February 2, 2021, we closed on the Offering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78"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As of June 30, 2021, we had cash and cash equivalents of $115.8 million and an accumulated deficit of $292.9 million, compared to cash and cash equivalents of $49.0 million and an accumulated deficit of $277.5 million as of December 31, 2020. We incurred negative cash flows from operating activities of $14.9 million and $23.1 million for the six months ended June 30, 2021 and 2020,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sales of our products and other public offerings of our common stock. As of</w:t>
      </w:r>
    </w:p>
    <w:p>
      <w:pPr>
        <w:spacing w:after="0" w:line="5"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June 30, 2021, the Company had $35.0 million of borrowings outstanding under its credit facility, which has a final maturity in February 2025. Management believes that the Company’s cash and cash equivalents as of June 30, 2021 and anticipated revenues from sales of its products are sufficient to fund the Company’s operations for at least 12 months from the issuance of these financial statements.</w:t>
      </w:r>
    </w:p>
    <w:p>
      <w:pPr>
        <w:spacing w:after="0" w:line="16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cannot predict our revenues and expenses in the short term, in large part due to uncertainty relating the COVID-19 pandemic and related governmental responses. However, if our cash and cash equivalents and anticipated revenues from sales or our products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current and future funding requirements will depend on many factors, including:</w:t>
      </w:r>
    </w:p>
    <w:p>
      <w:pPr>
        <w:spacing w:after="0" w:line="171" w:lineRule="exact"/>
        <w:rPr>
          <w:sz w:val="20"/>
          <w:szCs w:val="20"/>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and related governmental responses;</w:t>
      </w:r>
    </w:p>
    <w:p>
      <w:pPr>
        <w:spacing w:after="0" w:line="198"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operating margins;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terms and conditions, including covenants, set forth in our credit facility;</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expanding our operations and offerings, including our sales and marketing efforts;</w:t>
      </w:r>
    </w:p>
    <w:p>
      <w:pPr>
        <w:spacing w:after="0" w:line="198"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improve or maintain coverage and reimbursement arrangements with domestic third-party and government payors, particularly in Japan;</w:t>
      </w:r>
    </w:p>
    <w:p>
      <w:pPr>
        <w:spacing w:after="0" w:line="156" w:lineRule="exact"/>
        <w:rPr>
          <w:rFonts w:ascii="Arial" w:cs="Arial" w:eastAsia="Arial" w:hAnsi="Arial"/>
          <w:sz w:val="18"/>
          <w:szCs w:val="18"/>
          <w:color w:val="auto"/>
        </w:rPr>
      </w:pPr>
    </w:p>
    <w:p>
      <w:pPr>
        <w:ind w:left="960" w:right="29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from international commercial third-party and government payors;</w:t>
      </w:r>
    </w:p>
    <w:p>
      <w:pPr>
        <w:spacing w:after="0" w:line="156" w:lineRule="exact"/>
        <w:rPr>
          <w:rFonts w:ascii="Arial" w:cs="Arial" w:eastAsia="Arial" w:hAnsi="Arial"/>
          <w:sz w:val="18"/>
          <w:szCs w:val="18"/>
          <w:color w:val="auto"/>
        </w:rPr>
      </w:pPr>
    </w:p>
    <w:p>
      <w:pPr>
        <w:ind w:left="960" w:right="27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 and maintaining or improving our sales to our current customers;</w:t>
      </w:r>
    </w:p>
    <w:p>
      <w:pPr>
        <w:spacing w:after="0" w:line="169" w:lineRule="exact"/>
        <w:rPr>
          <w:rFonts w:ascii="Arial" w:cs="Arial" w:eastAsia="Arial" w:hAnsi="Arial"/>
          <w:sz w:val="18"/>
          <w:szCs w:val="18"/>
          <w:color w:val="auto"/>
        </w:rPr>
      </w:pPr>
    </w:p>
    <w:p>
      <w:pPr>
        <w:ind w:left="960" w:right="459" w:hanging="437"/>
        <w:spacing w:after="0" w:line="24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research and development activities, including research and development relating to additional indications, which may include bipolar depression;</w:t>
      </w:r>
    </w:p>
    <w:p>
      <w:pPr>
        <w:spacing w:after="0" w:line="156"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60" w:hanging="437"/>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98" w:lineRule="exact"/>
        <w:rPr>
          <w:rFonts w:ascii="Arial" w:cs="Arial" w:eastAsia="Arial" w:hAnsi="Arial"/>
          <w:sz w:val="18"/>
          <w:szCs w:val="18"/>
          <w:color w:val="auto"/>
        </w:rPr>
      </w:pPr>
    </w:p>
    <w:p>
      <w:pPr>
        <w:ind w:left="960" w:right="319" w:hanging="437"/>
        <w:spacing w:after="0" w:line="231"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w:t>
      </w:r>
      <w:r>
        <w:rPr>
          <w:rFonts w:ascii="Arial" w:cs="Arial" w:eastAsia="Arial" w:hAnsi="Arial"/>
          <w:sz w:val="16"/>
          <w:szCs w:val="16"/>
          <w:color w:val="auto"/>
        </w:rPr>
        <w:t>tial cost of and delays in product development as a result of any regulatory oversight applicable to</w:t>
      </w:r>
      <w:r>
        <w:rPr>
          <w:rFonts w:ascii="Arial" w:cs="Arial" w:eastAsia="Arial" w:hAnsi="Arial"/>
          <w:sz w:val="18"/>
          <w:szCs w:val="18"/>
          <w:color w:val="auto"/>
        </w:rPr>
        <w:t xml:space="preserve"> </w:t>
      </w:r>
      <w:r>
        <w:rPr>
          <w:rFonts w:ascii="Arial" w:cs="Arial" w:eastAsia="Arial" w:hAnsi="Arial"/>
          <w:sz w:val="16"/>
          <w:szCs w:val="16"/>
          <w:color w:val="auto"/>
        </w:rPr>
        <w:t>our products.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a summary of our cash flows for the six months ended June 30, 2021 and 2020:</w:t>
      </w:r>
    </w:p>
    <w:p>
      <w:pPr>
        <w:spacing w:after="0" w:line="348"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r>
      <w:tr>
        <w:trPr>
          <w:trHeight w:val="142"/>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right"/>
              <w:ind w:right="53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(14,940)</w:t>
            </w:r>
          </w:p>
        </w:tc>
        <w:tc>
          <w:tcPr>
            <w:tcW w:w="24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(23,131)</w:t>
            </w:r>
          </w:p>
        </w:tc>
        <w:tc>
          <w:tcPr>
            <w:tcW w:w="2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82,874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7"/>
                <w:szCs w:val="17"/>
                <w:color w:val="auto"/>
              </w:rPr>
            </w:pPr>
          </w:p>
        </w:tc>
      </w:tr>
      <w:tr>
        <w:trPr>
          <w:trHeight w:val="196"/>
        </w:trPr>
        <w:tc>
          <w:tcPr>
            <w:tcW w:w="4720" w:type="dxa"/>
            <w:vAlign w:val="bottom"/>
          </w:tcPr>
          <w:p>
            <w:pPr>
              <w:ind w:left="100"/>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66,826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(21,711)</w:t>
            </w:r>
          </w:p>
        </w:tc>
        <w:tc>
          <w:tcPr>
            <w:tcW w:w="20" w:type="dxa"/>
            <w:vAlign w:val="bottom"/>
            <w:tcBorders>
              <w:bottom w:val="single" w:sz="8" w:color="auto"/>
            </w:tcBorders>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0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2021 was $14.9 million, consisting primarily of a net loss of $ 15.4 million and a decrease in net operating liabilities of $4.8 million, partially offset by non-cash charges of $5.2 million. The decrease in net operating liabilities was primarily due to increases in accounts receivable and inventory and decreases in accounts payable and accrued expenses as a result of timing and the 2021 payment of the 2020 bonus compensation accrued as of December 31, 2020. Non-cash charges consisted of depreciation and amortization, non-cash interest expense, share-based compensation, and the cost of rental units purchased by customers.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Net cash used in operating activities for the six months ended June 30, 2020 was $23.1 million, consisting primarily of a net loss of $ 20.4 million and a decrease in net operating liabilities of $6.8 million, partially offset by non-cash charges of $ 4.1 million. The decrease in net operating liabilities was primarily due to decreases in accounts payable and accrued expenses as a result of timing and the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9"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Net cash used in investing activities for the six months ended June 30, 2021 and 2020 was $ 1.1 million and $0.5 million, respectively. Each was attributable to purchases of property and equipment and capitalized software costs.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9"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Net cash provided by financing activities for the six months ended June 30, 2021 was $82.9 million and primarily consisted of additional proceeds from our Offering and cash proceeds related to stock option exercises. Net cash provided by financing activities for the six months ended June 30, 2020 was $1.9 million and consisted of additional proceeds from our loan refinance and cash proceeds related to stock option exercises.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Solar Credit Facility</w:t>
      </w:r>
    </w:p>
    <w:p>
      <w:pPr>
        <w:spacing w:after="0" w:line="193"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64"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The Solar Facility permits the Company to borrow up to an aggregate amount of $ 50.0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$ 15.0 million, (i) 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w:t>
      </w:r>
    </w:p>
    <w:p>
      <w:pPr>
        <w:spacing w:after="0" w:line="3" w:lineRule="exact"/>
        <w:rPr>
          <w:sz w:val="20"/>
          <w:szCs w:val="20"/>
          <w:color w:val="auto"/>
        </w:rPr>
      </w:pPr>
    </w:p>
    <w:p>
      <w:pPr>
        <w:ind w:left="60" w:right="639" w:hanging="10"/>
        <w:spacing w:after="0" w:line="261" w:lineRule="auto"/>
        <w:tabs>
          <w:tab w:leader="none" w:pos="3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December 15, 2021, (b) 30 days following achievement of the net product revenue condition or (c) the occurrence of an event of default.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spacing w:after="0" w:line="234" w:lineRule="auto"/>
        <w:rPr>
          <w:sz w:val="20"/>
          <w:szCs w:val="20"/>
          <w:color w:val="auto"/>
        </w:rPr>
      </w:pPr>
      <w:r>
        <w:rPr>
          <w:rFonts w:ascii="Arial" w:cs="Arial" w:eastAsia="Arial" w:hAnsi="Arial"/>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w:t>
      </w:r>
    </w:p>
    <w:p>
      <w:pPr>
        <w:spacing w:after="0" w:line="3"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45"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56"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The Company is also required to pay Solar an exit fee upon the occurrence, prior to March 2, 2030, of (a) any liquidation, dissolution or winding up of the Company, (b) transaction that results in a person obtaining control over the Company, (c) the Company achieving $100 million in trailing twelve month net product revenue or</w:t>
      </w:r>
    </w:p>
    <w:p>
      <w:pPr>
        <w:spacing w:after="0" w:line="2" w:lineRule="exact"/>
        <w:rPr>
          <w:sz w:val="20"/>
          <w:szCs w:val="20"/>
          <w:color w:val="auto"/>
        </w:rPr>
      </w:pPr>
    </w:p>
    <w:p>
      <w:pPr>
        <w:ind w:left="60" w:right="59" w:hanging="10"/>
        <w:spacing w:after="0" w:line="237" w:lineRule="auto"/>
        <w:tabs>
          <w:tab w:leader="none" w:pos="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achieving $125 million in trailing twelve month net product revenue. The exit fee for liquidation, dissolution, winding up or change of control of the Company is equal to 4.50% of the principal amount of the term loans actually funded. The exit fee for achieving either $100 million or $125 million in trailing twelve-month net product revenue is equal to 2.25% of the principal amount of the term loans actually funded or, if both net product revenue milestones are achieved, 4.50% of the principal amount of the term loans actually funded. The exit fee is capped at 4.50% of the principal amount of the term loans actually funded.</w:t>
      </w:r>
    </w:p>
    <w:p>
      <w:pPr>
        <w:spacing w:after="0" w:line="178"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On December 8, 2020, the Company, Solar Capital Ltd., and our other lenders defined in the Solar Facility, executed an amendment to the Solar Facility (the “Solar Amendment”). The Solar Amendment divides the aggregate Term B Loan borrowing amount of $15.0 million allowable upon our achievement of specific trailing twelve-month net product revenue targets into three separate $5.0 million tranches (“Amended Term B Loan”, “Term C Loan” and “Term D Loan”). The three tranches are available through June 20, 2021, December 20, 2021, and June 20, 2022, respectively, based on the achievement of agreed upon trailing twelve-month net product revenue targets for each tranche.</w:t>
      </w:r>
    </w:p>
    <w:p>
      <w:pPr>
        <w:spacing w:after="0" w:line="162" w:lineRule="exact"/>
        <w:rPr>
          <w:sz w:val="20"/>
          <w:szCs w:val="20"/>
          <w:color w:val="auto"/>
        </w:rPr>
      </w:pPr>
    </w:p>
    <w:p>
      <w:pPr>
        <w:ind w:left="60" w:right="319"/>
        <w:spacing w:after="0" w:line="236" w:lineRule="auto"/>
        <w:rPr>
          <w:sz w:val="20"/>
          <w:szCs w:val="20"/>
          <w:color w:val="auto"/>
        </w:rPr>
      </w:pPr>
      <w:r>
        <w:rPr>
          <w:rFonts w:ascii="Arial" w:cs="Arial" w:eastAsia="Arial" w:hAnsi="Arial"/>
          <w:sz w:val="18"/>
          <w:szCs w:val="18"/>
          <w:color w:val="auto"/>
        </w:rPr>
        <w:t>The Solar Amendment also reduces the trailing twelve-month net product revenue requirement for the Amended Term B Loan portion of the facility. Subject to certain conditions, the Company has the ability to extend the interest-only period on the initial Term A Loan to 36 months from 24 months upon achieving the revenue targets associated with the Amended Term B Loan. As of June 30, 2021, the Company is in compliance with the required minimum net product revenue covenant and anticipates electing to extend the interest-only period through March 1, 2023 for the Term A Loan, subject to continuing to meet the required conditions through and as of March 1, 2022. The Company is projected to be in compliance with the required covenant. The Company was required to pay an amendment fee of $0.1 million to Solar, which has been recognized as a deferred debt issuance cost as of December 31, 2020 that will be amortized to interest expense using the effective interest method.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45"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w:t>
      </w:r>
    </w:p>
    <w:p>
      <w:pPr>
        <w:spacing w:after="0" w:line="2" w:lineRule="exact"/>
        <w:rPr>
          <w:sz w:val="20"/>
          <w:szCs w:val="20"/>
          <w:color w:val="auto"/>
        </w:rPr>
      </w:pPr>
    </w:p>
    <w:p>
      <w:pPr>
        <w:ind w:left="60" w:right="119" w:hanging="10"/>
        <w:spacing w:after="0" w:line="237"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 The Solar Facility includes subjective acceleration clauses which permit the lenders to accelerate the maturity date under certain circumstances, including, but not limited to, material adverse effects on a Company’s financial status or otherwise.</w:t>
      </w:r>
    </w:p>
    <w:p>
      <w:pPr>
        <w:spacing w:after="0" w:line="16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Solar Facility includes a financial covenant requiring the attainment of a minimum trailing net revenue amount beginning on December 31, 2020. The Company and lenders executed the Solar Amendment in December 2020 that reduced the minimum trailing net revenue covenant requirement amounts beginning on December 31, 2020 to allow the Company to maintain compliance with the covenant as of December 31, 2020. As of June 30, 2021, the Company is in compliance with the financial covenant and is projected to be in compliance with the reduced minimum revenue covenant amounts going forward.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the Company is in compliance with all covenants in the Solar Facility.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Oxford Credit Facility</w:t>
      </w:r>
    </w:p>
    <w:p>
      <w:pPr>
        <w:spacing w:after="0" w:line="193" w:lineRule="exact"/>
        <w:rPr>
          <w:sz w:val="20"/>
          <w:szCs w:val="20"/>
          <w:color w:val="auto"/>
        </w:rPr>
      </w:pPr>
    </w:p>
    <w:p>
      <w:pPr>
        <w:ind w:left="60" w:right="99"/>
        <w:spacing w:after="0" w:line="234" w:lineRule="auto"/>
        <w:rPr>
          <w:sz w:val="20"/>
          <w:szCs w:val="20"/>
          <w:color w:val="auto"/>
        </w:rPr>
      </w:pPr>
      <w:r>
        <w:rPr>
          <w:rFonts w:ascii="Arial" w:cs="Arial" w:eastAsia="Arial" w:hAnsi="Arial"/>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w:t>
      </w:r>
    </w:p>
    <w:p>
      <w:pPr>
        <w:spacing w:after="0" w:line="4" w:lineRule="exact"/>
        <w:rPr>
          <w:sz w:val="20"/>
          <w:szCs w:val="20"/>
          <w:color w:val="auto"/>
        </w:rPr>
      </w:pPr>
    </w:p>
    <w:p>
      <w:pPr>
        <w:ind w:left="60" w:right="159" w:hanging="10"/>
        <w:spacing w:after="0" w:line="246" w:lineRule="auto"/>
        <w:tabs>
          <w:tab w:leader="none" w:pos="330" w:val="left"/>
        </w:tabs>
        <w:numPr>
          <w:ilvl w:val="0"/>
          <w:numId w:val="29"/>
        </w:numPr>
        <w:rPr>
          <w:rFonts w:ascii="Arial" w:cs="Arial" w:eastAsia="Arial" w:hAnsi="Arial"/>
          <w:sz w:val="18"/>
          <w:szCs w:val="18"/>
          <w:color w:val="auto"/>
        </w:rPr>
      </w:pPr>
      <w:r>
        <w:rPr>
          <w:rFonts w:ascii="Arial" w:cs="Arial" w:eastAsia="Arial" w:hAnsi="Arial"/>
          <w:sz w:val="18"/>
          <w:szCs w:val="18"/>
          <w:color w:val="auto"/>
        </w:rPr>
        <w:t>8.15% or (b) the 30 day U.S. LIBOR on the last business day of the month plus 7.38%. This facility featured an interest-only period on all tranches through March 2019.</w:t>
      </w:r>
    </w:p>
    <w:p>
      <w:pPr>
        <w:spacing w:after="0" w:line="170" w:lineRule="exact"/>
        <w:rPr>
          <w:sz w:val="20"/>
          <w:szCs w:val="20"/>
          <w:color w:val="auto"/>
        </w:rPr>
      </w:pPr>
    </w:p>
    <w:p>
      <w:pPr>
        <w:ind w:left="60" w:right="399"/>
        <w:spacing w:after="0" w:line="248" w:lineRule="auto"/>
        <w:rPr>
          <w:sz w:val="20"/>
          <w:szCs w:val="20"/>
          <w:color w:val="auto"/>
        </w:rPr>
      </w:pPr>
      <w:r>
        <w:rPr>
          <w:rFonts w:ascii="Arial" w:cs="Arial" w:eastAsia="Arial" w:hAnsi="Arial"/>
          <w:sz w:val="17"/>
          <w:szCs w:val="17"/>
          <w:color w:val="auto"/>
        </w:rPr>
        <w:t>In addition to principal and interest payments due under the $35.0 million Oxford credit facility, the Company was required to make final payment fees to Oxford upon the earlier of prepayment or maturity and equal to</w:t>
      </w:r>
    </w:p>
    <w:p>
      <w:pPr>
        <w:spacing w:after="0" w:line="1" w:lineRule="exact"/>
        <w:rPr>
          <w:sz w:val="20"/>
          <w:szCs w:val="20"/>
          <w:color w:val="auto"/>
        </w:rPr>
      </w:pPr>
    </w:p>
    <w:p>
      <w:pPr>
        <w:jc w:val="both"/>
        <w:ind w:left="60" w:right="119"/>
        <w:spacing w:after="0" w:line="238" w:lineRule="auto"/>
        <w:rPr>
          <w:sz w:val="20"/>
          <w:szCs w:val="20"/>
          <w:color w:val="auto"/>
        </w:rPr>
      </w:pPr>
      <w:r>
        <w:rPr>
          <w:rFonts w:ascii="Arial" w:cs="Arial" w:eastAsia="Arial" w:hAnsi="Arial"/>
          <w:sz w:val="18"/>
          <w:szCs w:val="18"/>
          <w:color w:val="auto"/>
        </w:rPr>
        <w:t>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6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Non-Cash Interest Expense</w:t>
      </w:r>
    </w:p>
    <w:p>
      <w:pPr>
        <w:spacing w:after="0" w:line="203" w:lineRule="exact"/>
        <w:rPr>
          <w:sz w:val="20"/>
          <w:szCs w:val="20"/>
          <w:color w:val="auto"/>
        </w:rPr>
      </w:pPr>
    </w:p>
    <w:p>
      <w:pPr>
        <w:ind w:left="60" w:right="499"/>
        <w:spacing w:after="0" w:line="261" w:lineRule="auto"/>
        <w:rPr>
          <w:sz w:val="20"/>
          <w:szCs w:val="20"/>
          <w:color w:val="auto"/>
        </w:rPr>
      </w:pPr>
      <w:r>
        <w:rPr>
          <w:rFonts w:ascii="Arial" w:cs="Arial" w:eastAsia="Arial" w:hAnsi="Arial"/>
          <w:sz w:val="17"/>
          <w:szCs w:val="17"/>
          <w:color w:val="auto"/>
        </w:rPr>
        <w:t>For the three months ended June 30, 2021, we recognized interest expense of $1.0 million, of which $0.8 million was cash and $0.2 million was non-cash interest expense related to the amortization of deferred financing costs and accrual of final payment fees. For the six months ended June 30, 2020, we recognized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interest expense of $2.5 million, of which $2.2 million was cash and $0.3 million was non-cash interest expense related to the amortization of deferred financing costs and accrual of final payment fees.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Offering</w:t>
      </w:r>
    </w:p>
    <w:p>
      <w:pPr>
        <w:spacing w:after="0" w:line="193"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On February 2, 2021, we closed on our public offering and sale of our common stock in which we issued and sold 5,566,000 shares of our common stock, which included shares pursuant to an option granted to underwriters to purchase additional shares, at a public offering price of $15.50 per share. We received net proceeds of $80.6 million after deducting underwriting discounts, commissions and offering expenses.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60" w:right="619"/>
        <w:spacing w:after="0" w:line="238" w:lineRule="auto"/>
        <w:rPr>
          <w:sz w:val="20"/>
          <w:szCs w:val="20"/>
          <w:color w:val="auto"/>
        </w:rPr>
      </w:pPr>
      <w:r>
        <w:rPr>
          <w:rFonts w:ascii="Arial" w:cs="Arial" w:eastAsia="Arial" w:hAnsi="Arial"/>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07"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As of June 30, 2021, there were no significant changes to our commitments and future minimum contractual obligations as set forth in our Form 10-K, filed with the SEC on March 2, 2021.</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79"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60" w:right="339"/>
        <w:spacing w:after="0"/>
        <w:rPr>
          <w:sz w:val="20"/>
          <w:szCs w:val="20"/>
          <w:color w:val="auto"/>
        </w:rPr>
      </w:pPr>
      <w:r>
        <w:rPr>
          <w:rFonts w:ascii="Arial" w:cs="Arial" w:eastAsia="Arial" w:hAnsi="Arial"/>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jc w:val="both"/>
        <w:ind w:left="60" w:right="579"/>
        <w:spacing w:after="0"/>
        <w:rPr>
          <w:sz w:val="20"/>
          <w:szCs w:val="20"/>
          <w:color w:val="auto"/>
        </w:rPr>
      </w:pPr>
      <w:r>
        <w:rPr>
          <w:rFonts w:ascii="Arial" w:cs="Arial" w:eastAsia="Arial" w:hAnsi="Arial"/>
          <w:sz w:val="18"/>
          <w:szCs w:val="18"/>
          <w:color w:val="auto"/>
        </w:rPr>
        <w:t>We refer you to the information described in the “Item 7A. Quantitative and Qualitative Disclosures About Market Risk” section of the Company’s Annual Report on Form 10-K filed with the SEC on March 2, 2021. There have been no material changes to our market risk described therein.</w:t>
      </w:r>
    </w:p>
    <w:p>
      <w:pPr>
        <w:spacing w:after="0" w:line="140"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June 30, 2021.</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7"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During the quarter ended June 30, 2021, there were no changes in our internal control over financial reporting (as defined in Rule 13a-15(f) of the Exchange Act) which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tab/>
        <w:t>Risk Factors.</w:t>
      </w:r>
    </w:p>
    <w:p>
      <w:pPr>
        <w:spacing w:after="0" w:line="207"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You should carefully consider the information described in the “Risk Factors” section of the Company’s Annual Report on Form 10-K filed with the SEC on March 2, 2021. There have been no material changes to the risk factors described therein</w:t>
      </w:r>
      <w:r>
        <w:rPr>
          <w:rFonts w:ascii="Arial" w:cs="Arial" w:eastAsia="Arial" w:hAnsi="Arial"/>
          <w:sz w:val="16"/>
          <w:szCs w:val="16"/>
          <w:color w:val="auto"/>
        </w:rPr>
        <w:t>.</w:t>
      </w:r>
    </w:p>
    <w:p>
      <w:pPr>
        <w:spacing w:after="0" w:line="15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Recent Issuances of Unregistered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r>
        <w:rPr>
          <w:rFonts w:ascii="Arial" w:cs="Arial" w:eastAsia="Arial" w:hAnsi="Arial"/>
          <w:sz w:val="16"/>
          <w:szCs w:val="16"/>
          <w:color w:val="auto"/>
        </w:rPr>
        <w:t>.</w:t>
      </w:r>
    </w:p>
    <w:p>
      <w:pPr>
        <w:spacing w:after="0" w:line="163"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Not </w:t>
      </w:r>
      <w:r>
        <w:rPr>
          <w:rFonts w:ascii="Arial" w:cs="Arial" w:eastAsia="Arial" w:hAnsi="Arial"/>
          <w:sz w:val="17"/>
          <w:szCs w:val="17"/>
          <w:color w:val="auto"/>
        </w:rPr>
        <w:t>applicable</w:t>
      </w:r>
      <w:r>
        <w:rPr>
          <w:rFonts w:ascii="Arial" w:cs="Arial" w:eastAsia="Arial" w:hAnsi="Arial"/>
          <w:sz w:val="16"/>
          <w:szCs w:val="16"/>
          <w:color w:val="auto"/>
        </w:rPr>
        <w:t>.</w:t>
      </w:r>
    </w:p>
    <w:p>
      <w:pPr>
        <w:spacing w:after="0" w:line="174"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July 28, 2021, the Board of Directors of Neuronetics, Inc. (“Neuronetics”) voted to adopt the Third Amended and Restated Bylaws (as amended prior to the date hereof, the “A&amp;R Bylaws”), which became effective immediately upon adoption. Neuronetics’ A&amp;R Bylaws amend and restate Neuronetics’ previously existing bylaws in their entirety to, among other things, revise the requirements with respect to the information and agreements that a director nominee who is nominated by a stockholder must provide to Neuronetics. The foregoing is qualified in its entirety by reference to the text of the A&amp;R Bylaws, a copy of which is filed as Exhibit 10.3 to this Quarterly Report on Form 10-Q.</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60" w:right="439"/>
        <w:spacing w:after="0"/>
        <w:rPr>
          <w:sz w:val="20"/>
          <w:szCs w:val="20"/>
          <w:color w:val="auto"/>
        </w:rPr>
      </w:pPr>
      <w:r>
        <w:rPr>
          <w:rFonts w:ascii="Arial" w:cs="Arial" w:eastAsia="Arial" w:hAnsi="Arial"/>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7780" w:type="dxa"/>
            <w:vAlign w:val="bottom"/>
            <w:tcBorders>
              <w:bottom w:val="single" w:sz="8" w:color="auto"/>
            </w:tcBorders>
            <w:gridSpan w:val="15"/>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20" w:type="dxa"/>
            <w:vAlign w:val="bottom"/>
          </w:tcPr>
          <w:p>
            <w:pPr>
              <w:spacing w:after="0"/>
              <w:rPr>
                <w:sz w:val="14"/>
                <w:szCs w:val="14"/>
                <w:color w:val="auto"/>
              </w:rPr>
            </w:pPr>
          </w:p>
        </w:tc>
        <w:tc>
          <w:tcPr>
            <w:tcW w:w="7780" w:type="dxa"/>
            <w:vAlign w:val="bottom"/>
            <w:gridSpan w:val="15"/>
          </w:tcPr>
          <w:p>
            <w:pPr>
              <w:spacing w:after="0" w:line="169" w:lineRule="exact"/>
              <w:rPr>
                <w:rFonts w:ascii="Arial" w:cs="Arial" w:eastAsia="Arial" w:hAnsi="Arial"/>
                <w:sz w:val="18"/>
                <w:szCs w:val="18"/>
                <w:color w:val="0000EE"/>
              </w:rPr>
            </w:pPr>
            <w:hyperlink r:id="rId55">
              <w:r>
                <w:rPr>
                  <w:rFonts w:ascii="Arial" w:cs="Arial" w:eastAsia="Arial" w:hAnsi="Arial"/>
                  <w:sz w:val="18"/>
                  <w:szCs w:val="18"/>
                  <w:color w:val="0000EE"/>
                </w:rPr>
                <w:t>Certificate of Elimination of Series A Junior Participating Preferred Stock of Neuronetics, Inc.</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6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55">
              <w:r>
                <w:rPr>
                  <w:rFonts w:ascii="Arial" w:cs="Arial" w:eastAsia="Arial" w:hAnsi="Arial"/>
                  <w:sz w:val="18"/>
                  <w:szCs w:val="18"/>
                  <w:color w:val="0000EE"/>
                  <w:w w:val="99"/>
                </w:rPr>
                <w:t>(incorporated by reference to Exhibit 3.1 to the Registrant’s Current Report on Form 8-K filed on</w:t>
              </w:r>
            </w:hyperlink>
          </w:p>
        </w:tc>
        <w:tc>
          <w:tcPr>
            <w:tcW w:w="160" w:type="dxa"/>
            <w:vAlign w:val="bottom"/>
            <w:gridSpan w:val="7"/>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7780" w:type="dxa"/>
            <w:vAlign w:val="bottom"/>
            <w:gridSpan w:val="15"/>
          </w:tcPr>
          <w:p>
            <w:pPr>
              <w:spacing w:after="0" w:line="182" w:lineRule="exact"/>
              <w:rPr>
                <w:rFonts w:ascii="Arial" w:cs="Arial" w:eastAsia="Arial" w:hAnsi="Arial"/>
                <w:sz w:val="18"/>
                <w:szCs w:val="18"/>
                <w:color w:val="0000EE"/>
              </w:rPr>
            </w:pPr>
            <w:hyperlink r:id="rId55">
              <w:r>
                <w:rPr>
                  <w:rFonts w:ascii="Arial" w:cs="Arial" w:eastAsia="Arial" w:hAnsi="Arial"/>
                  <w:sz w:val="18"/>
                  <w:szCs w:val="18"/>
                  <w:color w:val="0000EE"/>
                </w:rPr>
                <w:t>April 9, 2021)</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7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Consulting Agreement, dated April 1, 2021 by and between Neuronetics, Inc. and Gregory Harper</w:t>
              </w:r>
            </w:hyperlink>
          </w:p>
        </w:tc>
        <w:tc>
          <w:tcPr>
            <w:tcW w:w="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(incorporated by reference to Exhibit 10.1 to the Registrant’s Quarterly Report on Form 10-Q filed</w:t>
              </w:r>
            </w:hyperlink>
          </w:p>
        </w:tc>
        <w:tc>
          <w:tcPr>
            <w:tcW w:w="40" w:type="dxa"/>
            <w:vAlign w:val="bottom"/>
            <w:gridSpan w:val="2"/>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7780" w:type="dxa"/>
            <w:vAlign w:val="bottom"/>
            <w:gridSpan w:val="15"/>
          </w:tcPr>
          <w:p>
            <w:pPr>
              <w:spacing w:after="0" w:line="182" w:lineRule="exact"/>
              <w:rPr>
                <w:rFonts w:ascii="Arial" w:cs="Arial" w:eastAsia="Arial" w:hAnsi="Arial"/>
                <w:sz w:val="18"/>
                <w:szCs w:val="18"/>
                <w:color w:val="0000EE"/>
              </w:rPr>
            </w:pPr>
            <w:hyperlink r:id="rId56">
              <w:r>
                <w:rPr>
                  <w:rFonts w:ascii="Arial" w:cs="Arial" w:eastAsia="Arial" w:hAnsi="Arial"/>
                  <w:sz w:val="18"/>
                  <w:szCs w:val="18"/>
                  <w:color w:val="0000EE"/>
                </w:rPr>
                <w:t>on May 4, 2021).</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10.2*</w:t>
            </w:r>
          </w:p>
        </w:tc>
        <w:tc>
          <w:tcPr>
            <w:tcW w:w="45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Form of Restrictive Covenant and Severance Agreement</w:t>
              </w:r>
            </w:hyperlink>
          </w:p>
        </w:tc>
        <w:tc>
          <w:tcPr>
            <w:tcW w:w="3260" w:type="dxa"/>
            <w:vAlign w:val="bottom"/>
            <w:gridSpan w:val="9"/>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10.3*</w:t>
            </w:r>
          </w:p>
        </w:tc>
        <w:tc>
          <w:tcPr>
            <w:tcW w:w="43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Third Amended and Restated Bylaws of the Registrant</w:t>
              </w:r>
            </w:hyperlink>
          </w:p>
        </w:tc>
        <w:tc>
          <w:tcPr>
            <w:tcW w:w="3440" w:type="dxa"/>
            <w:vAlign w:val="bottom"/>
            <w:gridSpan w:val="10"/>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Certification of the Principal Executive Officer Pursuant to Section 302 of the Sarbanes-Oxley Act</w:t>
              </w:r>
            </w:hyperlink>
          </w:p>
        </w:tc>
        <w:tc>
          <w:tcPr>
            <w:tcW w:w="60" w:type="dxa"/>
            <w:vAlign w:val="bottom"/>
            <w:gridSpan w:val="3"/>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7780" w:type="dxa"/>
            <w:vAlign w:val="bottom"/>
            <w:gridSpan w:val="15"/>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of 2002.</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6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Certification of the Principal Financial Officer Pursuant to Section 302 of the Sarbanes-Oxley Act</w:t>
              </w:r>
            </w:hyperlink>
          </w:p>
        </w:tc>
        <w:tc>
          <w:tcPr>
            <w:tcW w:w="120" w:type="dxa"/>
            <w:vAlign w:val="bottom"/>
            <w:gridSpan w:val="5"/>
          </w:tcPr>
          <w:p>
            <w:pPr>
              <w:spacing w:after="0"/>
              <w:rPr>
                <w:sz w:val="15"/>
                <w:szCs w:val="15"/>
                <w:color w:val="auto"/>
              </w:rPr>
            </w:pPr>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7780" w:type="dxa"/>
            <w:vAlign w:val="bottom"/>
            <w:gridSpan w:val="15"/>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of 2002.</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7780" w:type="dxa"/>
            <w:vAlign w:val="bottom"/>
            <w:gridSpan w:val="15"/>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Certification of Chief Executive Officer Pursuant to 18 U.S.C. Section 1350, as Adopted Pursuant</w:t>
              </w:r>
            </w:hyperlink>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4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to Section 906 of the Sarbanes-Oxley Act of 2002.</w:t>
              </w:r>
            </w:hyperlink>
          </w:p>
        </w:tc>
        <w:tc>
          <w:tcPr>
            <w:tcW w:w="3700" w:type="dxa"/>
            <w:vAlign w:val="bottom"/>
            <w:tcBorders>
              <w:top w:val="single" w:sz="8" w:color="0000EE"/>
            </w:tcBorders>
            <w:gridSpan w:val="7"/>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7780" w:type="dxa"/>
            <w:vAlign w:val="bottom"/>
            <w:gridSpan w:val="1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Certification of Chief Financial Officer Pursuant to 18 U.S.C. Section 1350, as Adopted Pursuant</w:t>
              </w:r>
            </w:hyperlink>
          </w:p>
        </w:tc>
      </w:tr>
      <w:tr>
        <w:trPr>
          <w:trHeight w:val="183"/>
        </w:trPr>
        <w:tc>
          <w:tcPr>
            <w:tcW w:w="112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to Section 906 of the Sarbanes-Oxley Act of 2002.</w:t>
              </w:r>
            </w:hyperlink>
          </w:p>
        </w:tc>
        <w:tc>
          <w:tcPr>
            <w:tcW w:w="3640" w:type="dxa"/>
            <w:vAlign w:val="bottom"/>
            <w:tcBorders>
              <w:top w:val="single" w:sz="8" w:color="0000EE"/>
            </w:tcBorders>
            <w:gridSpan w:val="5"/>
          </w:tcPr>
          <w:p>
            <w:pPr>
              <w:spacing w:after="0"/>
              <w:rPr>
                <w:sz w:val="15"/>
                <w:szCs w:val="15"/>
                <w:color w:val="auto"/>
              </w:rPr>
            </w:pPr>
          </w:p>
        </w:tc>
        <w:tc>
          <w:tcPr>
            <w:tcW w:w="140" w:type="dxa"/>
            <w:vAlign w:val="bottom"/>
            <w:gridSpan w:val="6"/>
          </w:tcPr>
          <w:p>
            <w:pPr>
              <w:spacing w:after="0"/>
              <w:rPr>
                <w:sz w:val="15"/>
                <w:szCs w:val="15"/>
                <w:color w:val="auto"/>
              </w:rPr>
            </w:pPr>
          </w:p>
        </w:tc>
      </w:tr>
      <w:tr>
        <w:trPr>
          <w:trHeight w:val="209"/>
        </w:trPr>
        <w:tc>
          <w:tcPr>
            <w:tcW w:w="1120" w:type="dxa"/>
            <w:vAlign w:val="bottom"/>
          </w:tcPr>
          <w:p>
            <w:pPr>
              <w:spacing w:after="0"/>
              <w:rPr>
                <w:sz w:val="18"/>
                <w:szCs w:val="18"/>
                <w:color w:val="auto"/>
              </w:rPr>
            </w:pPr>
          </w:p>
        </w:tc>
        <w:tc>
          <w:tcPr>
            <w:tcW w:w="778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File because iXBRL tags are embedded within the Inline XBRL document.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780" w:type="dxa"/>
            <w:vAlign w:val="bottom"/>
            <w:gridSpan w:val="1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r>
    </w:tbl>
    <w:p>
      <w:pPr>
        <w:ind w:left="60" w:right="839" w:hanging="4"/>
        <w:spacing w:after="0" w:line="477" w:lineRule="auto"/>
        <w:tabs>
          <w:tab w:leader="none" w:pos="118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Cover Page Interactive Data File (Formatted as Inline XBRL and contained Exhibit 101). </w:t>
      </w:r>
      <w:r>
        <w:rPr>
          <w:rFonts w:ascii="Arial" w:cs="Arial" w:eastAsia="Arial" w:hAnsi="Arial"/>
          <w:sz w:val="16"/>
          <w:szCs w:val="16"/>
          <w:color w:val="auto"/>
        </w:rPr>
        <w:t xml:space="preserve">* </w:t>
      </w:r>
      <w:r>
        <w:rPr>
          <w:rFonts w:ascii="Arial" w:cs="Arial" w:eastAsia="Arial" w:hAnsi="Arial"/>
          <w:sz w:val="17"/>
          <w:szCs w:val="17"/>
          <w:color w:val="auto"/>
        </w:rPr>
        <w:t>Filed herewith.</w:t>
      </w:r>
    </w:p>
    <w:p>
      <w:pPr>
        <w:jc w:val="both"/>
        <w:ind w:left="380" w:right="79" w:hanging="330"/>
        <w:spacing w:after="0" w:line="237" w:lineRule="auto"/>
        <w:tabs>
          <w:tab w:leader="none" w:pos="380" w:val="left"/>
        </w:tabs>
        <w:numPr>
          <w:ilvl w:val="0"/>
          <w:numId w:val="31"/>
        </w:numPr>
        <w:rPr>
          <w:rFonts w:ascii="Arial" w:cs="Arial" w:eastAsia="Arial" w:hAnsi="Arial"/>
          <w:sz w:val="16"/>
          <w:szCs w:val="16"/>
          <w:color w:val="auto"/>
        </w:rPr>
      </w:pPr>
      <w:r>
        <w:rPr>
          <w:rFonts w:ascii="Arial" w:cs="Arial" w:eastAsia="Arial" w:hAnsi="Arial"/>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-1094740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NEURONETICS, INC.</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Name:Keith J. Sullivan</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ind w:left="60"/>
        <w:spacing w:after="0"/>
        <w:tabs>
          <w:tab w:leader="none" w:pos="4200" w:val="left"/>
          <w:tab w:leader="none" w:pos="4740" w:val="left"/>
        </w:tabs>
        <w:rPr>
          <w:sz w:val="20"/>
          <w:szCs w:val="20"/>
          <w:color w:val="auto"/>
        </w:rPr>
      </w:pPr>
      <w:r>
        <w:rPr>
          <w:rFonts w:ascii="Arial" w:cs="Arial" w:eastAsia="Arial" w:hAnsi="Arial"/>
          <w:sz w:val="18"/>
          <w:szCs w:val="18"/>
          <w:color w:val="auto"/>
        </w:rPr>
        <w:t>Date: August 3, 2021</w:t>
      </w:r>
      <w:r>
        <w:rPr>
          <w:sz w:val="20"/>
          <w:szCs w:val="20"/>
          <w:color w:val="auto"/>
        </w:rPr>
        <w:tab/>
      </w:r>
      <w:r>
        <w:rPr>
          <w:rFonts w:ascii="Arial" w:cs="Arial" w:eastAsia="Arial" w:hAnsi="Arial"/>
          <w:sz w:val="18"/>
          <w:szCs w:val="18"/>
          <w:color w:val="auto"/>
        </w:rPr>
        <w:t>By:</w:t>
        <w:tab/>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-1905</wp:posOffset>
            </wp:positionV>
            <wp:extent cx="2657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18"/>
          <w:szCs w:val="18"/>
          <w:color w:val="auto"/>
        </w:rPr>
        <w:t>Name:Stephen Furlong</w:t>
      </w:r>
    </w:p>
    <w:p>
      <w:pPr>
        <w:ind w:left="422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SVP, Chief Financial Officer and Treasurer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11430</wp:posOffset>
            </wp:positionV>
            <wp:extent cx="161163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RESTRICTIVE COVENANT AND SEVERANCE AGREEMENT</w:t>
      </w:r>
    </w:p>
    <w:p>
      <w:pPr>
        <w:spacing w:after="0" w:line="200" w:lineRule="exact"/>
        <w:rPr>
          <w:sz w:val="20"/>
          <w:szCs w:val="20"/>
          <w:color w:val="auto"/>
        </w:rPr>
      </w:pPr>
    </w:p>
    <w:p>
      <w:pPr>
        <w:spacing w:after="0" w:line="228" w:lineRule="exact"/>
        <w:rPr>
          <w:sz w:val="20"/>
          <w:szCs w:val="20"/>
          <w:color w:val="auto"/>
        </w:rPr>
      </w:pPr>
    </w:p>
    <w:p>
      <w:pPr>
        <w:jc w:val="both"/>
        <w:ind w:left="300" w:right="319" w:firstLine="647"/>
        <w:spacing w:after="0" w:line="297" w:lineRule="auto"/>
        <w:rPr>
          <w:sz w:val="20"/>
          <w:szCs w:val="20"/>
          <w:color w:val="auto"/>
        </w:rPr>
      </w:pPr>
      <w:r>
        <w:rPr>
          <w:rFonts w:ascii="Arial" w:cs="Arial" w:eastAsia="Arial" w:hAnsi="Arial"/>
          <w:sz w:val="19"/>
          <w:szCs w:val="19"/>
          <w:color w:val="auto"/>
        </w:rPr>
        <w:t>This Restrictive Covenant and Severance Agreement (the “Agreement”) is made and entered into effective as of July 1, 2021 (the “Effective Date”), by and between Neuronetics, Inc., a Delaware corporation (“Company”) and _______________________ (“Executive”).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left="300" w:right="339" w:firstLine="647"/>
        <w:spacing w:after="0"/>
        <w:rPr>
          <w:sz w:val="20"/>
          <w:szCs w:val="20"/>
          <w:color w:val="auto"/>
        </w:rPr>
      </w:pPr>
      <w:r>
        <w:rPr>
          <w:rFonts w:ascii="Arial" w:cs="Arial" w:eastAsia="Arial" w:hAnsi="Arial"/>
          <w:sz w:val="22"/>
          <w:szCs w:val="22"/>
          <w:color w:val="auto"/>
        </w:rPr>
        <w:t>WHEREAS, in order to encourage Executive’s continued dedication to Company, the Board of Directors of Company (the “Board”) desires to provide Executive with severance benefits following certain terminations of employment;</w:t>
      </w:r>
    </w:p>
    <w:p>
      <w:pPr>
        <w:spacing w:after="0" w:line="186" w:lineRule="exact"/>
        <w:rPr>
          <w:sz w:val="20"/>
          <w:szCs w:val="20"/>
          <w:color w:val="auto"/>
        </w:rPr>
      </w:pPr>
    </w:p>
    <w:p>
      <w:pPr>
        <w:jc w:val="both"/>
        <w:ind w:left="300" w:right="319" w:firstLine="647"/>
        <w:spacing w:after="0"/>
        <w:rPr>
          <w:sz w:val="20"/>
          <w:szCs w:val="20"/>
          <w:color w:val="auto"/>
        </w:rPr>
      </w:pPr>
      <w:r>
        <w:rPr>
          <w:rFonts w:ascii="Arial" w:cs="Arial" w:eastAsia="Arial" w:hAnsi="Arial"/>
          <w:sz w:val="22"/>
          <w:szCs w:val="22"/>
          <w:color w:val="auto"/>
        </w:rPr>
        <w:t>NOW, THEREFORE, in consideration of the mutual promises, covenants, and obligations set forth below, the adequacy and sufficiency of which are hereby acknowledged, Company and Executive hereby agree as follows:</w:t>
      </w:r>
    </w:p>
    <w:p>
      <w:pPr>
        <w:spacing w:after="0" w:line="180" w:lineRule="exact"/>
        <w:rPr>
          <w:sz w:val="20"/>
          <w:szCs w:val="20"/>
          <w:color w:val="auto"/>
        </w:rPr>
      </w:pPr>
    </w:p>
    <w:p>
      <w:pPr>
        <w:jc w:val="both"/>
        <w:ind w:left="200" w:right="219" w:firstLine="657"/>
        <w:spacing w:after="0" w:line="278" w:lineRule="auto"/>
        <w:tabs>
          <w:tab w:leader="none" w:pos="1496"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this Agreement will begin on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and continue until the earliest of: (i) termination of Executive’s employment by Company for Cause, by Executive without Good Reason, or due to Executive’s death or Disability; (ii) if Executive becomes entitled to benefits, payment of all benefits to which Executive is entitled under this Agreement and satisfaction of all other obligations of Executive and Company with respect to this Agreement, including Executive’s obligations pursuant to the Restrictive Covenant Agreement (as defined herein); and (iii) termination pursuant to Section 11 of this Agreement.</w:t>
      </w:r>
    </w:p>
    <w:p>
      <w:pPr>
        <w:spacing w:after="0" w:line="145" w:lineRule="exact"/>
        <w:rPr>
          <w:rFonts w:ascii="Arial" w:cs="Arial" w:eastAsia="Arial" w:hAnsi="Arial"/>
          <w:sz w:val="19"/>
          <w:szCs w:val="19"/>
          <w:b w:val="1"/>
          <w:bCs w:val="1"/>
          <w:color w:val="auto"/>
        </w:rPr>
      </w:pPr>
    </w:p>
    <w:p>
      <w:pPr>
        <w:jc w:val="both"/>
        <w:ind w:left="200" w:right="219" w:firstLine="657"/>
        <w:spacing w:after="0" w:line="235" w:lineRule="auto"/>
        <w:tabs>
          <w:tab w:leader="none" w:pos="1496"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Executive acknowledge that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will continue to be at-will as defined under applicable law, and either Company or Executive may terminate the employment relationship at any time and for any reason. If Executive’s employment with Company terminates for any reason, Executive shall not be entitled to any payments, benefits, damages, awards, or compensation other than the payment of accrued but unpaid wages, as required by law, and any unreimbursed business expenses, and as provided by this Agreement.</w:t>
      </w:r>
    </w:p>
    <w:p>
      <w:pPr>
        <w:spacing w:after="0" w:line="183" w:lineRule="exact"/>
        <w:rPr>
          <w:rFonts w:ascii="Arial" w:cs="Arial" w:eastAsia="Arial" w:hAnsi="Arial"/>
          <w:sz w:val="22"/>
          <w:szCs w:val="22"/>
          <w:b w:val="1"/>
          <w:bCs w:val="1"/>
          <w:color w:val="auto"/>
        </w:rPr>
      </w:pPr>
    </w:p>
    <w:p>
      <w:pPr>
        <w:ind w:left="1500" w:hanging="643"/>
        <w:spacing w:after="0"/>
        <w:tabs>
          <w:tab w:leader="none" w:pos="150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860" w:right="219" w:firstLine="648"/>
        <w:spacing w:after="0" w:line="271"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its sole discretion, may terminate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and cancel all of Company’s obligations under this Agreement for Cause at any time. The term “Cause” shall mean the occurrence of one or more of the following events: any (a) act of fraud, embezzlement, or theft; (b) willful disregard of Company rules, policies, or procedures or of the assigned duties of Executive or directions of the CEO or the Board (other than due to physical or mental illness or Disability), which has not been corrected (to the extent correctable) within thirty (30) days of Executive receiving a written notice for substantial correction from Company; (c) gross negligence, meaning an act or omission exhibiting a conscious indifference or disregard of Company rules, policies, or procedures or of the assigned duties of Executive, which has not been corrected (to the extent correctable) within thirty (30) days of Executive receiving a written notice for substantial correction from Company; (d) breach of fiduciary duty for personal gain during the course of Executive’s employment with Company; (e) commission by Executive of a felony; (f) intentional act or intentional failure to act by Executive which reasonably could be expected to have a material</w:t>
      </w: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60" w:right="219"/>
        <w:spacing w:after="0" w:line="246" w:lineRule="auto"/>
        <w:rPr>
          <w:sz w:val="20"/>
          <w:szCs w:val="20"/>
          <w:color w:val="auto"/>
        </w:rPr>
      </w:pPr>
      <w:r>
        <w:rPr>
          <w:rFonts w:ascii="Arial" w:cs="Arial" w:eastAsia="Arial" w:hAnsi="Arial"/>
          <w:sz w:val="21"/>
          <w:szCs w:val="21"/>
          <w:color w:val="auto"/>
        </w:rPr>
        <w:t>adverse effect on Company’s business, reputation, or operations, which has not been corrected (to the extent correctable) within thirty (30) days of Executive receiving a written notice for substantial correction from Company; or (g) determination that Executive intentionally omitted any requested information or falsified any disclosed information either in Executive’s resume or during Executive’s interview process with Company. Whether an event constituting “Cause” exists, and whether that event is correctable, shall be determined in the sole discretion of Company.</w:t>
      </w:r>
    </w:p>
    <w:p>
      <w:pPr>
        <w:spacing w:after="0" w:line="184" w:lineRule="exact"/>
        <w:rPr>
          <w:sz w:val="20"/>
          <w:szCs w:val="20"/>
          <w:color w:val="auto"/>
        </w:rPr>
      </w:pPr>
    </w:p>
    <w:p>
      <w:pPr>
        <w:jc w:val="both"/>
        <w:ind w:left="860" w:right="219"/>
        <w:spacing w:after="0" w:line="272" w:lineRule="auto"/>
        <w:rPr>
          <w:sz w:val="20"/>
          <w:szCs w:val="20"/>
          <w:color w:val="auto"/>
        </w:rPr>
      </w:pPr>
      <w:r>
        <w:rPr>
          <w:rFonts w:ascii="Arial" w:cs="Arial" w:eastAsia="Arial" w:hAnsi="Arial"/>
          <w:sz w:val="19"/>
          <w:szCs w:val="19"/>
          <w:color w:val="auto"/>
        </w:rPr>
        <w:t>In the event Company elects to terminate Executive’s employment in accordance with this Section, such termination shall be without prejudice to any other remedy to which Company may be entitled under law, equity, or this Agreement. Furthermore, the termination will be effective as of the date of the original written notice of termination and neither party shall have any further obligation to the other (including the payment of any severance benefits by Company to Executive) except for Executive’s obligations set forth in the Restrictive Covenant Agreement, which will remain in full force and effect. Specifically, should Company terminate this Agreement for Cause, Executive shall not be entitled to any further compensation other than Executive’s earned but unpaid base salary (at the annual rate then in effect), any expense reimbursements to be paid in accordance with Company policy, and payments for any accrued but unused vacation or paid time off in accordance with Company’s policies and applicable law (the “Accrued Amounts”) up to the effective date of termination of employment with Company (the “Termination Date”).</w:t>
      </w:r>
    </w:p>
    <w:p>
      <w:pPr>
        <w:spacing w:after="0" w:line="150" w:lineRule="exact"/>
        <w:rPr>
          <w:sz w:val="20"/>
          <w:szCs w:val="20"/>
          <w:color w:val="auto"/>
        </w:rPr>
      </w:pPr>
    </w:p>
    <w:p>
      <w:pPr>
        <w:jc w:val="both"/>
        <w:ind w:left="860" w:right="219" w:firstLine="648"/>
        <w:spacing w:after="0" w:line="280"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u w:val="single" w:color="auto"/>
          <w:color w:val="auto"/>
        </w:rPr>
        <w:t>Resignation without 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may resign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without Good Reason at any time. Executive shall not be entitled to any further compensation other than the Accrued Amounts up to the Termination Date. Company, in its sole discretion, may elect to have Executive immediately cease providing services to Company upon receipt of Executive’s notice of resignation; provided, however, Company shall pay the Accrued Amounts through the Termination Date.</w:t>
      </w:r>
    </w:p>
    <w:p>
      <w:pPr>
        <w:spacing w:after="0" w:line="145"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u w:val="single" w:color="auto"/>
          <w:color w:val="auto"/>
        </w:rPr>
        <w:t>Without Cause or Resignation for Good Reason</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1500" w:right="219" w:firstLine="653"/>
        <w:spacing w:after="0" w:line="276" w:lineRule="auto"/>
        <w:tabs>
          <w:tab w:leader="none" w:pos="2822" w:val="left"/>
        </w:tabs>
        <w:numPr>
          <w:ilvl w:val="1"/>
          <w:numId w:val="33"/>
        </w:numPr>
        <w:rPr>
          <w:rFonts w:ascii="Arial" w:cs="Arial" w:eastAsia="Arial" w:hAnsi="Arial"/>
          <w:sz w:val="19"/>
          <w:szCs w:val="19"/>
          <w:color w:val="auto"/>
        </w:rPr>
      </w:pPr>
      <w:r>
        <w:rPr>
          <w:rFonts w:ascii="Arial" w:cs="Arial" w:eastAsia="Arial" w:hAnsi="Arial"/>
          <w:sz w:val="19"/>
          <w:szCs w:val="19"/>
          <w:color w:val="auto"/>
        </w:rPr>
        <w:t>Executive’s employment may be terminated at any time by Company, without any requirement of Cause, upon delivery to Executive of thirty</w:t>
      </w:r>
    </w:p>
    <w:p>
      <w:pPr>
        <w:spacing w:after="0" w:line="1" w:lineRule="exact"/>
        <w:rPr>
          <w:rFonts w:ascii="Arial" w:cs="Arial" w:eastAsia="Arial" w:hAnsi="Arial"/>
          <w:sz w:val="19"/>
          <w:szCs w:val="19"/>
          <w:color w:val="auto"/>
        </w:rPr>
      </w:pPr>
    </w:p>
    <w:p>
      <w:pPr>
        <w:jc w:val="both"/>
        <w:ind w:left="1500" w:right="219" w:firstLine="5"/>
        <w:spacing w:after="0" w:line="275" w:lineRule="auto"/>
        <w:tabs>
          <w:tab w:leader="none" w:pos="1921" w:val="left"/>
        </w:tabs>
        <w:numPr>
          <w:ilvl w:val="0"/>
          <w:numId w:val="34"/>
        </w:numPr>
        <w:rPr>
          <w:rFonts w:ascii="Arial" w:cs="Arial" w:eastAsia="Arial" w:hAnsi="Arial"/>
          <w:sz w:val="19"/>
          <w:szCs w:val="19"/>
          <w:color w:val="auto"/>
        </w:rPr>
      </w:pPr>
      <w:r>
        <w:rPr>
          <w:rFonts w:ascii="Arial" w:cs="Arial" w:eastAsia="Arial" w:hAnsi="Arial"/>
          <w:sz w:val="19"/>
          <w:szCs w:val="19"/>
          <w:color w:val="auto"/>
        </w:rPr>
        <w:t>days’ prior written notice of its intention to terminate Executive’s employment (the “Termination Period”). Company, in its sole discretion, may elect to have Executive immediately cease providing services to Company during the Termination Period; provided, however, Company shall pay the Accrued Amounts through the end of the Termination Period, whether or not Company elects to continue Executive’s services during all or a portion of the Termination Period.</w:t>
      </w:r>
    </w:p>
    <w:p>
      <w:pPr>
        <w:spacing w:after="0" w:line="153" w:lineRule="exact"/>
        <w:rPr>
          <w:rFonts w:ascii="Arial" w:cs="Arial" w:eastAsia="Arial" w:hAnsi="Arial"/>
          <w:sz w:val="19"/>
          <w:szCs w:val="19"/>
          <w:color w:val="auto"/>
        </w:rPr>
      </w:pPr>
    </w:p>
    <w:p>
      <w:pPr>
        <w:jc w:val="both"/>
        <w:ind w:left="1500" w:right="219" w:firstLine="653"/>
        <w:spacing w:after="0" w:line="234" w:lineRule="auto"/>
        <w:tabs>
          <w:tab w:leader="none" w:pos="2812" w:val="left"/>
        </w:tabs>
        <w:numPr>
          <w:ilvl w:val="1"/>
          <w:numId w:val="34"/>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in the event of (A) Executive’s termination of employment by Company without Cause, or (B) Executive’s resignation for Good Reason, Executive’s obligations pursuant to the Restrictive Covenant Agreement will remain in full force and effect. Executive and Company also agree that in the event Executive’s termination or resignation in accordance with this Section constitutes a separation from service within the meaning</w:t>
      </w:r>
    </w:p>
    <w:p>
      <w:pPr>
        <w:spacing w:after="0" w:line="136" w:lineRule="exact"/>
        <w:rPr>
          <w:rFonts w:ascii="Arial" w:cs="Arial" w:eastAsia="Arial" w:hAnsi="Arial"/>
          <w:sz w:val="22"/>
          <w:szCs w:val="22"/>
          <w:color w:val="auto"/>
        </w:rPr>
      </w:pPr>
    </w:p>
    <w:p>
      <w:pPr>
        <w:ind w:left="4320" w:hanging="122"/>
        <w:spacing w:after="0"/>
        <w:tabs>
          <w:tab w:leader="none" w:pos="4320" w:val="left"/>
        </w:tabs>
        <w:numPr>
          <w:ilvl w:val="2"/>
          <w:numId w:val="34"/>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3" w:name="page44"/>
    <w:bookmarkEnd w:id="43"/>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1500" w:right="239"/>
        <w:spacing w:after="0" w:line="250" w:lineRule="auto"/>
        <w:rPr>
          <w:sz w:val="20"/>
          <w:szCs w:val="20"/>
          <w:color w:val="auto"/>
        </w:rPr>
      </w:pPr>
      <w:r>
        <w:rPr>
          <w:rFonts w:ascii="Arial" w:cs="Arial" w:eastAsia="Arial" w:hAnsi="Arial"/>
          <w:sz w:val="22"/>
          <w:szCs w:val="22"/>
          <w:color w:val="auto"/>
        </w:rPr>
        <w:t>of Treasury Regulation Section 1.409A-1(h), Company, in addition to the Accrued Amounts for the Termination Period, will provide Executive:</w:t>
      </w:r>
    </w:p>
    <w:p>
      <w:pPr>
        <w:spacing w:after="0" w:line="175" w:lineRule="exact"/>
        <w:rPr>
          <w:sz w:val="20"/>
          <w:szCs w:val="20"/>
          <w:color w:val="auto"/>
        </w:rPr>
      </w:pPr>
    </w:p>
    <w:p>
      <w:pPr>
        <w:jc w:val="both"/>
        <w:ind w:left="2160" w:right="219" w:firstLine="641"/>
        <w:spacing w:after="0"/>
        <w:tabs>
          <w:tab w:leader="none" w:pos="3494" w:val="left"/>
        </w:tabs>
        <w:numPr>
          <w:ilvl w:val="1"/>
          <w:numId w:val="35"/>
        </w:numPr>
        <w:rPr>
          <w:rFonts w:ascii="Arial" w:cs="Arial" w:eastAsia="Arial" w:hAnsi="Arial"/>
          <w:sz w:val="22"/>
          <w:szCs w:val="22"/>
          <w:color w:val="auto"/>
        </w:rPr>
      </w:pPr>
      <w:r>
        <w:rPr>
          <w:rFonts w:ascii="Arial" w:cs="Arial" w:eastAsia="Arial" w:hAnsi="Arial"/>
          <w:sz w:val="22"/>
          <w:szCs w:val="22"/>
          <w:color w:val="auto"/>
        </w:rPr>
        <w:t>severance at a rate equal to Executive’s monthly base salary in effect at the time of such termination or resignation for a period of six (6) months (the “Severance Period”);</w:t>
      </w:r>
    </w:p>
    <w:p>
      <w:pPr>
        <w:spacing w:after="0" w:line="186" w:lineRule="exact"/>
        <w:rPr>
          <w:rFonts w:ascii="Arial" w:cs="Arial" w:eastAsia="Arial" w:hAnsi="Arial"/>
          <w:sz w:val="22"/>
          <w:szCs w:val="22"/>
          <w:color w:val="auto"/>
        </w:rPr>
      </w:pPr>
    </w:p>
    <w:p>
      <w:pPr>
        <w:jc w:val="both"/>
        <w:ind w:left="2160" w:right="219" w:firstLine="641"/>
        <w:spacing w:after="0" w:line="279" w:lineRule="auto"/>
        <w:tabs>
          <w:tab w:leader="none" w:pos="3481" w:val="left"/>
        </w:tabs>
        <w:numPr>
          <w:ilvl w:val="1"/>
          <w:numId w:val="35"/>
        </w:numPr>
        <w:rPr>
          <w:rFonts w:ascii="Arial" w:cs="Arial" w:eastAsia="Arial" w:hAnsi="Arial"/>
          <w:sz w:val="19"/>
          <w:szCs w:val="19"/>
          <w:color w:val="auto"/>
        </w:rPr>
      </w:pPr>
      <w:r>
        <w:rPr>
          <w:rFonts w:ascii="Arial" w:cs="Arial" w:eastAsia="Arial" w:hAnsi="Arial"/>
          <w:sz w:val="19"/>
          <w:szCs w:val="19"/>
          <w:color w:val="auto"/>
        </w:rPr>
        <w:t>any unpaid annual incentive bonus, if any, determined in Company’s sole discretion in accordance with the incentive bonus program established by Company for senior executives of Company (the “Incentive Bonus”), payable to Executive for the fiscal year that ended immediately preceding Executive’s termination of employment, regardless of any requirement that Executive be employed on the date of payment; and</w:t>
      </w:r>
    </w:p>
    <w:p>
      <w:pPr>
        <w:spacing w:after="0" w:line="150" w:lineRule="exact"/>
        <w:rPr>
          <w:rFonts w:ascii="Arial" w:cs="Arial" w:eastAsia="Arial" w:hAnsi="Arial"/>
          <w:sz w:val="19"/>
          <w:szCs w:val="19"/>
          <w:color w:val="auto"/>
        </w:rPr>
      </w:pPr>
    </w:p>
    <w:p>
      <w:pPr>
        <w:jc w:val="both"/>
        <w:ind w:left="2160" w:right="219" w:firstLine="641"/>
        <w:spacing w:after="0" w:line="269" w:lineRule="auto"/>
        <w:tabs>
          <w:tab w:leader="none" w:pos="3481"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Executive (and Executive’s spouse or dependents, as applicable) timely elects to continue health, dental, and/or vision coverage pursuant to the Consolidated Omnibus Budget Reconciliation Act of 1985 (“COBRA”), Company will pay the full premium cost associated with such COBRA continuation coverage consistent with such coverages as are offered to then active employees until the earliest to occur of (i) the expiration of the Severance Period; (ii) the date Executive first becomes eligible for health, dental, or vision coverage with a subsequent employer;</w:t>
      </w:r>
    </w:p>
    <w:p>
      <w:pPr>
        <w:spacing w:after="0" w:line="2" w:lineRule="exact"/>
        <w:rPr>
          <w:rFonts w:ascii="Arial" w:cs="Arial" w:eastAsia="Arial" w:hAnsi="Arial"/>
          <w:sz w:val="19"/>
          <w:szCs w:val="19"/>
          <w:color w:val="auto"/>
        </w:rPr>
      </w:pPr>
    </w:p>
    <w:p>
      <w:pPr>
        <w:jc w:val="both"/>
        <w:ind w:left="2160" w:right="219" w:hanging="7"/>
        <w:spacing w:after="0" w:line="271" w:lineRule="auto"/>
        <w:tabs>
          <w:tab w:leader="none" w:pos="2544"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date Executive is no longer eligible for continuation coverage under COBRA; or (iv) the date Executive violates the provisions of the Restrictive Covenant Agreement. Notwithstanding the foregoing, if Company determines that it cannot provide the benefit required by this Paragraph (4) without potentially violating applicable law (including Section 2716 of the Public Health Service Act) or incurring an excise tax, Company shall in lieu thereof provide to Executive a taxable monthly payment for the period described herein in an amount equal to the monthly COBRA premium that Executive would be required to pay to continue Executive’s and Executive’s dependents’ COBRA continuation coverage based on the premium for the first month of COBRA continuation coverage.</w:t>
      </w:r>
    </w:p>
    <w:p>
      <w:pPr>
        <w:spacing w:after="0" w:line="157" w:lineRule="exact"/>
        <w:rPr>
          <w:sz w:val="20"/>
          <w:szCs w:val="20"/>
          <w:color w:val="auto"/>
        </w:rPr>
      </w:pPr>
    </w:p>
    <w:p>
      <w:pPr>
        <w:jc w:val="both"/>
        <w:ind w:left="1500" w:right="219" w:firstLine="653"/>
        <w:spacing w:after="0" w:line="238" w:lineRule="auto"/>
        <w:tabs>
          <w:tab w:leader="none" w:pos="28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“Good Reason” means Executive’s “separation from service” within the meaning of Treasury Regulation Section 1.409A-1(h) following the initial existence of one or more of the following conditions arising without Executive’s consent:</w:t>
      </w:r>
    </w:p>
    <w:p>
      <w:pPr>
        <w:spacing w:after="0" w:line="184" w:lineRule="exact"/>
        <w:rPr>
          <w:rFonts w:ascii="Arial" w:cs="Arial" w:eastAsia="Arial" w:hAnsi="Arial"/>
          <w:sz w:val="22"/>
          <w:szCs w:val="22"/>
          <w:color w:val="auto"/>
        </w:rPr>
      </w:pPr>
    </w:p>
    <w:p>
      <w:pPr>
        <w:jc w:val="both"/>
        <w:ind w:left="2160" w:right="219" w:firstLine="641"/>
        <w:spacing w:after="0" w:line="297" w:lineRule="auto"/>
        <w:tabs>
          <w:tab w:leader="none" w:pos="3481"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material adverse change of Executive’s position with Company that reduces Executive’s title, level of authority, duties, and/or responsibilities from those in effect immediately prior to the reduction;</w:t>
      </w:r>
    </w:p>
    <w:p>
      <w:pPr>
        <w:spacing w:after="0" w:line="133" w:lineRule="exact"/>
        <w:rPr>
          <w:rFonts w:ascii="Arial" w:cs="Arial" w:eastAsia="Arial" w:hAnsi="Arial"/>
          <w:sz w:val="19"/>
          <w:szCs w:val="19"/>
          <w:color w:val="auto"/>
        </w:rPr>
      </w:pPr>
    </w:p>
    <w:p>
      <w:pPr>
        <w:ind w:left="3480" w:hanging="679"/>
        <w:spacing w:after="0"/>
        <w:tabs>
          <w:tab w:leader="none" w:pos="348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reduction in base salary or target incentive compensation</w:t>
      </w:r>
    </w:p>
    <w:p>
      <w:pPr>
        <w:spacing w:after="0" w:line="42" w:lineRule="exact"/>
        <w:rPr>
          <w:rFonts w:ascii="Arial" w:cs="Arial" w:eastAsia="Arial" w:hAnsi="Arial"/>
          <w:sz w:val="19"/>
          <w:szCs w:val="19"/>
          <w:color w:val="auto"/>
        </w:rPr>
      </w:pPr>
    </w:p>
    <w:p>
      <w:pPr>
        <w:ind w:left="2160"/>
        <w:spacing w:after="0"/>
        <w:rPr>
          <w:rFonts w:ascii="Arial" w:cs="Arial" w:eastAsia="Arial" w:hAnsi="Arial"/>
          <w:sz w:val="19"/>
          <w:szCs w:val="19"/>
          <w:color w:val="auto"/>
        </w:rPr>
      </w:pPr>
      <w:r>
        <w:rPr>
          <w:rFonts w:ascii="Arial" w:cs="Arial" w:eastAsia="Arial" w:hAnsi="Arial"/>
          <w:sz w:val="22"/>
          <w:szCs w:val="22"/>
          <w:color w:val="auto"/>
        </w:rPr>
        <w:t>opportunity;</w:t>
      </w:r>
    </w:p>
    <w:p>
      <w:pPr>
        <w:spacing w:after="0" w:line="188" w:lineRule="exact"/>
        <w:rPr>
          <w:rFonts w:ascii="Arial" w:cs="Arial" w:eastAsia="Arial" w:hAnsi="Arial"/>
          <w:sz w:val="19"/>
          <w:szCs w:val="19"/>
          <w:color w:val="auto"/>
        </w:rPr>
      </w:pPr>
    </w:p>
    <w:p>
      <w:pPr>
        <w:jc w:val="both"/>
        <w:ind w:left="2160" w:right="219" w:firstLine="641"/>
        <w:spacing w:after="0" w:line="257" w:lineRule="auto"/>
        <w:tabs>
          <w:tab w:leader="none" w:pos="3481" w:val="left"/>
        </w:tabs>
        <w:numPr>
          <w:ilvl w:val="1"/>
          <w:numId w:val="37"/>
        </w:numPr>
        <w:rPr>
          <w:rFonts w:ascii="Arial" w:cs="Arial" w:eastAsia="Arial" w:hAnsi="Arial"/>
          <w:sz w:val="21"/>
          <w:szCs w:val="21"/>
          <w:color w:val="auto"/>
        </w:rPr>
      </w:pPr>
      <w:r>
        <w:rPr>
          <w:rFonts w:ascii="Arial" w:cs="Arial" w:eastAsia="Arial" w:hAnsi="Arial"/>
          <w:sz w:val="21"/>
          <w:szCs w:val="21"/>
          <w:color w:val="auto"/>
        </w:rPr>
        <w:t>any failure to provide that Executive is eligible to participate in Company benefit plans on a basis that is generally comparable to similarly-situated senior corporate officers of Company;</w:t>
      </w:r>
    </w:p>
    <w:p>
      <w:pPr>
        <w:spacing w:after="0" w:line="331" w:lineRule="exact"/>
        <w:rPr>
          <w:rFonts w:ascii="Arial" w:cs="Arial" w:eastAsia="Arial" w:hAnsi="Arial"/>
          <w:sz w:val="21"/>
          <w:szCs w:val="21"/>
          <w:color w:val="auto"/>
        </w:rPr>
      </w:pPr>
    </w:p>
    <w:p>
      <w:pPr>
        <w:ind w:left="4320" w:hanging="122"/>
        <w:spacing w:after="0"/>
        <w:tabs>
          <w:tab w:leader="none" w:pos="4320" w:val="left"/>
        </w:tabs>
        <w:numPr>
          <w:ilvl w:val="2"/>
          <w:numId w:val="37"/>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4" w:name="page45"/>
    <w:bookmarkEnd w:id="44"/>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2160" w:right="219" w:firstLine="641"/>
        <w:spacing w:after="0"/>
        <w:tabs>
          <w:tab w:leader="none" w:pos="3481"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relocation of Executive’s principal worksite of more than 35 miles one way unless such relocation reduces Executive’s commute to such worksite; or</w:t>
      </w:r>
    </w:p>
    <w:p>
      <w:pPr>
        <w:spacing w:after="0" w:line="186" w:lineRule="exact"/>
        <w:rPr>
          <w:rFonts w:ascii="Arial" w:cs="Arial" w:eastAsia="Arial" w:hAnsi="Arial"/>
          <w:sz w:val="22"/>
          <w:szCs w:val="22"/>
          <w:color w:val="auto"/>
        </w:rPr>
      </w:pPr>
    </w:p>
    <w:p>
      <w:pPr>
        <w:jc w:val="both"/>
        <w:ind w:left="2160" w:right="219" w:firstLine="641"/>
        <w:spacing w:after="0" w:line="287" w:lineRule="auto"/>
        <w:tabs>
          <w:tab w:leader="none" w:pos="3481"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action or inaction that constitutes a material breach by Company of any employment agreement between Executive and Company, if applicable, or a material breach of this Agreement (including a failure to assume this Agreement by any successor to Company).</w:t>
      </w:r>
    </w:p>
    <w:p>
      <w:pPr>
        <w:spacing w:after="0" w:line="143" w:lineRule="exact"/>
        <w:rPr>
          <w:sz w:val="20"/>
          <w:szCs w:val="20"/>
          <w:color w:val="auto"/>
        </w:rPr>
      </w:pPr>
    </w:p>
    <w:p>
      <w:pPr>
        <w:jc w:val="both"/>
        <w:ind w:left="1500" w:right="219"/>
        <w:spacing w:after="0" w:line="234" w:lineRule="auto"/>
        <w:rPr>
          <w:sz w:val="20"/>
          <w:szCs w:val="20"/>
          <w:color w:val="auto"/>
        </w:rPr>
      </w:pPr>
      <w:r>
        <w:rPr>
          <w:rFonts w:ascii="Arial" w:cs="Arial" w:eastAsia="Arial" w:hAnsi="Arial"/>
          <w:sz w:val="22"/>
          <w:szCs w:val="22"/>
          <w:color w:val="auto"/>
        </w:rPr>
        <w:t>Within 30 days following the initial existence of a condition described above, Executive must provide written notice to Company of the existence of the condition, and Company must fail to remedy the condition within 120 days of receipt of such notice. If Company fails to remedy the condition, Executive must separate from service with Company within 30 days of the end of the 120-day cure period. If Executive does not separate from service with Company within such 30-day period, Executive will not have incurred a separation from service for Good Reason.</w:t>
      </w:r>
    </w:p>
    <w:p>
      <w:pPr>
        <w:spacing w:after="0" w:line="18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1500" w:right="219" w:firstLine="653"/>
        <w:spacing w:after="0" w:line="234" w:lineRule="auto"/>
        <w:tabs>
          <w:tab w:leader="none" w:pos="2822"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 purposes of this Agreement, “Change in Control” shall have the meaning set forth in the Neuronetics, Inc. 2018 Equity Incentive Plan, as may be amended from time to time (the “Equity Plan”); provided, however, that if any amounts under this Agreement are determined to be subject to Section 409A of the Internal Revenue Code of 1986, as amended (the “Code”), then a transaction will not be deemed a Change in Control for purposes of this Agreement unless the transaction qualifies as a change in control event within the meaning of Code Section 409A.</w:t>
      </w:r>
    </w:p>
    <w:p>
      <w:pPr>
        <w:spacing w:after="0" w:line="186" w:lineRule="exact"/>
        <w:rPr>
          <w:rFonts w:ascii="Arial" w:cs="Arial" w:eastAsia="Arial" w:hAnsi="Arial"/>
          <w:sz w:val="22"/>
          <w:szCs w:val="22"/>
          <w:color w:val="auto"/>
        </w:rPr>
      </w:pPr>
    </w:p>
    <w:p>
      <w:pPr>
        <w:jc w:val="both"/>
        <w:ind w:left="1500" w:right="219" w:firstLine="653"/>
        <w:spacing w:after="0" w:line="249" w:lineRule="auto"/>
        <w:tabs>
          <w:tab w:leader="none" w:pos="2812" w:val="left"/>
        </w:tabs>
        <w:numPr>
          <w:ilvl w:val="0"/>
          <w:numId w:val="39"/>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if, during the three (3) month period immediately preceding, through the twelve (12) month period immediately following, the occurrence of a Change in Control, (A) Company terminates Executive’s employment without Cause, or (B) Executive resigns for Good Reason, Company will provide Executive:</w:t>
      </w:r>
    </w:p>
    <w:p>
      <w:pPr>
        <w:spacing w:after="0" w:line="178" w:lineRule="exact"/>
        <w:rPr>
          <w:rFonts w:ascii="Arial" w:cs="Arial" w:eastAsia="Arial" w:hAnsi="Arial"/>
          <w:sz w:val="21"/>
          <w:szCs w:val="21"/>
          <w:color w:val="auto"/>
        </w:rPr>
      </w:pPr>
    </w:p>
    <w:p>
      <w:pPr>
        <w:jc w:val="both"/>
        <w:ind w:left="2160" w:right="219" w:firstLine="641"/>
        <w:spacing w:after="0"/>
        <w:tabs>
          <w:tab w:leader="none" w:pos="3481"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amounts described in Subparagraphs (1), (2), and (3) of Section 3.3(b) of this Agreement; provided, however, that the Severance Period shall be extended to nine (9) months;</w:t>
      </w:r>
    </w:p>
    <w:p>
      <w:pPr>
        <w:spacing w:after="0" w:line="186" w:lineRule="exact"/>
        <w:rPr>
          <w:rFonts w:ascii="Arial" w:cs="Arial" w:eastAsia="Arial" w:hAnsi="Arial"/>
          <w:sz w:val="22"/>
          <w:szCs w:val="22"/>
          <w:color w:val="auto"/>
        </w:rPr>
      </w:pPr>
    </w:p>
    <w:p>
      <w:pPr>
        <w:ind w:left="2160" w:right="219" w:firstLine="641"/>
        <w:spacing w:after="0" w:line="274" w:lineRule="auto"/>
        <w:tabs>
          <w:tab w:leader="none" w:pos="3508" w:val="left"/>
        </w:tabs>
        <w:numPr>
          <w:ilvl w:val="1"/>
          <w:numId w:val="39"/>
        </w:numPr>
        <w:rPr>
          <w:rFonts w:ascii="Arial" w:cs="Arial" w:eastAsia="Arial" w:hAnsi="Arial"/>
          <w:sz w:val="21"/>
          <w:szCs w:val="21"/>
          <w:color w:val="auto"/>
        </w:rPr>
      </w:pPr>
      <w:r>
        <w:rPr>
          <w:rFonts w:ascii="Arial" w:cs="Arial" w:eastAsia="Arial" w:hAnsi="Arial"/>
          <w:sz w:val="21"/>
          <w:szCs w:val="21"/>
          <w:color w:val="auto"/>
        </w:rPr>
        <w:t>an amount equal to Executive’s target Incentive Bonus for the fiscal year of Executive’s termination of employment; and</w:t>
      </w:r>
    </w:p>
    <w:p>
      <w:pPr>
        <w:spacing w:after="0" w:line="150" w:lineRule="exact"/>
        <w:rPr>
          <w:rFonts w:ascii="Arial" w:cs="Arial" w:eastAsia="Arial" w:hAnsi="Arial"/>
          <w:sz w:val="21"/>
          <w:szCs w:val="21"/>
          <w:color w:val="auto"/>
        </w:rPr>
      </w:pPr>
    </w:p>
    <w:p>
      <w:pPr>
        <w:jc w:val="both"/>
        <w:ind w:left="2160" w:right="219" w:firstLine="641"/>
        <w:spacing w:after="0" w:line="257" w:lineRule="auto"/>
        <w:tabs>
          <w:tab w:leader="none" w:pos="3521" w:val="left"/>
        </w:tabs>
        <w:numPr>
          <w:ilvl w:val="1"/>
          <w:numId w:val="39"/>
        </w:numPr>
        <w:rPr>
          <w:rFonts w:ascii="Arial" w:cs="Arial" w:eastAsia="Arial" w:hAnsi="Arial"/>
          <w:sz w:val="21"/>
          <w:szCs w:val="21"/>
          <w:color w:val="auto"/>
        </w:rPr>
      </w:pPr>
      <w:r>
        <w:rPr>
          <w:rFonts w:ascii="Arial" w:cs="Arial" w:eastAsia="Arial" w:hAnsi="Arial"/>
          <w:sz w:val="21"/>
          <w:szCs w:val="21"/>
          <w:color w:val="auto"/>
        </w:rPr>
        <w:t>immediate and full vesting (and the ability to exercise, if applicable) of all outstanding unvested restricted stock, stock options, and other equity incentives awarded to Executive by Company.</w:t>
      </w:r>
    </w:p>
    <w:p>
      <w:pPr>
        <w:spacing w:after="0" w:line="169" w:lineRule="exact"/>
        <w:rPr>
          <w:sz w:val="20"/>
          <w:szCs w:val="20"/>
          <w:color w:val="auto"/>
        </w:rPr>
      </w:pPr>
    </w:p>
    <w:p>
      <w:pPr>
        <w:ind w:left="1500" w:right="219"/>
        <w:spacing w:after="0" w:line="250" w:lineRule="auto"/>
        <w:rPr>
          <w:sz w:val="20"/>
          <w:szCs w:val="20"/>
          <w:color w:val="auto"/>
        </w:rPr>
      </w:pPr>
      <w:r>
        <w:rPr>
          <w:rFonts w:ascii="Arial" w:cs="Arial" w:eastAsia="Arial" w:hAnsi="Arial"/>
          <w:sz w:val="22"/>
          <w:szCs w:val="22"/>
          <w:color w:val="auto"/>
        </w:rPr>
        <w:t>In the event Executive is entitled to payments pursuant to this Section 3.4, then this Section shall supersede Section 3.3 of this Agreement.</w:t>
      </w:r>
    </w:p>
    <w:p>
      <w:pPr>
        <w:spacing w:after="0" w:line="33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5" w:name="page46"/>
    <w:bookmarkEnd w:id="45"/>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860" w:right="219" w:firstLine="648"/>
        <w:spacing w:after="0" w:line="272"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Death; 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Executive’s employment ends due to</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death or Disability, this Agreement shall terminate and Executive shall not be entitled to any further compensation under this Agreement other than the Accrued Amounts up to the Termination Date. For purposes of this Agreement, “Disability” means a condition entitling Executive to benefits under Company’s long-term disability plan, policy, or arrangement; provided, however, that if no such plan, policy, or arrangement is then maintained by Company and applicable to Executive, “Disability” will mean Executive’s inability to perform Executive’s duties to Company due to a physical or mental condition that can be expected to result in death or that can be expected to last (or has already lasted) for a continuous period of 90 days or more, or for 120 days in any 180 consecutive day period, as determined by an independent physician reasonably satisfactory to Executive and Company whose fees shall be paid by Company. Termination as a result of a Disability will not be construed as a termination by Company “without Cause.”</w:t>
      </w:r>
    </w:p>
    <w:p>
      <w:pPr>
        <w:spacing w:after="0" w:line="156"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u w:val="single" w:color="auto"/>
          <w:color w:val="auto"/>
        </w:rPr>
        <w:t>Release; Timing of Payment</w:t>
      </w:r>
      <w:r>
        <w:rPr>
          <w:rFonts w:ascii="Arial" w:cs="Arial" w:eastAsia="Arial" w:hAnsi="Arial"/>
          <w:sz w:val="19"/>
          <w:szCs w:val="19"/>
          <w:b w:val="1"/>
          <w:bCs w:val="1"/>
          <w:color w:val="auto"/>
        </w:rPr>
        <w:t>.</w:t>
      </w:r>
    </w:p>
    <w:p>
      <w:pPr>
        <w:spacing w:after="0" w:line="212" w:lineRule="exact"/>
        <w:rPr>
          <w:sz w:val="20"/>
          <w:szCs w:val="20"/>
          <w:color w:val="auto"/>
        </w:rPr>
      </w:pPr>
    </w:p>
    <w:p>
      <w:pPr>
        <w:jc w:val="both"/>
        <w:ind w:left="1500" w:right="219" w:firstLine="653"/>
        <w:spacing w:after="0" w:line="270" w:lineRule="auto"/>
        <w:tabs>
          <w:tab w:leader="none" w:pos="2822" w:val="left"/>
        </w:tabs>
        <w:numPr>
          <w:ilvl w:val="1"/>
          <w:numId w:val="40"/>
        </w:numPr>
        <w:rPr>
          <w:rFonts w:ascii="Arial" w:cs="Arial" w:eastAsia="Arial" w:hAnsi="Arial"/>
          <w:sz w:val="19"/>
          <w:szCs w:val="19"/>
          <w:color w:val="auto"/>
        </w:rPr>
      </w:pPr>
      <w:r>
        <w:rPr>
          <w:rFonts w:ascii="Arial" w:cs="Arial" w:eastAsia="Arial" w:hAnsi="Arial"/>
          <w:sz w:val="19"/>
          <w:szCs w:val="19"/>
          <w:color w:val="auto"/>
        </w:rPr>
        <w:t>Company shall not be obligated to make any severance payment to Executive under Section 3.3 or 3.4 of this Agreement until Executive has timely delivered to Company a separation agreement, which will include a release of all claims against Company and a non-disparagement clause in favor of Company, in form and substance satisfactory to Company (“Release”), no later than forty-five</w:t>
      </w:r>
    </w:p>
    <w:p>
      <w:pPr>
        <w:spacing w:after="0" w:line="4" w:lineRule="exact"/>
        <w:rPr>
          <w:rFonts w:ascii="Arial" w:cs="Arial" w:eastAsia="Arial" w:hAnsi="Arial"/>
          <w:sz w:val="19"/>
          <w:szCs w:val="19"/>
          <w:color w:val="auto"/>
        </w:rPr>
      </w:pPr>
    </w:p>
    <w:p>
      <w:pPr>
        <w:ind w:left="1920" w:hanging="415"/>
        <w:spacing w:after="0"/>
        <w:tabs>
          <w:tab w:leader="none" w:pos="19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days following the Termination Date.</w:t>
      </w:r>
    </w:p>
    <w:p>
      <w:pPr>
        <w:spacing w:after="0" w:line="188" w:lineRule="exact"/>
        <w:rPr>
          <w:rFonts w:ascii="Arial" w:cs="Arial" w:eastAsia="Arial" w:hAnsi="Arial"/>
          <w:sz w:val="22"/>
          <w:szCs w:val="22"/>
          <w:color w:val="auto"/>
        </w:rPr>
      </w:pPr>
    </w:p>
    <w:p>
      <w:pPr>
        <w:jc w:val="both"/>
        <w:ind w:left="1500" w:right="219" w:firstLine="653"/>
        <w:spacing w:after="0" w:line="271" w:lineRule="auto"/>
        <w:tabs>
          <w:tab w:leader="none" w:pos="2812"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base salary and COBRA continuation severance payable pursuant to Sections 3.3 and 3.4 above shall be paid in substantially equal installments in accordance with Company’s payroll practices over the Severance Period; the Incentive Bonus severance described in Section 3.3(b)(2) above shall be paid in a single lump sum on the date Incentive Bonus payments are paid to employees generally; the Incentive Bonus severance described in Section 3.4(b)(2) above shall be payable in a single lump sum commencing within the sixty (60) days immediately following the Termination Date; and any equity awards will be payable in accordance with the Equity Plan, as applicable. Notwithstanding the foregoing, no amounts will be paid pursuant to this Agreement unless and until the Release has become effective and irrevocable under all applicable law; provided, that if the period from the Termination Date until the date of payment can encompass two consecutive calendar years, payment will not be made until the later calendar year. The first payment after the Release has become effective shall include all amounts that would have been paid following the Termination Date had the Release been effective as of the Termination Date but which were not yet paid.</w:t>
      </w:r>
    </w:p>
    <w:p>
      <w:pPr>
        <w:spacing w:after="0" w:line="151" w:lineRule="exact"/>
        <w:rPr>
          <w:sz w:val="20"/>
          <w:szCs w:val="20"/>
          <w:color w:val="auto"/>
        </w:rPr>
      </w:pPr>
    </w:p>
    <w:p>
      <w:pPr>
        <w:jc w:val="both"/>
        <w:ind w:left="860" w:right="219" w:firstLine="648"/>
        <w:spacing w:after="0" w:line="235" w:lineRule="auto"/>
        <w:rPr>
          <w:sz w:val="20"/>
          <w:szCs w:val="20"/>
          <w:color w:val="auto"/>
        </w:rPr>
      </w:pPr>
      <w:r>
        <w:rPr>
          <w:rFonts w:ascii="Arial" w:cs="Arial" w:eastAsia="Arial" w:hAnsi="Arial"/>
          <w:sz w:val="22"/>
          <w:szCs w:val="22"/>
          <w:b w:val="1"/>
          <w:bCs w:val="1"/>
          <w:color w:val="auto"/>
        </w:rPr>
        <w:t xml:space="preserve">3.7 </w:t>
      </w:r>
      <w:r>
        <w:rPr>
          <w:rFonts w:ascii="Arial" w:cs="Arial" w:eastAsia="Arial" w:hAnsi="Arial"/>
          <w:sz w:val="22"/>
          <w:szCs w:val="22"/>
          <w:b w:val="1"/>
          <w:bCs w:val="1"/>
          <w:u w:val="single" w:color="auto"/>
          <w:color w:val="auto"/>
        </w:rPr>
        <w:t>Violation of Restrictive Covenant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to the contrary, Executive’s violation of the Restrictive Covenant Agreement at any point during the Severance Period shall result in forfeiture of all unpaid amounts set forth in Sections 3.3 and 3.4 above, Company shall be under no further obligation to make any further payment to Executive, and Executive will be required to repay to Company the gross amount of any payments made pursuant to this Agreement within thirty (30) days of the demand by Company.</w:t>
      </w: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6" w:name="page47"/>
    <w:bookmarkEnd w:id="46"/>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860" w:right="239" w:firstLine="648"/>
        <w:spacing w:after="0" w:line="280" w:lineRule="auto"/>
        <w:rPr>
          <w:sz w:val="20"/>
          <w:szCs w:val="20"/>
          <w:color w:val="auto"/>
        </w:rPr>
      </w:pPr>
      <w:r>
        <w:rPr>
          <w:rFonts w:ascii="Arial" w:cs="Arial" w:eastAsia="Arial" w:hAnsi="Arial"/>
          <w:sz w:val="21"/>
          <w:szCs w:val="21"/>
          <w:b w:val="1"/>
          <w:bCs w:val="1"/>
          <w:color w:val="auto"/>
        </w:rPr>
        <w:t xml:space="preserve">3.8 </w:t>
      </w:r>
      <w:r>
        <w:rPr>
          <w:rFonts w:ascii="Arial" w:cs="Arial" w:eastAsia="Arial" w:hAnsi="Arial"/>
          <w:sz w:val="21"/>
          <w:szCs w:val="21"/>
          <w:b w:val="1"/>
          <w:bCs w:val="1"/>
          <w:u w:val="single" w:color="auto"/>
          <w:color w:val="auto"/>
        </w:rPr>
        <w:t>No Mitigation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not be obligated to seek other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or take other action to mitigate the amounts payable to Executive hereunder.</w:t>
      </w:r>
    </w:p>
    <w:p>
      <w:pPr>
        <w:spacing w:after="0" w:line="139" w:lineRule="exact"/>
        <w:rPr>
          <w:sz w:val="20"/>
          <w:szCs w:val="20"/>
          <w:color w:val="auto"/>
        </w:rPr>
      </w:pPr>
    </w:p>
    <w:p>
      <w:pPr>
        <w:jc w:val="both"/>
        <w:ind w:left="860" w:right="219" w:firstLine="648"/>
        <w:spacing w:after="0" w:line="239" w:lineRule="auto"/>
        <w:rPr>
          <w:sz w:val="20"/>
          <w:szCs w:val="20"/>
          <w:color w:val="auto"/>
        </w:rPr>
      </w:pPr>
      <w:r>
        <w:rPr>
          <w:rFonts w:ascii="Arial" w:cs="Arial" w:eastAsia="Arial" w:hAnsi="Arial"/>
          <w:sz w:val="22"/>
          <w:szCs w:val="22"/>
          <w:b w:val="1"/>
          <w:bCs w:val="1"/>
          <w:color w:val="auto"/>
        </w:rPr>
        <w:t xml:space="preserve">3.9 </w:t>
      </w:r>
      <w:r>
        <w:rPr>
          <w:rFonts w:ascii="Arial" w:cs="Arial" w:eastAsia="Arial" w:hAnsi="Arial"/>
          <w:sz w:val="22"/>
          <w:szCs w:val="22"/>
          <w:b w:val="1"/>
          <w:bCs w:val="1"/>
          <w:u w:val="single" w:color="auto"/>
          <w:color w:val="auto"/>
        </w:rPr>
        <w:t>No Additional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agrees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severance described in this Section 3 shall be in lieu of any other severance payments or benefits to which Executive may be eligible or entitled to receive under any other severance plan or arrangement of Company or its affiliates.</w:t>
      </w:r>
    </w:p>
    <w:p>
      <w:pPr>
        <w:spacing w:after="0" w:line="180" w:lineRule="exact"/>
        <w:rPr>
          <w:sz w:val="20"/>
          <w:szCs w:val="20"/>
          <w:color w:val="auto"/>
        </w:rPr>
      </w:pPr>
    </w:p>
    <w:p>
      <w:pPr>
        <w:jc w:val="both"/>
        <w:ind w:left="860" w:right="219" w:firstLine="648"/>
        <w:spacing w:after="0" w:line="283" w:lineRule="auto"/>
        <w:rPr>
          <w:sz w:val="20"/>
          <w:szCs w:val="20"/>
          <w:color w:val="auto"/>
        </w:rPr>
      </w:pPr>
      <w:r>
        <w:rPr>
          <w:rFonts w:ascii="Arial" w:cs="Arial" w:eastAsia="Arial" w:hAnsi="Arial"/>
          <w:sz w:val="19"/>
          <w:szCs w:val="19"/>
          <w:b w:val="1"/>
          <w:bCs w:val="1"/>
          <w:color w:val="auto"/>
        </w:rPr>
        <w:t xml:space="preserve">3.10 </w:t>
      </w:r>
      <w:r>
        <w:rPr>
          <w:rFonts w:ascii="Arial" w:cs="Arial" w:eastAsia="Arial" w:hAnsi="Arial"/>
          <w:sz w:val="19"/>
          <w:szCs w:val="19"/>
          <w:b w:val="1"/>
          <w:bCs w:val="1"/>
          <w:u w:val="single" w:color="auto"/>
          <w:color w:val="auto"/>
        </w:rPr>
        <w:t>Clawback</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herein to the contrary, any amounts</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pursuant to Section 3.3 or 3.4 above remain subject to Company’s clawback policy. By entering into this Agreement, Executive acknowledges and agrees that Executive is subject to any clawback and recoupment policies that may be applicable to Executive as an employee of Company, as in effect (or as may be amended) from time to time.</w:t>
      </w:r>
    </w:p>
    <w:p>
      <w:pPr>
        <w:spacing w:after="0" w:line="143" w:lineRule="exact"/>
        <w:rPr>
          <w:sz w:val="20"/>
          <w:szCs w:val="20"/>
          <w:color w:val="auto"/>
        </w:rPr>
      </w:pPr>
    </w:p>
    <w:p>
      <w:pPr>
        <w:jc w:val="both"/>
        <w:ind w:left="200" w:right="219" w:firstLine="657"/>
        <w:spacing w:after="0" w:line="273" w:lineRule="auto"/>
        <w:tabs>
          <w:tab w:leader="none" w:pos="1496"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Restrictive Covenant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acknowledges and agrees to abide by</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of the Confidentiality, Non-Competition and Inventions Assignment Agreement, as may be amended from time to time, and substantially in the form as attached hereto as Exhibit A, and/or any other restrictive covenant agreement in the form and substance determined in the discretion of Company (the “Restrictive Covenant Agreement”). Executive acknowledges that the Restrictive Covenant Agreement shall continue to remain in full-force and effect in accordance with its terms following cessation of Executive’s employment with Company for any reason. If Executive does not execute the Restrictive Covenant Agreement on or before the fifth (5</w:t>
      </w:r>
      <w:r>
        <w:rPr>
          <w:rFonts w:ascii="Arial" w:cs="Arial" w:eastAsia="Arial" w:hAnsi="Arial"/>
          <w:sz w:val="14"/>
          <w:szCs w:val="14"/>
          <w:color w:val="auto"/>
        </w:rPr>
        <w:t>th</w:t>
      </w:r>
      <w:r>
        <w:rPr>
          <w:rFonts w:ascii="Arial" w:cs="Arial" w:eastAsia="Arial" w:hAnsi="Arial"/>
          <w:sz w:val="19"/>
          <w:szCs w:val="19"/>
          <w:color w:val="auto"/>
        </w:rPr>
        <w:t>) calendar day following the Effective Date, or does not have a prior Restrictive Covenant Agreement already in effect as of the Effective Date, this Agreement shall be deemed null and void from the outset and Company shall have no obligations hereunder.</w:t>
      </w:r>
    </w:p>
    <w:p>
      <w:pPr>
        <w:spacing w:after="0" w:line="155" w:lineRule="exact"/>
        <w:rPr>
          <w:rFonts w:ascii="Arial" w:cs="Arial" w:eastAsia="Arial" w:hAnsi="Arial"/>
          <w:sz w:val="19"/>
          <w:szCs w:val="19"/>
          <w:b w:val="1"/>
          <w:bCs w:val="1"/>
          <w:color w:val="auto"/>
        </w:rPr>
      </w:pPr>
    </w:p>
    <w:p>
      <w:pPr>
        <w:ind w:left="1500" w:hanging="643"/>
        <w:spacing w:after="0"/>
        <w:tabs>
          <w:tab w:leader="none" w:pos="15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860" w:right="219" w:firstLine="648"/>
        <w:spacing w:after="0" w:line="270"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color w:val="auto"/>
        </w:rPr>
        <w:t>Executive and Company agree and stipulate that any claims, disputes, and</w:t>
      </w:r>
      <w:r>
        <w:rPr>
          <w:rFonts w:ascii="Arial" w:cs="Arial" w:eastAsia="Arial" w:hAnsi="Arial"/>
          <w:sz w:val="19"/>
          <w:szCs w:val="19"/>
          <w:b w:val="1"/>
          <w:bCs w:val="1"/>
          <w:color w:val="auto"/>
        </w:rPr>
        <w:t xml:space="preserve"> </w:t>
      </w:r>
      <w:r>
        <w:rPr>
          <w:rFonts w:ascii="Arial" w:cs="Arial" w:eastAsia="Arial" w:hAnsi="Arial"/>
          <w:sz w:val="19"/>
          <w:szCs w:val="19"/>
          <w:color w:val="auto"/>
        </w:rPr>
        <w:t>demands which may arise out of Executive’s employment with Company, Executive’s termination of employment, the interpretation or application of any term, provision, and/or language in this Agreement, and/or disputes, controversies or claims between Executive and Company, regardless of whether said claims, disputes, or demands are based on contract law, common law, federal or state statutes, federal or state constitutional provisions, or otherwise, shall first be submitted to mediation administered by the American Arbitration Association (“AAA”) under its Employment Arbitration Rules and Medication Procedures, before resorting to arbitration. Thereafter, any unresolved claim, dispute, or demand shall be submitted to final and binding arbitration pursuant to the Federal Arbitration Act (“Act”) in accordance with the Employment Arbitration Rules (or successor rules) of the AAA and Federal Rule of Civil Procedure 68; provided, however, that nothing in this Section shall preclude either party from seeking or obtaining judicial enforcement of the Restrictive Covenant Agreement, through injunctive or equitable relief without arbitration as provided in the Restrictive Covenant Agreement. The FAA applies to this Agreement because Company’s business involves interstate commerce. Specifically, Company’s business affects interstate commerce because Company operates facilities in various states outside of Pennsylvania; it purchases goods and services and other products from vendors who are located outside of</w:t>
      </w: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7" w:name="page48"/>
    <w:bookmarkEnd w:id="47"/>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60" w:right="219"/>
        <w:spacing w:after="0"/>
        <w:rPr>
          <w:sz w:val="20"/>
          <w:szCs w:val="20"/>
          <w:color w:val="auto"/>
        </w:rPr>
      </w:pPr>
      <w:r>
        <w:rPr>
          <w:rFonts w:ascii="Arial" w:cs="Arial" w:eastAsia="Arial" w:hAnsi="Arial"/>
          <w:sz w:val="22"/>
          <w:szCs w:val="22"/>
          <w:color w:val="auto"/>
        </w:rPr>
        <w:t>Pennsylvania; it ships goods and other products and provides services to persons and entities in various states outside of Pennsylvania; and/or it promotes its business in various states.</w:t>
      </w:r>
    </w:p>
    <w:p>
      <w:pPr>
        <w:spacing w:after="0" w:line="180" w:lineRule="exact"/>
        <w:rPr>
          <w:sz w:val="20"/>
          <w:szCs w:val="20"/>
          <w:color w:val="auto"/>
        </w:rPr>
      </w:pPr>
    </w:p>
    <w:p>
      <w:pPr>
        <w:jc w:val="both"/>
        <w:ind w:left="860" w:right="219" w:firstLine="648"/>
        <w:spacing w:after="0" w:line="273"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color w:val="auto"/>
        </w:rPr>
        <w:t>The arbitration shall be conducted before a single arbitrator who is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to practice law in the Commonwealth of Pennsylvania and familiar with employment disputes. The parties may select an arbitrator for their dispute by agreement. If the parties cannot agree upon an arbitrator within thirty (30) days from either party’s request for arbitration, either party may request a list of proposed arbitrators from AAA. AAA will guide the parties through the selection of a neutral arbitrator in accordance with its Rules and will provide the parties at least two complete panels from which a selection may be made. The arbitration shall be scheduled within one hundred eighty (180) days after the arbitrator has been selected with the hearing to take place in Chester County, Pennsylvania, and the arbitrator shall issue a written decision within thirty (30) days after the close of the hearing, unless otherwise agreed by the parties.</w:t>
      </w:r>
    </w:p>
    <w:p>
      <w:pPr>
        <w:spacing w:after="0" w:line="155" w:lineRule="exact"/>
        <w:rPr>
          <w:sz w:val="20"/>
          <w:szCs w:val="20"/>
          <w:color w:val="auto"/>
        </w:rPr>
      </w:pPr>
    </w:p>
    <w:p>
      <w:pPr>
        <w:jc w:val="both"/>
        <w:ind w:left="860" w:right="219" w:firstLine="648"/>
        <w:spacing w:after="0" w:line="271" w:lineRule="auto"/>
        <w:rPr>
          <w:sz w:val="20"/>
          <w:szCs w:val="20"/>
          <w:color w:val="auto"/>
        </w:rPr>
      </w:pPr>
      <w:r>
        <w:rPr>
          <w:rFonts w:ascii="Arial" w:cs="Arial" w:eastAsia="Arial" w:hAnsi="Arial"/>
          <w:sz w:val="19"/>
          <w:szCs w:val="19"/>
          <w:b w:val="1"/>
          <w:bCs w:val="1"/>
          <w:color w:val="auto"/>
        </w:rPr>
        <w:t xml:space="preserve">5.3 </w:t>
      </w:r>
      <w:r>
        <w:rPr>
          <w:rFonts w:ascii="Arial" w:cs="Arial" w:eastAsia="Arial" w:hAnsi="Arial"/>
          <w:sz w:val="19"/>
          <w:szCs w:val="19"/>
          <w:color w:val="auto"/>
        </w:rPr>
        <w:t>The parties shall have the right to file dispositive motions and post-hearing</w:t>
      </w:r>
      <w:r>
        <w:rPr>
          <w:rFonts w:ascii="Arial" w:cs="Arial" w:eastAsia="Arial" w:hAnsi="Arial"/>
          <w:sz w:val="19"/>
          <w:szCs w:val="19"/>
          <w:b w:val="1"/>
          <w:bCs w:val="1"/>
          <w:color w:val="auto"/>
        </w:rPr>
        <w:t xml:space="preserve"> </w:t>
      </w:r>
      <w:r>
        <w:rPr>
          <w:rFonts w:ascii="Arial" w:cs="Arial" w:eastAsia="Arial" w:hAnsi="Arial"/>
          <w:sz w:val="19"/>
          <w:szCs w:val="19"/>
          <w:color w:val="auto"/>
        </w:rPr>
        <w:t>briefs. The arbitrator’s authority and jurisdiction shall be limited to determining the matter in dispute consistent with controlling law and this Agreement. Except as otherwise provided herein, the arbitrator shall apply, and shall not deviate from, the substantive law of the state in which the claim(s) arose and/or federal law, as applicable. The arbitrator shall have the same authority to order remedies (e.g., emotional distress damages, punitive damages, equitable relief, etc.) as would a court of competent jurisdiction. The arbitrator shall not have the authority to hear disputes not recognized by existing law and shall dismiss such claims upon motion by either party in accordance with the summary judgment standards of the applicable jurisdiction. Similarly, the arbitrator shall not have the authority to order any remedy that a court would not be authorized to order. The arbitrator shall render a written award setting forth the arbitrator’s findings of fact and conclusions of law within 30 days after the close of the hearing, unless otherwise agreed by the parties. The arbitrator, and not any federal, state, or local court, shall have exclusive authority to resolve any dispute relating to the formation, enforceability, applicability, or interpretation of this Agreement, including without limitation any claim that this Agreement is void or voidable. Thus, the parties voluntarily waive the right to have a court determine the enforceability of this Agreement.</w:t>
      </w:r>
    </w:p>
    <w:p>
      <w:pPr>
        <w:spacing w:after="0" w:line="396" w:lineRule="exact"/>
        <w:rPr>
          <w:sz w:val="20"/>
          <w:szCs w:val="20"/>
          <w:color w:val="auto"/>
        </w:rPr>
      </w:pPr>
    </w:p>
    <w:p>
      <w:pPr>
        <w:jc w:val="both"/>
        <w:ind w:left="860" w:right="219" w:firstLine="648"/>
        <w:spacing w:after="0" w:line="239"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Any party hereto who refuses or fails to proceed to arbitration of a dispute</w:t>
      </w:r>
      <w:r>
        <w:rPr>
          <w:rFonts w:ascii="Arial" w:cs="Arial" w:eastAsia="Arial" w:hAnsi="Arial"/>
          <w:sz w:val="22"/>
          <w:szCs w:val="22"/>
          <w:b w:val="1"/>
          <w:bCs w:val="1"/>
          <w:color w:val="auto"/>
        </w:rPr>
        <w:t xml:space="preserve"> </w:t>
      </w:r>
      <w:r>
        <w:rPr>
          <w:rFonts w:ascii="Arial" w:cs="Arial" w:eastAsia="Arial" w:hAnsi="Arial"/>
          <w:sz w:val="22"/>
          <w:szCs w:val="22"/>
          <w:color w:val="auto"/>
        </w:rPr>
        <w:t>covered by this Agreement, after having received a written request from the other party that it/he do so, will be liable to the party requesting arbitration for all attorney fees, costs, and litigation expenses incurred in compelling arbitration.</w:t>
      </w:r>
    </w:p>
    <w:p>
      <w:pPr>
        <w:spacing w:after="0" w:line="180" w:lineRule="exact"/>
        <w:rPr>
          <w:sz w:val="20"/>
          <w:szCs w:val="20"/>
          <w:color w:val="auto"/>
        </w:rPr>
      </w:pPr>
    </w:p>
    <w:p>
      <w:pPr>
        <w:jc w:val="both"/>
        <w:ind w:left="860" w:right="219" w:firstLine="648"/>
        <w:spacing w:after="0" w:line="278"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color w:val="auto"/>
        </w:rPr>
        <w:t>The parties acknowledge that because of their relative positions, 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and sophistication, they are capable of, and voluntarily consent to, an equal division of the arbitrator compensation and administrative fees incurred in connection with any arbitration conducted under this Section, so long as such an order would be consistent with the AAA’s employment arbitration rules and mediation procedures. Each party shall be solely responsible for payment of its own attorney’s fees, if any, relating to the arbitration, unless otherwise required by statute or contract.</w:t>
      </w: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8" w:name="page49"/>
    <w:bookmarkEnd w:id="48"/>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200" w:right="219" w:firstLine="657"/>
        <w:spacing w:after="0" w:line="273" w:lineRule="auto"/>
        <w:tabs>
          <w:tab w:leader="none" w:pos="1496"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any successor of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successor shall be deemed substituted for Company under the terms of this Agreement. As used in this Agreement, the term “successor” shall include any person, firm, corporation, or other business entity which at any time, whether by merger, purchase, or otherwise, acquires all or substantially all of the assets or business of Company. Company will require any successor (whether direct or indirect, by purchase, merger, consolidation, or otherwise) to all or substantially all of the business or assets of Company to assume and agree to perform the obligations under this Agreement in the same manner and to the same extent that Company would be required to perform it if no such succession had taken place. Company shall be permitted to assign this Agreement to its successors and assigns, and all covenants and agreements hereunder shall inure to the benefit of and be enforceable by or against its successors and assigns.</w:t>
      </w:r>
    </w:p>
    <w:p>
      <w:pPr>
        <w:spacing w:after="0" w:line="155" w:lineRule="exact"/>
        <w:rPr>
          <w:rFonts w:ascii="Arial" w:cs="Arial" w:eastAsia="Arial" w:hAnsi="Arial"/>
          <w:sz w:val="19"/>
          <w:szCs w:val="19"/>
          <w:b w:val="1"/>
          <w:bCs w:val="1"/>
          <w:color w:val="auto"/>
        </w:rPr>
      </w:pPr>
    </w:p>
    <w:p>
      <w:pPr>
        <w:jc w:val="both"/>
        <w:ind w:left="200" w:right="219" w:firstLine="657"/>
        <w:spacing w:after="0" w:line="245" w:lineRule="auto"/>
        <w:tabs>
          <w:tab w:leader="none" w:pos="1496" w:val="left"/>
        </w:tabs>
        <w:numPr>
          <w:ilvl w:val="1"/>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supersedes any and all prior or</w:t>
      </w:r>
      <w:r>
        <w:rPr>
          <w:rFonts w:ascii="Arial" w:cs="Arial" w:eastAsia="Arial" w:hAnsi="Arial"/>
          <w:sz w:val="21"/>
          <w:szCs w:val="21"/>
          <w:b w:val="1"/>
          <w:bCs w:val="1"/>
          <w:color w:val="auto"/>
        </w:rPr>
        <w:t xml:space="preserve"> </w:t>
      </w:r>
      <w:r>
        <w:rPr>
          <w:rFonts w:ascii="Arial" w:cs="Arial" w:eastAsia="Arial" w:hAnsi="Arial"/>
          <w:sz w:val="21"/>
          <w:szCs w:val="21"/>
          <w:color w:val="auto"/>
        </w:rPr>
        <w:t>contemporaneous understandings, expectations, statements, representations, negotiations, promises, and agreements (regardless of whether written or oral, expressed or implied) between Company and Executive relating to the subject matter hereof, other than the Restrictive Covenant Agreement and except as provided herein. This Agreement, and the Restrictive Covenant Agreement, incorporate and constitute the full, entire, and complete agreement between Company and Executive with respect to the subject matter hereof and no other agreements, expectations, understandings, representations, and/or promises between the parties and/or their representatives shall be considered valid or effective unless expressly stated herein. Executive shall remain subject to clawback policy of Company, as well as the personnel policies and procedures of Company to the extent that such policies and procedures are not inconsistent with the terms and provisions of this Agreement.</w:t>
      </w:r>
    </w:p>
    <w:p>
      <w:pPr>
        <w:spacing w:after="0" w:line="173" w:lineRule="exact"/>
        <w:rPr>
          <w:rFonts w:ascii="Arial" w:cs="Arial" w:eastAsia="Arial" w:hAnsi="Arial"/>
          <w:sz w:val="21"/>
          <w:szCs w:val="21"/>
          <w:b w:val="1"/>
          <w:bCs w:val="1"/>
          <w:color w:val="auto"/>
        </w:rPr>
      </w:pPr>
    </w:p>
    <w:p>
      <w:pPr>
        <w:jc w:val="both"/>
        <w:ind w:left="200" w:right="219" w:firstLine="657"/>
        <w:spacing w:after="0" w:line="280" w:lineRule="auto"/>
        <w:tabs>
          <w:tab w:leader="none" w:pos="1496"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409A Savings Clause</w:t>
      </w:r>
      <w:r>
        <w:rPr>
          <w:rFonts w:ascii="Arial" w:cs="Arial" w:eastAsia="Arial" w:hAnsi="Arial"/>
          <w:sz w:val="19"/>
          <w:szCs w:val="19"/>
          <w:b w:val="1"/>
          <w:bCs w:val="1"/>
          <w:color w:val="auto"/>
        </w:rPr>
        <w:t xml:space="preserve">. </w:t>
      </w:r>
      <w:r>
        <w:rPr>
          <w:rFonts w:ascii="Arial" w:cs="Arial" w:eastAsia="Arial" w:hAnsi="Arial"/>
          <w:sz w:val="19"/>
          <w:szCs w:val="19"/>
          <w:color w:val="auto"/>
        </w:rPr>
        <w:t>All amounts payable under this Agreement are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the “short term deferral” exception from Code Section 409A, specified in Treas. Reg.</w:t>
      </w:r>
    </w:p>
    <w:p>
      <w:pPr>
        <w:jc w:val="both"/>
        <w:ind w:left="200" w:right="219" w:firstLine="9"/>
        <w:spacing w:after="0" w:line="269" w:lineRule="auto"/>
        <w:tabs>
          <w:tab w:leader="none" w:pos="376" w:val="left"/>
        </w:tabs>
        <w:numPr>
          <w:ilvl w:val="0"/>
          <w:numId w:val="43"/>
        </w:numPr>
        <w:rPr>
          <w:rFonts w:ascii="Arial" w:cs="Arial" w:eastAsia="Arial" w:hAnsi="Arial"/>
          <w:sz w:val="19"/>
          <w:szCs w:val="19"/>
          <w:color w:val="auto"/>
        </w:rPr>
      </w:pPr>
      <w:r>
        <w:rPr>
          <w:rFonts w:ascii="Arial" w:cs="Arial" w:eastAsia="Arial" w:hAnsi="Arial"/>
          <w:sz w:val="19"/>
          <w:szCs w:val="19"/>
          <w:color w:val="auto"/>
        </w:rPr>
        <w:t>1.409A-1(b)(4) (or any successor provision) or the “separation pay plan” exception specified in Treas. Reg. § 1.409A-1(b)(9) (or any successor provision), or both of them, and shall be interpreted in a manner consistent with the applicable exceptions. Notwithstanding the foregoing, to the extent that any amounts payable in accordance with this Agreement are subject to Code Section 409A, this Agreement shall be interpreted and administered in such a way as to comply with Code Section 409A to the maximum extent possible. Any reference in this Agreement to a termination of employment means a “separation from service” as defined in Code Section 409A and the applicable guidance issued thereunder. All rights to payments and benefits hereunder shall be treated as rights to receive a series of separate payments and benefits to the fullest extent allowed by Code Section 409A. If payment of any amount subject to Code Section 409A is triggered by a separation from service that occurs while the Employee is a “specified employee” (as defined by Code Section 409A) with the Company, and if such amount is scheduled to be paid within six (6) months after such separation from service, the amount shall accrue without interest and shall be paid on the first business day after the end of such six-month period, or, if earlier, within 15 days after the appointment of the personal representative or executor of the Employee’s estate following the Employee’s death.</w:t>
      </w:r>
    </w:p>
    <w:p>
      <w:pPr>
        <w:spacing w:after="0" w:line="200" w:lineRule="exact"/>
        <w:rPr>
          <w:sz w:val="20"/>
          <w:szCs w:val="20"/>
          <w:color w:val="auto"/>
        </w:rPr>
      </w:pPr>
    </w:p>
    <w:p>
      <w:pPr>
        <w:spacing w:after="0" w:line="213" w:lineRule="exact"/>
        <w:rPr>
          <w:sz w:val="20"/>
          <w:szCs w:val="20"/>
          <w:color w:val="auto"/>
        </w:rPr>
      </w:pPr>
    </w:p>
    <w:p>
      <w:pPr>
        <w:jc w:val="both"/>
        <w:ind w:left="200" w:right="219"/>
        <w:spacing w:after="0" w:line="235" w:lineRule="auto"/>
        <w:rPr>
          <w:sz w:val="20"/>
          <w:szCs w:val="20"/>
          <w:color w:val="auto"/>
        </w:rPr>
      </w:pPr>
      <w:r>
        <w:rPr>
          <w:rFonts w:ascii="Arial" w:cs="Arial" w:eastAsia="Arial" w:hAnsi="Arial"/>
          <w:sz w:val="22"/>
          <w:szCs w:val="22"/>
          <w:color w:val="auto"/>
        </w:rPr>
        <w:t>Notwithstanding anything in this Agreement to the contrary, in no event shall Company commence payment or distribution to Executive of any amount that constitutes “nonqualified deferred compensation” within the meaning of Code Section 409A, earlier than the earliest permissible date under Code Section 409A that such amount could be paid or distributed without the imposition of additional taxes, interest, or penalties under Code Section 409A. If any payments or distributions are</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200" w:right="219"/>
        <w:spacing w:after="0" w:line="282" w:lineRule="auto"/>
        <w:rPr>
          <w:sz w:val="20"/>
          <w:szCs w:val="20"/>
          <w:color w:val="auto"/>
        </w:rPr>
      </w:pPr>
      <w:r>
        <w:rPr>
          <w:rFonts w:ascii="Arial" w:cs="Arial" w:eastAsia="Arial" w:hAnsi="Arial"/>
          <w:sz w:val="19"/>
          <w:szCs w:val="19"/>
          <w:color w:val="auto"/>
        </w:rPr>
        <w:t>delayed pursuant to the immediately preceding sentence, Company will accrue such amounts without interest during such period as the payment or distribution may be required to be deferred under Code Section 409A, and will become payable and be paid by Company in a lump-sum payment on the first business day that such amount could be paid or distributed without additional taxes, interest, or penalties being imposed under Code Section 409A.</w:t>
      </w:r>
    </w:p>
    <w:p>
      <w:pPr>
        <w:spacing w:after="0" w:line="141" w:lineRule="exact"/>
        <w:rPr>
          <w:sz w:val="20"/>
          <w:szCs w:val="20"/>
          <w:color w:val="auto"/>
        </w:rPr>
      </w:pPr>
    </w:p>
    <w:p>
      <w:pPr>
        <w:ind w:left="1500" w:hanging="643"/>
        <w:spacing w:after="0"/>
        <w:tabs>
          <w:tab w:leader="none" w:pos="15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280G</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left="860" w:right="219" w:firstLine="648"/>
        <w:spacing w:after="0" w:line="244"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color w:val="auto"/>
        </w:rPr>
        <w:t>In the event that part or all of the payments or benefits to be paid or</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to the Executive under this Agreement together with the aggregate present value of payments, consideration, compensation, and benefits under all other plans, arrangements, and agreements applicable to the Executive (“Total Payments”) will be subject to an excise tax under the provisions of Code Section 4999 (“Excise Tax”), the Total Payments shall be reduced so that the maximum amount of the Total Payments (after reduction) will be one dollar ($1.00) less than the amount that would cause the Total Payments to be subject to the Excise Tax; provided, however, that the Total Payments shall only be reduced to the extent the after-tax value of amounts received by the Executive after application of the above reduction would exceed the after-tax value of the Total Payments received by the Executive without application of such reduction. If applicable, the particular payments that are to be reduced shall be subject to the mutual agreement of the Executive and the Company, with a view to maximizing the value of the payments to the Executive that are not reduced.</w:t>
      </w:r>
    </w:p>
    <w:p>
      <w:pPr>
        <w:spacing w:after="0" w:line="181" w:lineRule="exact"/>
        <w:rPr>
          <w:sz w:val="20"/>
          <w:szCs w:val="20"/>
          <w:color w:val="auto"/>
        </w:rPr>
      </w:pPr>
    </w:p>
    <w:p>
      <w:pPr>
        <w:jc w:val="both"/>
        <w:ind w:left="860" w:right="219" w:firstLine="648"/>
        <w:spacing w:after="0" w:line="269"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color w:val="auto"/>
        </w:rPr>
        <w:t>For purposes of determining whether any of the Total Payments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Excise Tax and the amount of such Excise Tax, (a) all of the Total Payments shall be treated as “parachute payments” within the meaning of Code Section 280G(b)(2), unless in the opinion of tax counsel (the “Tax Counsel”) reasonably acceptable to the Executive and selected by the accounting firm (the “Auditor”) which was, immediately prior to the Change in Control, the Company’s independent auditor, such other payments or benefits (in whole or in part) do not constitute parachute payments, including by reason of Code Section 280G(b)(4)(A), (b) all “excess parachute payments” within the meaning of Code Section 280G(b)(1) shall be treated as subject to the Excise Tax unless, in the opinion of Tax Counsel, such excess parachute payments (in whole or in part) represent reasonable compensation for services actually rendered, within the meaning of Code Section 280G(b)</w:t>
      </w:r>
    </w:p>
    <w:p>
      <w:pPr>
        <w:spacing w:after="0" w:line="3" w:lineRule="exact"/>
        <w:rPr>
          <w:sz w:val="20"/>
          <w:szCs w:val="20"/>
          <w:color w:val="auto"/>
        </w:rPr>
      </w:pPr>
    </w:p>
    <w:p>
      <w:pPr>
        <w:jc w:val="both"/>
        <w:ind w:left="860" w:right="219"/>
        <w:spacing w:after="0" w:line="272" w:lineRule="auto"/>
        <w:rPr>
          <w:sz w:val="20"/>
          <w:szCs w:val="20"/>
          <w:color w:val="auto"/>
        </w:rPr>
      </w:pPr>
      <w:r>
        <w:rPr>
          <w:rFonts w:ascii="Arial" w:cs="Arial" w:eastAsia="Arial" w:hAnsi="Arial"/>
          <w:sz w:val="19"/>
          <w:szCs w:val="19"/>
          <w:color w:val="auto"/>
        </w:rPr>
        <w:t>(4)(B), in excess of the base amount allocable to such reasonable compensation, or are otherwise not subject to the Excise Tax, and (c) the value of any noncash benefits or any deferred payment or benefit shall be determined by the Auditor in accordance with the principles set forth in Code Section 280G(d)(3) and (d)(4). Prior to the payment date set forth in Section 3.4 of this Agreement, Company shall provide the Executive with its calculation of the amounts referred to in this Section 9.2 and such supporting materials as are reasonably necessary for the Executive to evaluate Company’s calculations. If the Executive disputes Company’s calculations (in whole or in part), the reasonable opinion of Tax Counsel with respect to the matter in dispute shall prevail.</w:t>
      </w:r>
    </w:p>
    <w:p>
      <w:pPr>
        <w:spacing w:after="0" w:line="150" w:lineRule="exact"/>
        <w:rPr>
          <w:sz w:val="20"/>
          <w:szCs w:val="20"/>
          <w:color w:val="auto"/>
        </w:rPr>
      </w:pPr>
    </w:p>
    <w:p>
      <w:pPr>
        <w:jc w:val="both"/>
        <w:ind w:left="200" w:right="219" w:firstLine="657"/>
        <w:spacing w:after="0" w:line="239" w:lineRule="auto"/>
        <w:tabs>
          <w:tab w:leader="none" w:pos="149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 Penalties, and Fees</w:t>
      </w:r>
      <w:r>
        <w:rPr>
          <w:rFonts w:ascii="Arial" w:cs="Arial" w:eastAsia="Arial" w:hAnsi="Arial"/>
          <w:sz w:val="22"/>
          <w:szCs w:val="22"/>
          <w:b w:val="1"/>
          <w:bCs w:val="1"/>
          <w:color w:val="auto"/>
        </w:rPr>
        <w:t xml:space="preserve">. </w:t>
      </w:r>
      <w:r>
        <w:rPr>
          <w:rFonts w:ascii="Arial" w:cs="Arial" w:eastAsia="Arial" w:hAnsi="Arial"/>
          <w:sz w:val="22"/>
          <w:szCs w:val="22"/>
          <w:color w:val="auto"/>
        </w:rPr>
        <w:t>It is the sole obligation of Executive, or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estate or beneficiary, to remain aware of and to pay any and all taxes, fees, or penalties (including any excise taxes) due now or in the future on benefits received under this Agreement, whether or not</w:t>
      </w:r>
    </w:p>
    <w:p>
      <w:pPr>
        <w:spacing w:after="0" w:line="348" w:lineRule="exact"/>
        <w:rPr>
          <w:rFonts w:ascii="Arial" w:cs="Arial" w:eastAsia="Arial" w:hAnsi="Arial"/>
          <w:sz w:val="22"/>
          <w:szCs w:val="22"/>
          <w:b w:val="1"/>
          <w:bCs w:val="1"/>
          <w:color w:val="auto"/>
        </w:rPr>
      </w:pPr>
    </w:p>
    <w:p>
      <w:pPr>
        <w:ind w:left="4320" w:hanging="122"/>
        <w:spacing w:after="0"/>
        <w:tabs>
          <w:tab w:leader="none" w:pos="43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0" w:name="page51"/>
    <w:bookmarkEnd w:id="50"/>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1"/>
          <w:szCs w:val="21"/>
          <w:color w:val="auto"/>
        </w:rPr>
        <w:t>Executive or Executive’s beneficiary has received cash from Company at the time the taxes, fees, or penalties become due. Executive acknowledges that tax requirements may change during the term of this Agreement and that it is Executive’s (or Executive’s estate’s or beneficiary’s) obligation to remain aware of these changes and to fulfill these obligations. Any amounts payable (or transfers of property) pursuant to this Agreement will be subject to federal, state, and local tax withholding to the extent required by applicable law.</w:t>
      </w:r>
    </w:p>
    <w:p>
      <w:pPr>
        <w:spacing w:after="0" w:line="171" w:lineRule="exact"/>
        <w:rPr>
          <w:sz w:val="20"/>
          <w:szCs w:val="20"/>
          <w:color w:val="auto"/>
        </w:rPr>
      </w:pPr>
    </w:p>
    <w:p>
      <w:pPr>
        <w:jc w:val="both"/>
        <w:ind w:left="200" w:right="219" w:firstLine="657"/>
        <w:spacing w:after="0" w:line="273" w:lineRule="auto"/>
        <w:tabs>
          <w:tab w:leader="none" w:pos="1496"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No change, amendment, alteration, deletion, addition,</w:t>
      </w:r>
      <w:r>
        <w:rPr>
          <w:rFonts w:ascii="Arial" w:cs="Arial" w:eastAsia="Arial" w:hAnsi="Arial"/>
          <w:sz w:val="19"/>
          <w:szCs w:val="19"/>
          <w:b w:val="1"/>
          <w:bCs w:val="1"/>
          <w:color w:val="auto"/>
        </w:rPr>
        <w:t xml:space="preserve"> </w:t>
      </w:r>
      <w:r>
        <w:rPr>
          <w:rFonts w:ascii="Arial" w:cs="Arial" w:eastAsia="Arial" w:hAnsi="Arial"/>
          <w:sz w:val="19"/>
          <w:szCs w:val="19"/>
          <w:color w:val="auto"/>
        </w:rPr>
        <w:t>supplementation, clarification, or modification to this Agreement or any of its terms shall be valid or of any effect unless, and only if, it is reduced to writing as a formal and specific amendment to this Agreement and is signed by Executive and Company. Notwithstanding the foregoing, no amendment to this Agreement may accelerate any amount payable to Executive unless the amendment and acceleration are allowable by Code Section 409A, or the amounts payable are not subject to Code Section 409A. Further notwithstanding the foregoing, no payment to Executive shall occur upon termination of this Agreement unless the requirements of Code Section 409A have been met, to the extent applicable. Company and Executive agree to execute any and all amendments to this Agreement as they mutually agree may be necessary or appropriate to ensure compliance with the distribution provisions of Code Section 409A or as otherwise needed to ensure that this Agreement complies with, or remains exempt from, Code Section 409A.</w:t>
      </w:r>
    </w:p>
    <w:p>
      <w:pPr>
        <w:spacing w:after="0" w:line="149" w:lineRule="exact"/>
        <w:rPr>
          <w:rFonts w:ascii="Arial" w:cs="Arial" w:eastAsia="Arial" w:hAnsi="Arial"/>
          <w:sz w:val="19"/>
          <w:szCs w:val="19"/>
          <w:b w:val="1"/>
          <w:bCs w:val="1"/>
          <w:color w:val="auto"/>
        </w:rPr>
      </w:pPr>
    </w:p>
    <w:p>
      <w:pPr>
        <w:jc w:val="both"/>
        <w:ind w:left="200" w:right="219" w:firstLine="657"/>
        <w:spacing w:after="0" w:line="300" w:lineRule="auto"/>
        <w:tabs>
          <w:tab w:leader="none" w:pos="1496"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invalidity or unenforceability of a particular provision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affect the enforceability of any other provisions hereof and this Agreement shall be construed in all respects as if such invalid or unenforceable provision was omitted.</w:t>
      </w:r>
    </w:p>
    <w:p>
      <w:pPr>
        <w:spacing w:after="0" w:line="125" w:lineRule="exact"/>
        <w:rPr>
          <w:rFonts w:ascii="Arial" w:cs="Arial" w:eastAsia="Arial" w:hAnsi="Arial"/>
          <w:sz w:val="19"/>
          <w:szCs w:val="19"/>
          <w:b w:val="1"/>
          <w:bCs w:val="1"/>
          <w:color w:val="auto"/>
        </w:rPr>
      </w:pPr>
    </w:p>
    <w:p>
      <w:pPr>
        <w:jc w:val="both"/>
        <w:ind w:left="200" w:right="219" w:firstLine="657"/>
        <w:spacing w:after="0" w:line="243" w:lineRule="auto"/>
        <w:tabs>
          <w:tab w:leader="none" w:pos="149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b w:val="1"/>
          <w:bCs w:val="1"/>
          <w:color w:val="auto"/>
        </w:rPr>
        <w:t xml:space="preserve">. </w:t>
      </w:r>
      <w:r>
        <w:rPr>
          <w:rFonts w:ascii="Arial" w:cs="Arial" w:eastAsia="Arial" w:hAnsi="Arial"/>
          <w:sz w:val="22"/>
          <w:szCs w:val="22"/>
          <w:color w:val="auto"/>
        </w:rPr>
        <w:t>The waiver by either party of a breach or violation of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not operate as or be construed to be a waiver of any subsequent breach hereof or of any other right herein.</w:t>
      </w:r>
    </w:p>
    <w:p>
      <w:pPr>
        <w:spacing w:after="0" w:line="176" w:lineRule="exact"/>
        <w:rPr>
          <w:rFonts w:ascii="Arial" w:cs="Arial" w:eastAsia="Arial" w:hAnsi="Arial"/>
          <w:sz w:val="22"/>
          <w:szCs w:val="22"/>
          <w:b w:val="1"/>
          <w:bCs w:val="1"/>
          <w:color w:val="auto"/>
        </w:rPr>
      </w:pPr>
    </w:p>
    <w:p>
      <w:pPr>
        <w:jc w:val="both"/>
        <w:ind w:left="200" w:right="219" w:firstLine="657"/>
        <w:spacing w:after="0" w:line="249" w:lineRule="auto"/>
        <w:tabs>
          <w:tab w:leader="none" w:pos="1496"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Any notice to be given under this Agreement by either party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may be effective either by personal delivery in writing or by mail, certified mail, postage prepaid with return receipt requested. Mailed notices shall be addressed to Executive’s current residence or to Company’s principal business address. Notices delivered personally shall be deemed communicated as of the actual receipt thereof, and mailed notices shall be deemed communicated and received three (3) days after the mailing of same.</w:t>
      </w:r>
    </w:p>
    <w:p>
      <w:pPr>
        <w:spacing w:after="0" w:line="170" w:lineRule="exact"/>
        <w:rPr>
          <w:rFonts w:ascii="Arial" w:cs="Arial" w:eastAsia="Arial" w:hAnsi="Arial"/>
          <w:sz w:val="21"/>
          <w:szCs w:val="21"/>
          <w:b w:val="1"/>
          <w:bCs w:val="1"/>
          <w:color w:val="auto"/>
        </w:rPr>
      </w:pPr>
    </w:p>
    <w:p>
      <w:pPr>
        <w:jc w:val="both"/>
        <w:ind w:left="200" w:right="219" w:firstLine="657"/>
        <w:spacing w:after="0" w:line="300" w:lineRule="auto"/>
        <w:tabs>
          <w:tab w:leader="none" w:pos="1496"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Applicable Law; Venue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interpreted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laws of the Commonwealth of Pennsylvania, and all actions brought to enforce or interpret this Agreement shall be in the courts applicable to Chester County, Pennsylvania.</w:t>
      </w:r>
    </w:p>
    <w:p>
      <w:pPr>
        <w:spacing w:after="0" w:line="125" w:lineRule="exact"/>
        <w:rPr>
          <w:rFonts w:ascii="Arial" w:cs="Arial" w:eastAsia="Arial" w:hAnsi="Arial"/>
          <w:sz w:val="19"/>
          <w:szCs w:val="19"/>
          <w:b w:val="1"/>
          <w:bCs w:val="1"/>
          <w:color w:val="auto"/>
        </w:rPr>
      </w:pPr>
    </w:p>
    <w:p>
      <w:pPr>
        <w:jc w:val="both"/>
        <w:ind w:left="200" w:right="219" w:firstLine="657"/>
        <w:spacing w:after="0" w:line="236" w:lineRule="auto"/>
        <w:tabs>
          <w:tab w:leader="none" w:pos="149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Construction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provisions,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represent the results of negotiations between and among the parties hereto, each of which has had the opportunity to be represented by counsel of its own choosing, and neither of which has acted under duress or coercion whether legal, economic or otherwise. Accordingly, the terms, provisions, and conditions of this Agreement shall be interpreted and construed in accordance with their usual and customary meanings.</w:t>
      </w:r>
    </w:p>
    <w:p>
      <w:pPr>
        <w:spacing w:after="0" w:line="349" w:lineRule="exact"/>
        <w:rPr>
          <w:rFonts w:ascii="Arial" w:cs="Arial" w:eastAsia="Arial" w:hAnsi="Arial"/>
          <w:sz w:val="22"/>
          <w:szCs w:val="22"/>
          <w:b w:val="1"/>
          <w:bCs w:val="1"/>
          <w:color w:val="auto"/>
        </w:rPr>
      </w:pPr>
    </w:p>
    <w:p>
      <w:pPr>
        <w:ind w:left="4320" w:hanging="122"/>
        <w:spacing w:after="0"/>
        <w:tabs>
          <w:tab w:leader="none" w:pos="43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1" w:name="page52"/>
    <w:bookmarkEnd w:id="51"/>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both"/>
        <w:ind w:left="200" w:right="219" w:firstLine="657"/>
        <w:spacing w:after="0" w:line="243" w:lineRule="auto"/>
        <w:tabs>
          <w:tab w:leader="none" w:pos="1496"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several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will constitute one and the same instrument.</w:t>
      </w:r>
    </w:p>
    <w:p>
      <w:pPr>
        <w:spacing w:after="0" w:line="176" w:lineRule="exact"/>
        <w:rPr>
          <w:rFonts w:ascii="Arial" w:cs="Arial" w:eastAsia="Arial" w:hAnsi="Arial"/>
          <w:sz w:val="22"/>
          <w:szCs w:val="22"/>
          <w:b w:val="1"/>
          <w:bCs w:val="1"/>
          <w:color w:val="auto"/>
        </w:rPr>
      </w:pPr>
    </w:p>
    <w:p>
      <w:pPr>
        <w:jc w:val="both"/>
        <w:ind w:left="200" w:right="219" w:firstLine="657"/>
        <w:spacing w:after="0" w:line="243" w:lineRule="auto"/>
        <w:tabs>
          <w:tab w:leader="none" w:pos="1496"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Consultation with Attorney</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agrees that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has been afforded the opportunity to review this Agreement with Executive’s legal counsel prior to execution hereof.</w:t>
      </w:r>
    </w:p>
    <w:p>
      <w:pPr>
        <w:spacing w:after="0" w:line="344" w:lineRule="exact"/>
        <w:rPr>
          <w:rFonts w:ascii="Arial" w:cs="Arial" w:eastAsia="Arial" w:hAnsi="Arial"/>
          <w:sz w:val="22"/>
          <w:szCs w:val="22"/>
          <w:b w:val="1"/>
          <w:bCs w:val="1"/>
          <w:color w:val="auto"/>
        </w:rPr>
      </w:pPr>
    </w:p>
    <w:p>
      <w:pPr>
        <w:ind w:left="4320" w:hanging="122"/>
        <w:spacing w:after="0"/>
        <w:tabs>
          <w:tab w:leader="none" w:pos="43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2" w:name="page53"/>
    <w:bookmarkEnd w:id="52"/>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0" w:right="459" w:firstLine="648"/>
        <w:spacing w:after="0" w:line="250" w:lineRule="auto"/>
        <w:rPr>
          <w:sz w:val="20"/>
          <w:szCs w:val="20"/>
          <w:color w:val="auto"/>
        </w:rPr>
      </w:pPr>
      <w:r>
        <w:rPr>
          <w:rFonts w:ascii="Arial" w:cs="Arial" w:eastAsia="Arial" w:hAnsi="Arial"/>
          <w:sz w:val="22"/>
          <w:szCs w:val="22"/>
          <w:color w:val="auto"/>
        </w:rPr>
        <w:t>IN WITNESS WHEREOF, the parties have hereto set their hand to this Agreement as set out below.</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3900" w:type="dxa"/>
            <w:vAlign w:val="bottom"/>
            <w:gridSpan w:val="2"/>
          </w:tcPr>
          <w:p>
            <w:pPr>
              <w:spacing w:after="0"/>
              <w:rPr>
                <w:sz w:val="20"/>
                <w:szCs w:val="20"/>
                <w:color w:val="auto"/>
              </w:rPr>
            </w:pPr>
            <w:r>
              <w:rPr>
                <w:rFonts w:ascii="Arial" w:cs="Arial" w:eastAsia="Arial" w:hAnsi="Arial"/>
                <w:sz w:val="22"/>
                <w:szCs w:val="22"/>
                <w:color w:val="auto"/>
              </w:rPr>
              <w:t>EXECUTIVE</w:t>
            </w:r>
          </w:p>
        </w:tc>
        <w:tc>
          <w:tcPr>
            <w:tcW w:w="4700" w:type="dxa"/>
            <w:vAlign w:val="bottom"/>
            <w:gridSpan w:val="7"/>
          </w:tcPr>
          <w:p>
            <w:pPr>
              <w:ind w:left="560"/>
              <w:spacing w:after="0"/>
              <w:rPr>
                <w:sz w:val="20"/>
                <w:szCs w:val="20"/>
                <w:color w:val="auto"/>
              </w:rPr>
            </w:pPr>
            <w:r>
              <w:rPr>
                <w:rFonts w:ascii="Arial" w:cs="Arial" w:eastAsia="Arial" w:hAnsi="Arial"/>
                <w:sz w:val="22"/>
                <w:szCs w:val="22"/>
                <w:color w:val="auto"/>
              </w:rPr>
              <w:t>NEURONETICS, INC.</w:t>
            </w:r>
          </w:p>
        </w:tc>
      </w:tr>
      <w:tr>
        <w:trPr>
          <w:trHeight w:val="921"/>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920" w:type="dxa"/>
            <w:vAlign w:val="bottom"/>
            <w:gridSpan w:val="3"/>
          </w:tcPr>
          <w:p>
            <w:pPr>
              <w:ind w:left="56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gridSpan w:val="3"/>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line="223" w:lineRule="exact"/>
              <w:rPr>
                <w:sz w:val="20"/>
                <w:szCs w:val="20"/>
                <w:color w:val="auto"/>
              </w:rPr>
            </w:pPr>
            <w:r>
              <w:rPr>
                <w:rFonts w:ascii="Arial" w:cs="Arial" w:eastAsia="Arial" w:hAnsi="Arial"/>
                <w:sz w:val="22"/>
                <w:szCs w:val="22"/>
                <w:b w:val="1"/>
                <w:bCs w:val="1"/>
                <w:color w:val="auto"/>
              </w:rPr>
              <w:t>[Name]</w:t>
            </w:r>
          </w:p>
        </w:tc>
        <w:tc>
          <w:tcPr>
            <w:tcW w:w="860" w:type="dxa"/>
            <w:vAlign w:val="bottom"/>
            <w:gridSpan w:val="2"/>
          </w:tcPr>
          <w:p>
            <w:pPr>
              <w:ind w:left="520"/>
              <w:spacing w:after="0" w:line="223" w:lineRule="exact"/>
              <w:rPr>
                <w:sz w:val="20"/>
                <w:szCs w:val="20"/>
                <w:color w:val="auto"/>
              </w:rPr>
            </w:pPr>
            <w:r>
              <w:rPr>
                <w:rFonts w:ascii="Arial" w:cs="Arial" w:eastAsia="Arial" w:hAnsi="Arial"/>
                <w:sz w:val="22"/>
                <w:szCs w:val="22"/>
                <w:color w:val="auto"/>
              </w:rPr>
              <w:t>Its:</w:t>
            </w:r>
          </w:p>
        </w:tc>
        <w:tc>
          <w:tcPr>
            <w:tcW w:w="3560" w:type="dxa"/>
            <w:vAlign w:val="bottom"/>
            <w:tcBorders>
              <w:bottom w:val="single" w:sz="8" w:color="auto"/>
            </w:tcBorders>
            <w:gridSpan w:val="2"/>
          </w:tcPr>
          <w:p>
            <w:pPr>
              <w:spacing w:after="0"/>
              <w:rPr>
                <w:sz w:val="19"/>
                <w:szCs w:val="19"/>
                <w:color w:val="auto"/>
              </w:rPr>
            </w:pPr>
          </w:p>
        </w:tc>
        <w:tc>
          <w:tcPr>
            <w:tcW w:w="280" w:type="dxa"/>
            <w:vAlign w:val="bottom"/>
            <w:gridSpan w:val="3"/>
          </w:tcPr>
          <w:p>
            <w:pPr>
              <w:spacing w:after="0"/>
              <w:rPr>
                <w:sz w:val="19"/>
                <w:szCs w:val="19"/>
                <w:color w:val="auto"/>
              </w:rPr>
            </w:pPr>
          </w:p>
        </w:tc>
      </w:tr>
      <w:tr>
        <w:trPr>
          <w:trHeight w:val="466"/>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00" w:type="dxa"/>
            <w:vAlign w:val="bottom"/>
            <w:tcBorders>
              <w:bottom w:val="single" w:sz="8" w:color="auto"/>
            </w:tcBorders>
            <w:gridSpan w:val="4"/>
          </w:tcPr>
          <w:p>
            <w:pPr>
              <w:spacing w:after="0"/>
              <w:rPr>
                <w:sz w:val="24"/>
                <w:szCs w:val="24"/>
                <w:color w:val="auto"/>
              </w:rPr>
            </w:pPr>
          </w:p>
        </w:tc>
        <w:tc>
          <w:tcPr>
            <w:tcW w:w="240" w:type="dxa"/>
            <w:vAlign w:val="bottom"/>
            <w:gridSpan w:val="2"/>
          </w:tcPr>
          <w:p>
            <w:pPr>
              <w:spacing w:after="0"/>
              <w:rPr>
                <w:sz w:val="24"/>
                <w:szCs w:val="24"/>
                <w:color w:val="auto"/>
              </w:rPr>
            </w:pPr>
          </w:p>
        </w:tc>
      </w:tr>
      <w:tr>
        <w:trPr>
          <w:trHeight w:val="273"/>
        </w:trPr>
        <w:tc>
          <w:tcPr>
            <w:tcW w:w="3900" w:type="dxa"/>
            <w:vAlign w:val="bottom"/>
            <w:gridSpan w:val="2"/>
          </w:tcPr>
          <w:p>
            <w:pPr>
              <w:spacing w:after="0"/>
              <w:rPr>
                <w:sz w:val="20"/>
                <w:szCs w:val="20"/>
                <w:color w:val="auto"/>
              </w:rPr>
            </w:pPr>
            <w:r>
              <w:rPr>
                <w:rFonts w:ascii="Arial" w:cs="Arial" w:eastAsia="Arial" w:hAnsi="Arial"/>
                <w:sz w:val="22"/>
                <w:szCs w:val="22"/>
                <w:color w:val="auto"/>
              </w:rPr>
              <w:t>Date</w:t>
            </w:r>
          </w:p>
        </w:tc>
        <w:tc>
          <w:tcPr>
            <w:tcW w:w="560" w:type="dxa"/>
            <w:vAlign w:val="bottom"/>
          </w:tcPr>
          <w:p>
            <w:pPr>
              <w:spacing w:after="0"/>
              <w:rPr>
                <w:sz w:val="23"/>
                <w:szCs w:val="23"/>
                <w:color w:val="auto"/>
              </w:rPr>
            </w:pPr>
          </w:p>
        </w:tc>
        <w:tc>
          <w:tcPr>
            <w:tcW w:w="4140" w:type="dxa"/>
            <w:vAlign w:val="bottom"/>
            <w:gridSpan w:val="6"/>
          </w:tcPr>
          <w:p>
            <w:pPr>
              <w:spacing w:after="0"/>
              <w:rPr>
                <w:sz w:val="20"/>
                <w:szCs w:val="20"/>
                <w:color w:val="auto"/>
              </w:rPr>
            </w:pPr>
            <w:r>
              <w:rPr>
                <w:rFonts w:ascii="Arial" w:cs="Arial" w:eastAsia="Arial" w:hAnsi="Arial"/>
                <w:sz w:val="22"/>
                <w:szCs w:val="22"/>
                <w:color w:val="auto"/>
              </w:rPr>
              <w:t>Date</w:t>
            </w:r>
          </w:p>
        </w:tc>
      </w:tr>
      <w:tr>
        <w:trPr>
          <w:trHeight w:val="729"/>
        </w:trPr>
        <w:tc>
          <w:tcPr>
            <w:tcW w:w="3900" w:type="dxa"/>
            <w:vAlign w:val="bottom"/>
            <w:gridSpan w:val="2"/>
          </w:tcPr>
          <w:p>
            <w:pPr>
              <w:spacing w:after="0"/>
              <w:rPr>
                <w:sz w:val="20"/>
                <w:szCs w:val="20"/>
                <w:color w:val="auto"/>
              </w:rPr>
            </w:pPr>
            <w:r>
              <w:rPr>
                <w:rFonts w:ascii="Arial" w:cs="Arial" w:eastAsia="Arial" w:hAnsi="Arial"/>
                <w:sz w:val="22"/>
                <w:szCs w:val="22"/>
                <w:color w:val="auto"/>
              </w:rPr>
              <w:t>ATTEST:</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78"/>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920" w:type="dxa"/>
            <w:vAlign w:val="bottom"/>
            <w:gridSpan w:val="3"/>
          </w:tcPr>
          <w:p>
            <w:pPr>
              <w:ind w:left="560"/>
              <w:spacing w:after="0"/>
              <w:rPr>
                <w:sz w:val="20"/>
                <w:szCs w:val="20"/>
                <w:color w:val="auto"/>
              </w:rPr>
            </w:pPr>
            <w:r>
              <w:rPr>
                <w:rFonts w:ascii="Arial" w:cs="Arial" w:eastAsia="Arial" w:hAnsi="Arial"/>
                <w:sz w:val="22"/>
                <w:szCs w:val="22"/>
                <w:color w:val="auto"/>
              </w:rPr>
              <w:t>By:</w:t>
            </w:r>
          </w:p>
        </w:tc>
        <w:tc>
          <w:tcPr>
            <w:tcW w:w="3580" w:type="dxa"/>
            <w:vAlign w:val="bottom"/>
            <w:tcBorders>
              <w:bottom w:val="single" w:sz="8" w:color="auto"/>
            </w:tcBorders>
            <w:gridSpan w:val="3"/>
          </w:tcPr>
          <w:p>
            <w:pPr>
              <w:spacing w:after="0"/>
              <w:rPr>
                <w:sz w:val="24"/>
                <w:szCs w:val="24"/>
                <w:color w:val="auto"/>
              </w:rPr>
            </w:pPr>
          </w:p>
        </w:tc>
        <w:tc>
          <w:tcPr>
            <w:tcW w:w="200" w:type="dxa"/>
            <w:vAlign w:val="bottom"/>
          </w:tcPr>
          <w:p>
            <w:pPr>
              <w:spacing w:after="0"/>
              <w:rPr>
                <w:sz w:val="24"/>
                <w:szCs w:val="24"/>
                <w:color w:val="auto"/>
              </w:rPr>
            </w:pPr>
          </w:p>
        </w:tc>
      </w:tr>
      <w:tr>
        <w:trPr>
          <w:trHeight w:val="273"/>
        </w:trPr>
        <w:tc>
          <w:tcPr>
            <w:tcW w:w="3900" w:type="dxa"/>
            <w:vAlign w:val="bottom"/>
            <w:gridSpan w:val="2"/>
          </w:tcPr>
          <w:p>
            <w:pPr>
              <w:spacing w:after="0"/>
              <w:rPr>
                <w:sz w:val="20"/>
                <w:szCs w:val="20"/>
                <w:color w:val="auto"/>
              </w:rPr>
            </w:pPr>
            <w:r>
              <w:rPr>
                <w:rFonts w:ascii="Arial" w:cs="Arial" w:eastAsia="Arial" w:hAnsi="Arial"/>
                <w:sz w:val="22"/>
                <w:szCs w:val="22"/>
                <w:color w:val="auto"/>
              </w:rPr>
              <w:t>Date</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89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22"/>
                <w:szCs w:val="22"/>
                <w:color w:val="auto"/>
              </w:rPr>
              <w:t>- 12 -</w:t>
            </w: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1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52" w:right="1440" w:bottom="1440" w:gutter="0" w:footer="0" w:header="0"/>
        </w:sectPr>
      </w:pPr>
    </w:p>
    <w:bookmarkStart w:id="53" w:name="page54"/>
    <w:bookmarkEnd w:id="53"/>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1163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611630"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RESTRICTIVE COVENANT AGREEMENT</w:t>
      </w:r>
    </w:p>
    <w:p>
      <w:pPr>
        <w:spacing w:after="0" w:line="322" w:lineRule="exact"/>
        <w:rPr>
          <w:sz w:val="20"/>
          <w:szCs w:val="20"/>
          <w:color w:val="auto"/>
        </w:rPr>
      </w:pPr>
    </w:p>
    <w:p>
      <w:pPr>
        <w:jc w:val="right"/>
        <w:ind w:right="219"/>
        <w:spacing w:after="0"/>
        <w:rPr>
          <w:sz w:val="20"/>
          <w:szCs w:val="20"/>
          <w:color w:val="auto"/>
        </w:rPr>
      </w:pPr>
      <w:r>
        <w:rPr>
          <w:rFonts w:ascii="Arial" w:cs="Arial" w:eastAsia="Arial" w:hAnsi="Arial"/>
          <w:sz w:val="14"/>
          <w:szCs w:val="14"/>
          <w:u w:val="single" w:color="auto"/>
          <w:color w:val="auto"/>
        </w:rPr>
        <w:t>47667933.2</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452755</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54" w:name="page55"/>
    <w:bookmarkEnd w:id="54"/>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AMENDED AND RESTATED 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NEURONETICS,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D</w:t>
      </w:r>
      <w:r>
        <w:rPr>
          <w:rFonts w:ascii="Arial" w:cs="Arial" w:eastAsia="Arial" w:hAnsi="Arial"/>
          <w:sz w:val="14"/>
          <w:szCs w:val="14"/>
          <w:b w:val="1"/>
          <w:bCs w:val="1"/>
          <w:color w:val="auto"/>
        </w:rPr>
        <w:t>ELAWARE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22"/>
          <w:szCs w:val="22"/>
          <w:b w:val="1"/>
          <w:bCs w:val="1"/>
          <w:color w:val="auto"/>
        </w:rPr>
        <w: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July 28, 2021</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NEURONETICS,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HIRD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w:t>
      </w:r>
      <w:r>
        <w:rPr>
          <w:rFonts w:ascii="Arial" w:cs="Arial" w:eastAsia="Arial" w:hAnsi="Arial"/>
          <w:sz w:val="14"/>
          <w:szCs w:val="14"/>
          <w:b w:val="1"/>
          <w:bCs w:val="1"/>
          <w:color w:val="auto"/>
        </w:rPr>
        <w:t>YLAWS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pacing w:after="0" w:line="220" w:lineRule="exact"/>
        <w:rPr>
          <w:sz w:val="20"/>
          <w:szCs w:val="20"/>
          <w:color w:val="auto"/>
        </w:rPr>
      </w:pPr>
    </w:p>
    <w:p>
      <w:pPr>
        <w:ind w:left="200" w:right="259" w:firstLine="648"/>
        <w:spacing w:after="0" w:line="304" w:lineRule="auto"/>
        <w:rPr>
          <w:sz w:val="20"/>
          <w:szCs w:val="20"/>
          <w:color w:val="auto"/>
        </w:rPr>
      </w:pPr>
      <w:r>
        <w:rPr>
          <w:rFonts w:ascii="Arial" w:cs="Arial" w:eastAsia="Arial" w:hAnsi="Arial"/>
          <w:sz w:val="19"/>
          <w:szCs w:val="19"/>
          <w:b w:val="1"/>
          <w:bCs w:val="1"/>
          <w:color w:val="auto"/>
        </w:rPr>
        <w:t xml:space="preserve">Section 1. Registered Office. </w:t>
      </w:r>
      <w:r>
        <w:rPr>
          <w:rFonts w:ascii="Arial" w:cs="Arial" w:eastAsia="Arial" w:hAnsi="Arial"/>
          <w:sz w:val="19"/>
          <w:szCs w:val="19"/>
          <w:color w:val="auto"/>
        </w:rPr>
        <w:t>The registered office shall be established and maintained</w:t>
      </w:r>
      <w:r>
        <w:rPr>
          <w:rFonts w:ascii="Arial" w:cs="Arial" w:eastAsia="Arial" w:hAnsi="Arial"/>
          <w:sz w:val="19"/>
          <w:szCs w:val="19"/>
          <w:b w:val="1"/>
          <w:bCs w:val="1"/>
          <w:color w:val="auto"/>
        </w:rPr>
        <w:t xml:space="preserve"> </w:t>
      </w:r>
      <w:r>
        <w:rPr>
          <w:rFonts w:ascii="Arial" w:cs="Arial" w:eastAsia="Arial" w:hAnsi="Arial"/>
          <w:sz w:val="19"/>
          <w:szCs w:val="19"/>
          <w:color w:val="auto"/>
        </w:rPr>
        <w:t>at the office of The Corporation Trust Company, in the City of Wilmington, in the County of New Castle, in the State of Delaware, and said corporation, or other such person or entity as the Board of Directors may from time to time designate, shall be the registered agent of the corporation.</w:t>
      </w:r>
    </w:p>
    <w:p>
      <w:pPr>
        <w:spacing w:after="0" w:line="135" w:lineRule="exact"/>
        <w:rPr>
          <w:sz w:val="20"/>
          <w:szCs w:val="20"/>
          <w:color w:val="auto"/>
        </w:rPr>
      </w:pPr>
    </w:p>
    <w:p>
      <w:pPr>
        <w:ind w:left="200" w:right="419" w:firstLine="648"/>
        <w:spacing w:after="0" w:line="304" w:lineRule="auto"/>
        <w:rPr>
          <w:sz w:val="20"/>
          <w:szCs w:val="20"/>
          <w:color w:val="auto"/>
        </w:rPr>
      </w:pPr>
      <w:r>
        <w:rPr>
          <w:rFonts w:ascii="Arial" w:cs="Arial" w:eastAsia="Arial" w:hAnsi="Arial"/>
          <w:sz w:val="19"/>
          <w:szCs w:val="19"/>
          <w:b w:val="1"/>
          <w:bCs w:val="1"/>
          <w:color w:val="auto"/>
        </w:rPr>
        <w:t xml:space="preserve">Section 2. Other Offices. </w:t>
      </w:r>
      <w:r>
        <w:rPr>
          <w:rFonts w:ascii="Arial" w:cs="Arial" w:eastAsia="Arial" w:hAnsi="Arial"/>
          <w:sz w:val="19"/>
          <w:szCs w:val="19"/>
          <w:color w:val="auto"/>
        </w:rPr>
        <w:t>The corporation shall also have and maintain an office or</w:t>
      </w:r>
      <w:r>
        <w:rPr>
          <w:rFonts w:ascii="Arial" w:cs="Arial" w:eastAsia="Arial" w:hAnsi="Arial"/>
          <w:sz w:val="19"/>
          <w:szCs w:val="19"/>
          <w:b w:val="1"/>
          <w:bCs w:val="1"/>
          <w:color w:val="auto"/>
        </w:rPr>
        <w:t xml:space="preserve"> </w:t>
      </w:r>
      <w:r>
        <w:rPr>
          <w:rFonts w:ascii="Arial" w:cs="Arial" w:eastAsia="Arial" w:hAnsi="Arial"/>
          <w:sz w:val="19"/>
          <w:szCs w:val="19"/>
          <w:color w:val="auto"/>
        </w:rPr>
        <w:t>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CORPORATE SEAL</w:t>
      </w:r>
    </w:p>
    <w:p>
      <w:pPr>
        <w:spacing w:after="0" w:line="220" w:lineRule="exact"/>
        <w:rPr>
          <w:sz w:val="20"/>
          <w:szCs w:val="20"/>
          <w:color w:val="auto"/>
        </w:rPr>
      </w:pPr>
    </w:p>
    <w:p>
      <w:pPr>
        <w:ind w:left="200" w:right="319" w:firstLine="648"/>
        <w:spacing w:after="0" w:line="252" w:lineRule="auto"/>
        <w:rPr>
          <w:sz w:val="20"/>
          <w:szCs w:val="20"/>
          <w:color w:val="auto"/>
        </w:rPr>
      </w:pPr>
      <w:r>
        <w:rPr>
          <w:rFonts w:ascii="Arial" w:cs="Arial" w:eastAsia="Arial" w:hAnsi="Arial"/>
          <w:sz w:val="22"/>
          <w:szCs w:val="22"/>
          <w:b w:val="1"/>
          <w:bCs w:val="1"/>
          <w:color w:val="auto"/>
        </w:rPr>
        <w:t xml:space="preserve">Section 3. Corporate Seal. </w:t>
      </w:r>
      <w:r>
        <w:rPr>
          <w:rFonts w:ascii="Arial" w:cs="Arial" w:eastAsia="Arial" w:hAnsi="Arial"/>
          <w:sz w:val="22"/>
          <w:szCs w:val="22"/>
          <w:color w:val="auto"/>
        </w:rPr>
        <w:t>The Board of Directors may adopt a corporate seal. If</w:t>
      </w:r>
      <w:r>
        <w:rPr>
          <w:rFonts w:ascii="Arial" w:cs="Arial" w:eastAsia="Arial" w:hAnsi="Arial"/>
          <w:sz w:val="22"/>
          <w:szCs w:val="22"/>
          <w:b w:val="1"/>
          <w:bCs w:val="1"/>
          <w:color w:val="auto"/>
        </w:rPr>
        <w:t xml:space="preserve"> </w:t>
      </w:r>
      <w:r>
        <w:rPr>
          <w:rFonts w:ascii="Arial" w:cs="Arial" w:eastAsia="Arial" w:hAnsi="Arial"/>
          <w:sz w:val="22"/>
          <w:szCs w:val="22"/>
          <w:color w:val="auto"/>
        </w:rPr>
        <w:t>adopted, the corporate seal shall consist of a die bearing the name of the corporation and the inscription, “Corporate Seal-Delaware.” Said seal may be used by causing it or a facsimile thereof to be impressed or affixed or reproduced or otherwise.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STOCKHOLDERS’ MEETINGS</w:t>
      </w:r>
    </w:p>
    <w:p>
      <w:pPr>
        <w:spacing w:after="0" w:line="220" w:lineRule="exact"/>
        <w:rPr>
          <w:sz w:val="20"/>
          <w:szCs w:val="20"/>
          <w:color w:val="auto"/>
        </w:rPr>
      </w:pPr>
    </w:p>
    <w:p>
      <w:pPr>
        <w:ind w:left="200" w:right="219" w:firstLine="648"/>
        <w:spacing w:after="0" w:line="298" w:lineRule="auto"/>
        <w:rPr>
          <w:sz w:val="20"/>
          <w:szCs w:val="20"/>
          <w:color w:val="auto"/>
        </w:rPr>
      </w:pPr>
      <w:r>
        <w:rPr>
          <w:rFonts w:ascii="Arial" w:cs="Arial" w:eastAsia="Arial" w:hAnsi="Arial"/>
          <w:sz w:val="19"/>
          <w:szCs w:val="19"/>
          <w:b w:val="1"/>
          <w:bCs w:val="1"/>
          <w:color w:val="auto"/>
        </w:rPr>
        <w:t xml:space="preserve">Section 4. Place of Meetings. </w:t>
      </w:r>
      <w:r>
        <w:rPr>
          <w:rFonts w:ascii="Arial" w:cs="Arial" w:eastAsia="Arial" w:hAnsi="Arial"/>
          <w:sz w:val="19"/>
          <w:szCs w:val="19"/>
          <w:color w:val="auto"/>
        </w:rPr>
        <w:t>Meetings of the stockholders of the corporation may be</w:t>
      </w:r>
      <w:r>
        <w:rPr>
          <w:rFonts w:ascii="Arial" w:cs="Arial" w:eastAsia="Arial" w:hAnsi="Arial"/>
          <w:sz w:val="19"/>
          <w:szCs w:val="19"/>
          <w:b w:val="1"/>
          <w:bCs w:val="1"/>
          <w:color w:val="auto"/>
        </w:rPr>
        <w:t xml:space="preserve"> </w:t>
      </w:r>
      <w:r>
        <w:rPr>
          <w:rFonts w:ascii="Arial" w:cs="Arial" w:eastAsia="Arial" w:hAnsi="Arial"/>
          <w:sz w:val="19"/>
          <w:szCs w:val="19"/>
          <w:color w:val="auto"/>
        </w:rPr>
        <w:t>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Annual Meetings.</w:t>
      </w:r>
    </w:p>
    <w:p>
      <w:pPr>
        <w:spacing w:after="0" w:line="226" w:lineRule="exact"/>
        <w:rPr>
          <w:sz w:val="20"/>
          <w:szCs w:val="20"/>
          <w:color w:val="auto"/>
        </w:rPr>
      </w:pPr>
    </w:p>
    <w:p>
      <w:pPr>
        <w:ind w:left="200" w:right="219" w:firstLine="1305"/>
        <w:spacing w:after="0" w:line="286" w:lineRule="auto"/>
        <w:tabs>
          <w:tab w:leader="none" w:pos="2144" w:val="left"/>
        </w:tabs>
        <w:numPr>
          <w:ilvl w:val="0"/>
          <w:numId w:val="48"/>
        </w:numPr>
        <w:rPr>
          <w:rFonts w:ascii="Arial" w:cs="Arial" w:eastAsia="Arial" w:hAnsi="Arial"/>
          <w:sz w:val="19"/>
          <w:szCs w:val="19"/>
          <w:b w:val="1"/>
          <w:bCs w:val="1"/>
          <w:color w:val="auto"/>
        </w:rPr>
      </w:pPr>
      <w:r>
        <w:rPr>
          <w:rFonts w:ascii="Arial" w:cs="Arial" w:eastAsia="Arial" w:hAnsi="Arial"/>
          <w:sz w:val="19"/>
          <w:szCs w:val="19"/>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and at the date of the meeting, who is entitled to vote at the meeting and who complied with the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19"/>
          <w:szCs w:val="19"/>
          <w:b w:val="1"/>
          <w:bCs w:val="1"/>
          <w:i w:val="1"/>
          <w:iCs w:val="1"/>
          <w:color w:val="auto"/>
        </w:rPr>
        <w:t>1934 Act</w:t>
      </w:r>
      <w:r>
        <w:rPr>
          <w:rFonts w:ascii="Arial" w:cs="Arial" w:eastAsia="Arial" w:hAnsi="Arial"/>
          <w:sz w:val="19"/>
          <w:szCs w:val="19"/>
          <w:color w:val="auto"/>
        </w:rPr>
        <w:t>”)) before an annual meeting of stockholders.</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left="200" w:right="379" w:firstLine="1305"/>
        <w:spacing w:after="0" w:line="253" w:lineRule="auto"/>
        <w:tabs>
          <w:tab w:leader="none" w:pos="2144" w:val="left"/>
        </w:tabs>
        <w:numPr>
          <w:ilvl w:val="0"/>
          <w:numId w:val="48"/>
        </w:numPr>
        <w:rPr>
          <w:rFonts w:ascii="Arial" w:cs="Arial" w:eastAsia="Arial" w:hAnsi="Arial"/>
          <w:sz w:val="22"/>
          <w:szCs w:val="22"/>
          <w:b w:val="1"/>
          <w:bCs w:val="1"/>
          <w:color w:val="auto"/>
        </w:rPr>
      </w:pPr>
      <w:r>
        <w:rPr>
          <w:rFonts w:ascii="Arial" w:cs="Arial" w:eastAsia="Arial" w:hAnsi="Arial"/>
          <w:sz w:val="22"/>
          <w:szCs w:val="22"/>
          <w:color w:val="auto"/>
        </w:rPr>
        <w:t>At an annual meeting of the stockholders, only such business shall be conducted as is a proper matter for stockholder action under Delaware law and as shall have been properly brought before the meeting.</w:t>
      </w:r>
    </w:p>
    <w:p>
      <w:pPr>
        <w:spacing w:after="0" w:line="185" w:lineRule="exact"/>
        <w:rPr>
          <w:rFonts w:ascii="Arial" w:cs="Arial" w:eastAsia="Arial" w:hAnsi="Arial"/>
          <w:sz w:val="22"/>
          <w:szCs w:val="22"/>
          <w:b w:val="1"/>
          <w:bCs w:val="1"/>
          <w:color w:val="auto"/>
        </w:rPr>
      </w:pPr>
    </w:p>
    <w:p>
      <w:pPr>
        <w:ind w:left="200" w:right="259" w:firstLine="1953"/>
        <w:spacing w:after="0" w:line="285" w:lineRule="auto"/>
        <w:tabs>
          <w:tab w:leader="none" w:pos="2792"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include: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w:t>
      </w:r>
    </w:p>
    <w:p>
      <w:pPr>
        <w:spacing w:after="0" w:line="168" w:lineRule="exact"/>
        <w:rPr>
          <w:rFonts w:ascii="Arial" w:cs="Arial" w:eastAsia="Arial" w:hAnsi="Arial"/>
          <w:sz w:val="19"/>
          <w:szCs w:val="19"/>
          <w:b w:val="1"/>
          <w:bCs w:val="1"/>
          <w:color w:val="auto"/>
        </w:rPr>
      </w:pPr>
    </w:p>
    <w:p>
      <w:pPr>
        <w:ind w:left="200" w:right="219" w:firstLine="1953"/>
        <w:spacing w:after="0" w:line="294" w:lineRule="auto"/>
        <w:tabs>
          <w:tab w:leader="none" w:pos="2792" w:val="left"/>
        </w:tabs>
        <w:numPr>
          <w:ilvl w:val="1"/>
          <w:numId w:val="48"/>
        </w:numPr>
        <w:rPr>
          <w:rFonts w:ascii="Arial" w:cs="Arial" w:eastAsia="Arial" w:hAnsi="Arial"/>
          <w:sz w:val="19"/>
          <w:szCs w:val="19"/>
          <w:b w:val="1"/>
          <w:bCs w:val="1"/>
          <w:color w:val="auto"/>
        </w:rPr>
      </w:pPr>
      <w:r>
        <w:rPr>
          <w:rFonts w:ascii="Arial" w:cs="Arial" w:eastAsia="Arial" w:hAnsi="Arial"/>
          <w:sz w:val="19"/>
          <w:szCs w:val="19"/>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w:t>
      </w:r>
    </w:p>
    <w:p>
      <w:pPr>
        <w:sectPr>
          <w:pgSz w:w="11900" w:h="16838" w:orient="portrait"/>
          <w:cols w:equalWidth="0" w:num="1">
            <w:col w:w="9019"/>
          </w:cols>
          <w:pgMar w:left="1440" w:top="666" w:right="1440"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56" w:name="page57"/>
    <w:bookmarkEnd w:id="56"/>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39"/>
        <w:spacing w:after="0" w:line="292" w:lineRule="auto"/>
        <w:rPr>
          <w:sz w:val="20"/>
          <w:szCs w:val="20"/>
          <w:color w:val="auto"/>
        </w:rPr>
      </w:pPr>
      <w:r>
        <w:rPr>
          <w:rFonts w:ascii="Arial" w:cs="Arial" w:eastAsia="Arial" w:hAnsi="Arial"/>
          <w:sz w:val="19"/>
          <w:szCs w:val="19"/>
          <w:color w:val="auto"/>
        </w:rPr>
        <w:t>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51" w:lineRule="exact"/>
        <w:rPr>
          <w:sz w:val="20"/>
          <w:szCs w:val="20"/>
          <w:color w:val="auto"/>
        </w:rPr>
      </w:pPr>
    </w:p>
    <w:p>
      <w:pPr>
        <w:ind w:left="200" w:right="219" w:firstLine="1953"/>
        <w:spacing w:after="0" w:line="285" w:lineRule="auto"/>
        <w:tabs>
          <w:tab w:leader="none" w:pos="2792"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 xml:space="preserve">For nominations or other business to be properly brought before an annual meeting by a stockholder pursuant to clause (iii) of Section 5(a) of these Bylaws, the stockholder must have given timely notice thereof in writing to the Secretary at the principal executive offices of the corporation. To be timely, a stockholder’s notice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subject to the last sentence of this Section 5(b)(3),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200" w:lineRule="exact"/>
        <w:rPr>
          <w:rFonts w:ascii="Arial" w:cs="Arial" w:eastAsia="Arial" w:hAnsi="Arial"/>
          <w:sz w:val="19"/>
          <w:szCs w:val="19"/>
          <w:b w:val="1"/>
          <w:bCs w:val="1"/>
          <w:color w:val="auto"/>
        </w:rPr>
      </w:pPr>
    </w:p>
    <w:p>
      <w:pPr>
        <w:spacing w:after="0" w:line="225" w:lineRule="exact"/>
        <w:rPr>
          <w:rFonts w:ascii="Arial" w:cs="Arial" w:eastAsia="Arial" w:hAnsi="Arial"/>
          <w:sz w:val="19"/>
          <w:szCs w:val="19"/>
          <w:b w:val="1"/>
          <w:bCs w:val="1"/>
          <w:color w:val="auto"/>
        </w:rPr>
      </w:pPr>
    </w:p>
    <w:p>
      <w:pPr>
        <w:ind w:left="200" w:right="219" w:firstLine="1953"/>
        <w:spacing w:after="0" w:line="282" w:lineRule="auto"/>
        <w:tabs>
          <w:tab w:leader="none" w:pos="2792"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Arial" w:cs="Arial" w:eastAsia="Arial" w:hAnsi="Arial"/>
          <w:sz w:val="19"/>
          <w:szCs w:val="19"/>
          <w:b w:val="1"/>
          <w:bCs w:val="1"/>
          <w:i w:val="1"/>
          <w:iCs w:val="1"/>
          <w:color w:val="auto"/>
        </w:rPr>
        <w:t>Proponent</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Proponents</w:t>
      </w:r>
      <w:r>
        <w:rPr>
          <w:rFonts w:ascii="Arial" w:cs="Arial" w:eastAsia="Arial" w:hAnsi="Arial"/>
          <w:sz w:val="19"/>
          <w:szCs w:val="19"/>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w:t>
      </w:r>
    </w:p>
    <w:p>
      <w:pPr>
        <w:spacing w:after="0" w:line="14" w:lineRule="exact"/>
        <w:rPr>
          <w:rFonts w:ascii="Arial" w:cs="Arial" w:eastAsia="Arial" w:hAnsi="Arial"/>
          <w:sz w:val="19"/>
          <w:szCs w:val="19"/>
          <w:b w:val="1"/>
          <w:bCs w:val="1"/>
          <w:color w:val="auto"/>
        </w:rPr>
      </w:pPr>
    </w:p>
    <w:p>
      <w:pPr>
        <w:ind w:left="200" w:right="1079" w:firstLine="9"/>
        <w:spacing w:after="0" w:line="246" w:lineRule="auto"/>
        <w:tabs>
          <w:tab w:leader="none" w:pos="5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known by any Proponent, the name and address of any other stockholder supporting the proposal on the date of such</w:t>
      </w:r>
    </w:p>
    <w:p>
      <w:pPr>
        <w:sectPr>
          <w:pgSz w:w="11900" w:h="16838" w:orient="portrait"/>
          <w:cols w:equalWidth="0" w:num="1">
            <w:col w:w="9019"/>
          </w:cols>
          <w:pgMar w:left="1440" w:top="666" w:right="1440"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57" w:name="page58"/>
    <w:bookmarkEnd w:id="57"/>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419"/>
        <w:spacing w:after="0" w:line="250" w:lineRule="auto"/>
        <w:rPr>
          <w:sz w:val="20"/>
          <w:szCs w:val="20"/>
          <w:color w:val="auto"/>
        </w:rPr>
      </w:pPr>
      <w:r>
        <w:rPr>
          <w:rFonts w:ascii="Arial" w:cs="Arial" w:eastAsia="Arial" w:hAnsi="Arial"/>
          <w:sz w:val="22"/>
          <w:szCs w:val="22"/>
          <w:color w:val="auto"/>
        </w:rPr>
        <w:t>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88" w:lineRule="exact"/>
        <w:rPr>
          <w:sz w:val="20"/>
          <w:szCs w:val="20"/>
          <w:color w:val="auto"/>
        </w:rPr>
      </w:pPr>
    </w:p>
    <w:p>
      <w:pPr>
        <w:jc w:val="both"/>
        <w:ind w:left="200" w:right="239"/>
        <w:spacing w:after="0" w:line="253" w:lineRule="auto"/>
        <w:rPr>
          <w:sz w:val="20"/>
          <w:szCs w:val="20"/>
          <w:color w:val="auto"/>
        </w:rPr>
      </w:pPr>
      <w:r>
        <w:rPr>
          <w:rFonts w:ascii="Arial" w:cs="Arial" w:eastAsia="Arial" w:hAnsi="Arial"/>
          <w:sz w:val="22"/>
          <w:szCs w:val="22"/>
          <w:color w:val="auto"/>
        </w:rPr>
        <w:t>For purposes of Sections 5 and 6, a “</w:t>
      </w:r>
      <w:r>
        <w:rPr>
          <w:rFonts w:ascii="Arial" w:cs="Arial" w:eastAsia="Arial" w:hAnsi="Arial"/>
          <w:sz w:val="22"/>
          <w:szCs w:val="22"/>
          <w:b w:val="1"/>
          <w:bCs w:val="1"/>
          <w:i w:val="1"/>
          <w:iCs w:val="1"/>
          <w:color w:val="auto"/>
        </w:rPr>
        <w:t>Derivative Transaction</w:t>
      </w:r>
      <w:r>
        <w:rPr>
          <w:rFonts w:ascii="Arial" w:cs="Arial" w:eastAsia="Arial" w:hAnsi="Arial"/>
          <w:sz w:val="22"/>
          <w:szCs w:val="22"/>
          <w:color w:val="auto"/>
        </w:rPr>
        <w:t>” means any agreement, arrangement, interest or understanding entered into by, or on behalf or for the benefit of, any Proponent or any of its affiliates or associates, whether record or beneficial:</w:t>
      </w:r>
    </w:p>
    <w:p>
      <w:pPr>
        <w:spacing w:after="0" w:line="185" w:lineRule="exact"/>
        <w:rPr>
          <w:sz w:val="20"/>
          <w:szCs w:val="20"/>
          <w:color w:val="auto"/>
        </w:rPr>
      </w:pPr>
    </w:p>
    <w:p>
      <w:pPr>
        <w:ind w:left="200" w:right="259" w:firstLine="657"/>
        <w:spacing w:after="0" w:line="263" w:lineRule="auto"/>
        <w:tabs>
          <w:tab w:leader="none" w:pos="120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value of which is derived in whole or in part from the value of any class or series of shares or other securities of the corporation,</w:t>
      </w:r>
    </w:p>
    <w:p>
      <w:pPr>
        <w:spacing w:after="0" w:line="174" w:lineRule="exact"/>
        <w:rPr>
          <w:rFonts w:ascii="Arial" w:cs="Arial" w:eastAsia="Arial" w:hAnsi="Arial"/>
          <w:sz w:val="22"/>
          <w:szCs w:val="22"/>
          <w:color w:val="auto"/>
        </w:rPr>
      </w:pPr>
    </w:p>
    <w:p>
      <w:pPr>
        <w:ind w:left="200" w:right="319" w:firstLine="657"/>
        <w:spacing w:after="0" w:line="263" w:lineRule="auto"/>
        <w:tabs>
          <w:tab w:leader="none" w:pos="1154" w:val="left"/>
        </w:tabs>
        <w:numPr>
          <w:ilvl w:val="0"/>
          <w:numId w:val="51"/>
        </w:numPr>
        <w:rPr>
          <w:rFonts w:ascii="Arial" w:cs="Arial" w:eastAsia="Arial" w:hAnsi="Arial"/>
          <w:sz w:val="22"/>
          <w:szCs w:val="22"/>
          <w:color w:val="auto"/>
        </w:rPr>
      </w:pPr>
      <w:r>
        <w:rPr>
          <w:rFonts w:ascii="Arial" w:cs="Arial" w:eastAsia="Arial" w:hAnsi="Arial"/>
          <w:sz w:val="22"/>
          <w:szCs w:val="22"/>
          <w:color w:val="auto"/>
        </w:rPr>
        <w:t>which otherwise provides any direct or indirect opportunity to gain or share in any gain derived from a change in the value of securities of the corporation,</w:t>
      </w:r>
    </w:p>
    <w:p>
      <w:pPr>
        <w:spacing w:after="0" w:line="174" w:lineRule="exact"/>
        <w:rPr>
          <w:rFonts w:ascii="Arial" w:cs="Arial" w:eastAsia="Arial" w:hAnsi="Arial"/>
          <w:sz w:val="22"/>
          <w:szCs w:val="22"/>
          <w:color w:val="auto"/>
        </w:rPr>
      </w:pPr>
    </w:p>
    <w:p>
      <w:pPr>
        <w:ind w:left="200" w:right="339" w:firstLine="657"/>
        <w:spacing w:after="0" w:line="263" w:lineRule="auto"/>
        <w:tabs>
          <w:tab w:leader="none" w:pos="1154"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effect or intent of which is to mitigate loss, manage risk or benefit of security value or price changes, or</w:t>
      </w:r>
    </w:p>
    <w:p>
      <w:pPr>
        <w:spacing w:after="0" w:line="174" w:lineRule="exact"/>
        <w:rPr>
          <w:rFonts w:ascii="Arial" w:cs="Arial" w:eastAsia="Arial" w:hAnsi="Arial"/>
          <w:sz w:val="22"/>
          <w:szCs w:val="22"/>
          <w:color w:val="auto"/>
        </w:rPr>
      </w:pPr>
    </w:p>
    <w:p>
      <w:pPr>
        <w:ind w:left="200" w:right="539" w:firstLine="657"/>
        <w:spacing w:after="0" w:line="343" w:lineRule="auto"/>
        <w:tabs>
          <w:tab w:leader="none" w:pos="1142" w:val="left"/>
        </w:tabs>
        <w:numPr>
          <w:ilvl w:val="0"/>
          <w:numId w:val="51"/>
        </w:numPr>
        <w:rPr>
          <w:rFonts w:ascii="Arial" w:cs="Arial" w:eastAsia="Arial" w:hAnsi="Arial"/>
          <w:sz w:val="19"/>
          <w:szCs w:val="19"/>
          <w:color w:val="auto"/>
        </w:rPr>
      </w:pPr>
      <w:r>
        <w:rPr>
          <w:rFonts w:ascii="Arial" w:cs="Arial" w:eastAsia="Arial" w:hAnsi="Arial"/>
          <w:sz w:val="19"/>
          <w:szCs w:val="19"/>
          <w:color w:val="auto"/>
        </w:rPr>
        <w:t>which provides the right to vote or increase or decrease the voting power of, such Proponent, or any of its affiliates or associates, with respect to any securities of the corporation,</w:t>
      </w:r>
    </w:p>
    <w:p>
      <w:pPr>
        <w:spacing w:after="0" w:line="104" w:lineRule="exact"/>
        <w:rPr>
          <w:sz w:val="20"/>
          <w:szCs w:val="20"/>
          <w:color w:val="auto"/>
        </w:rPr>
      </w:pPr>
    </w:p>
    <w:p>
      <w:pPr>
        <w:ind w:left="200" w:right="219"/>
        <w:spacing w:after="0" w:line="259" w:lineRule="auto"/>
        <w:rPr>
          <w:sz w:val="20"/>
          <w:szCs w:val="20"/>
          <w:color w:val="auto"/>
        </w:rPr>
      </w:pPr>
      <w:r>
        <w:rPr>
          <w:rFonts w:ascii="Arial" w:cs="Arial" w:eastAsia="Arial" w:hAnsi="Arial"/>
          <w:sz w:val="21"/>
          <w:szCs w:val="21"/>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224" w:lineRule="exact"/>
        <w:rPr>
          <w:sz w:val="20"/>
          <w:szCs w:val="20"/>
          <w:color w:val="auto"/>
        </w:rPr>
      </w:pPr>
    </w:p>
    <w:p>
      <w:pPr>
        <w:ind w:left="200" w:right="239" w:firstLine="1305"/>
        <w:spacing w:after="0" w:line="286" w:lineRule="auto"/>
        <w:tabs>
          <w:tab w:leader="none" w:pos="2144" w:val="left"/>
        </w:tabs>
        <w:numPr>
          <w:ilvl w:val="0"/>
          <w:numId w:val="52"/>
        </w:numPr>
        <w:rPr>
          <w:rFonts w:ascii="Arial" w:cs="Arial" w:eastAsia="Arial" w:hAnsi="Arial"/>
          <w:sz w:val="19"/>
          <w:szCs w:val="19"/>
          <w:b w:val="1"/>
          <w:bCs w:val="1"/>
          <w:color w:val="auto"/>
        </w:rPr>
      </w:pPr>
      <w:r>
        <w:rPr>
          <w:rFonts w:ascii="Arial" w:cs="Arial" w:eastAsia="Arial" w:hAnsi="Arial"/>
          <w:sz w:val="19"/>
          <w:szCs w:val="19"/>
          <w:color w:val="auto"/>
        </w:rPr>
        <w:t>A stockholder providing notice of a proposed nomination for election to the Board of Directors or other business proposed to be brought before an annual meeting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58" w:name="page59"/>
    <w:bookmarkEnd w:id="58"/>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39" w:firstLine="1305"/>
        <w:spacing w:after="0" w:line="288" w:lineRule="auto"/>
        <w:tabs>
          <w:tab w:leader="none" w:pos="2144"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Notwithstanding anything in Section 5(b)(3) to the contrary, in the event that the number of directors of the Board of Directors of the corporation is increased and there is no public announcement of the appointment of a director, or, if no appointment was made, of the vacancy, made by the corporation at least 10 days before the last day a stockholder may deliver a notice of nomination in accordance with Section 5(b)(3), a stockholder’s notice required by this Section 5 and which complies with the requirements in Section 5(b), other than the timing requirements in Section 5(b)(3),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w:t>
      </w:r>
    </w:p>
    <w:p>
      <w:pPr>
        <w:spacing w:after="0" w:line="159" w:lineRule="exact"/>
        <w:rPr>
          <w:rFonts w:ascii="Arial" w:cs="Arial" w:eastAsia="Arial" w:hAnsi="Arial"/>
          <w:sz w:val="19"/>
          <w:szCs w:val="19"/>
          <w:b w:val="1"/>
          <w:bCs w:val="1"/>
          <w:color w:val="auto"/>
        </w:rPr>
      </w:pPr>
    </w:p>
    <w:p>
      <w:pPr>
        <w:ind w:left="200" w:right="299" w:firstLine="1305"/>
        <w:spacing w:after="0" w:line="258" w:lineRule="auto"/>
        <w:tabs>
          <w:tab w:leader="none" w:pos="2144" w:val="left"/>
        </w:tabs>
        <w:numPr>
          <w:ilvl w:val="0"/>
          <w:numId w:val="53"/>
        </w:numPr>
        <w:rPr>
          <w:rFonts w:ascii="Arial" w:cs="Arial" w:eastAsia="Arial" w:hAnsi="Arial"/>
          <w:sz w:val="21"/>
          <w:szCs w:val="21"/>
          <w:b w:val="1"/>
          <w:bCs w:val="1"/>
          <w:color w:val="auto"/>
        </w:rPr>
      </w:pPr>
      <w:r>
        <w:rPr>
          <w:rFonts w:ascii="Arial" w:cs="Arial" w:eastAsia="Arial" w:hAnsi="Arial"/>
          <w:sz w:val="21"/>
          <w:szCs w:val="21"/>
          <w:color w:val="auto"/>
        </w:rPr>
        <w:t>A person shall not be eligible for election or re-election as a director unless the person is nominated either in accordance with clause (ii) 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1" w:lineRule="exact"/>
        <w:rPr>
          <w:rFonts w:ascii="Arial" w:cs="Arial" w:eastAsia="Arial" w:hAnsi="Arial"/>
          <w:sz w:val="21"/>
          <w:szCs w:val="21"/>
          <w:b w:val="1"/>
          <w:bCs w:val="1"/>
          <w:color w:val="auto"/>
        </w:rPr>
      </w:pPr>
    </w:p>
    <w:p>
      <w:pPr>
        <w:ind w:left="200" w:right="339" w:firstLine="1305"/>
        <w:spacing w:after="0" w:line="289" w:lineRule="auto"/>
        <w:tabs>
          <w:tab w:leader="none" w:pos="2144"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56" w:lineRule="exact"/>
        <w:rPr>
          <w:rFonts w:ascii="Arial" w:cs="Arial" w:eastAsia="Arial" w:hAnsi="Arial"/>
          <w:sz w:val="19"/>
          <w:szCs w:val="19"/>
          <w:b w:val="1"/>
          <w:bCs w:val="1"/>
          <w:color w:val="auto"/>
        </w:rPr>
      </w:pPr>
    </w:p>
    <w:p>
      <w:pPr>
        <w:ind w:left="2160" w:hanging="655"/>
        <w:spacing w:after="0"/>
        <w:tabs>
          <w:tab w:leader="none" w:pos="216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For purposes of Sections 5 and 6,</w:t>
      </w:r>
    </w:p>
    <w:p>
      <w:pPr>
        <w:spacing w:after="0" w:line="219" w:lineRule="exact"/>
        <w:rPr>
          <w:rFonts w:ascii="Arial" w:cs="Arial" w:eastAsia="Arial" w:hAnsi="Arial"/>
          <w:sz w:val="22"/>
          <w:szCs w:val="22"/>
          <w:b w:val="1"/>
          <w:bCs w:val="1"/>
          <w:color w:val="auto"/>
        </w:rPr>
      </w:pPr>
    </w:p>
    <w:p>
      <w:pPr>
        <w:ind w:left="200" w:right="239" w:firstLine="1953"/>
        <w:spacing w:after="0" w:line="265" w:lineRule="auto"/>
        <w:tabs>
          <w:tab w:leader="none" w:pos="2792" w:val="left"/>
        </w:tabs>
        <w:numPr>
          <w:ilvl w:val="1"/>
          <w:numId w:val="5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public announcement</w:t>
      </w:r>
      <w:r>
        <w:rPr>
          <w:rFonts w:ascii="Arial" w:cs="Arial" w:eastAsia="Arial" w:hAnsi="Arial"/>
          <w:sz w:val="21"/>
          <w:szCs w:val="21"/>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75" w:lineRule="exact"/>
        <w:rPr>
          <w:rFonts w:ascii="Arial" w:cs="Arial" w:eastAsia="Arial" w:hAnsi="Arial"/>
          <w:sz w:val="21"/>
          <w:szCs w:val="21"/>
          <w:b w:val="1"/>
          <w:bCs w:val="1"/>
          <w:color w:val="auto"/>
        </w:rPr>
      </w:pPr>
    </w:p>
    <w:p>
      <w:pPr>
        <w:ind w:left="2800" w:hanging="647"/>
        <w:spacing w:after="0"/>
        <w:tabs>
          <w:tab w:leader="none" w:pos="2800"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affiliates</w:t>
      </w:r>
      <w:r>
        <w:rPr>
          <w:rFonts w:ascii="Arial" w:cs="Arial" w:eastAsia="Arial" w:hAnsi="Arial"/>
          <w:sz w:val="19"/>
          <w:szCs w:val="19"/>
          <w:color w:val="auto"/>
        </w:rPr>
        <w:t>” and “</w:t>
      </w:r>
      <w:r>
        <w:rPr>
          <w:rFonts w:ascii="Arial" w:cs="Arial" w:eastAsia="Arial" w:hAnsi="Arial"/>
          <w:sz w:val="19"/>
          <w:szCs w:val="19"/>
          <w:b w:val="1"/>
          <w:bCs w:val="1"/>
          <w:i w:val="1"/>
          <w:iCs w:val="1"/>
          <w:color w:val="auto"/>
        </w:rPr>
        <w:t>associates</w:t>
      </w:r>
      <w:r>
        <w:rPr>
          <w:rFonts w:ascii="Arial" w:cs="Arial" w:eastAsia="Arial" w:hAnsi="Arial"/>
          <w:sz w:val="19"/>
          <w:szCs w:val="19"/>
          <w:color w:val="auto"/>
        </w:rPr>
        <w:t>” shall have the meanings set forth in</w:t>
      </w:r>
    </w:p>
    <w:p>
      <w:pPr>
        <w:spacing w:after="0" w:line="55" w:lineRule="exact"/>
        <w:rPr>
          <w:rFonts w:ascii="Arial" w:cs="Arial" w:eastAsia="Arial" w:hAnsi="Arial"/>
          <w:sz w:val="19"/>
          <w:szCs w:val="19"/>
          <w:b w:val="1"/>
          <w:bCs w:val="1"/>
          <w:color w:val="auto"/>
        </w:rPr>
      </w:pPr>
    </w:p>
    <w:p>
      <w:pPr>
        <w:ind w:left="200"/>
        <w:spacing w:after="0"/>
        <w:rPr>
          <w:rFonts w:ascii="Arial" w:cs="Arial" w:eastAsia="Arial" w:hAnsi="Arial"/>
          <w:sz w:val="19"/>
          <w:szCs w:val="19"/>
          <w:b w:val="1"/>
          <w:bCs w:val="1"/>
          <w:color w:val="auto"/>
        </w:rPr>
      </w:pPr>
      <w:r>
        <w:rPr>
          <w:rFonts w:ascii="Arial" w:cs="Arial" w:eastAsia="Arial" w:hAnsi="Arial"/>
          <w:sz w:val="22"/>
          <w:szCs w:val="22"/>
          <w:color w:val="auto"/>
        </w:rPr>
        <w:t>Rule 405 under the Securities Act of 1933, as amended (the “</w:t>
      </w:r>
      <w:r>
        <w:rPr>
          <w:rFonts w:ascii="Arial" w:cs="Arial" w:eastAsia="Arial" w:hAnsi="Arial"/>
          <w:sz w:val="22"/>
          <w:szCs w:val="22"/>
          <w:b w:val="1"/>
          <w:bCs w:val="1"/>
          <w:i w:val="1"/>
          <w:iCs w:val="1"/>
          <w:color w:val="auto"/>
        </w:rPr>
        <w:t>1933 Act</w:t>
      </w:r>
      <w:r>
        <w:rPr>
          <w:rFonts w:ascii="Arial" w:cs="Arial" w:eastAsia="Arial" w:hAnsi="Arial"/>
          <w:sz w:val="22"/>
          <w:szCs w:val="22"/>
          <w:color w:val="auto"/>
        </w:rPr>
        <w:t>”).</w:t>
      </w:r>
    </w:p>
    <w:p>
      <w:pPr>
        <w:spacing w:after="0" w:line="201" w:lineRule="exact"/>
        <w:rPr>
          <w:rFonts w:ascii="Arial" w:cs="Arial" w:eastAsia="Arial" w:hAnsi="Arial"/>
          <w:sz w:val="19"/>
          <w:szCs w:val="19"/>
          <w:b w:val="1"/>
          <w:bCs w:val="1"/>
          <w:color w:val="auto"/>
        </w:rPr>
      </w:pPr>
    </w:p>
    <w:p>
      <w:pPr>
        <w:ind w:left="200" w:right="379" w:firstLine="1305"/>
        <w:spacing w:after="0" w:line="312" w:lineRule="auto"/>
        <w:tabs>
          <w:tab w:leader="none" w:pos="2144"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To be eligible as a nominee for election as a director of the corporation, the proposed nominee must deliver (in accordance with the time periods prescribed for delivery of notice under Section 5(b)(3)) to the Secretary at the principal executive offices of the</w:t>
      </w:r>
    </w:p>
    <w:p>
      <w:pPr>
        <w:sectPr>
          <w:pgSz w:w="11900" w:h="16838" w:orient="portrait"/>
          <w:cols w:equalWidth="0" w:num="1">
            <w:col w:w="9019"/>
          </w:cols>
          <w:pgMar w:left="1440" w:top="666" w:right="1440"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59" w:name="page60"/>
    <w:bookmarkEnd w:id="59"/>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39"/>
        <w:spacing w:after="0" w:line="284" w:lineRule="auto"/>
        <w:rPr>
          <w:sz w:val="20"/>
          <w:szCs w:val="20"/>
          <w:color w:val="auto"/>
        </w:rPr>
      </w:pPr>
      <w:r>
        <w:rPr>
          <w:rFonts w:ascii="Arial" w:cs="Arial" w:eastAsia="Arial" w:hAnsi="Arial"/>
          <w:sz w:val="19"/>
          <w:szCs w:val="19"/>
          <w:color w:val="auto"/>
        </w:rPr>
        <w:t>corporation a written and completed questionnaire (which questionnaire shall be provided by the Secretary upon written request) and a written agreement, representing, warranting and covenanting (in the form provided by the Secretary upon written request) that such proposed nominee (A) is not and will not become a party to (1) any agreement, arrangement or understanding with, and has not given any commitment or assurance to, any person or entity as to how such proposed nominee, if elected as a director of the corporation, will act or vote on any issue or question (a “</w:t>
      </w:r>
      <w:r>
        <w:rPr>
          <w:rFonts w:ascii="Arial" w:cs="Arial" w:eastAsia="Arial" w:hAnsi="Arial"/>
          <w:sz w:val="19"/>
          <w:szCs w:val="19"/>
          <w:b w:val="1"/>
          <w:bCs w:val="1"/>
          <w:i w:val="1"/>
          <w:iCs w:val="1"/>
          <w:color w:val="auto"/>
        </w:rPr>
        <w:t>Voting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Commitment</w:t>
      </w:r>
      <w:r>
        <w:rPr>
          <w:rFonts w:ascii="Arial" w:cs="Arial" w:eastAsia="Arial" w:hAnsi="Arial"/>
          <w:sz w:val="19"/>
          <w:szCs w:val="19"/>
          <w:color w:val="auto"/>
        </w:rPr>
        <w:t>”) that has not been disclosed to the corporation or (2) any Voting Commitment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with, if elected as a director of the corporation, and will comply with applicable publicly disclosed corporate governance, conflict of interest, confidentiality and stock ownership and trading policies and guidelines of the corporation. In addition, the corporation may require any proposed nominee to furnish, in each case within five (5) business days of the corporation’s request, such other information as the corporation may reasonably request, including without limitation, (X) as may reasonably be required by the corporation to determine the qualifications of such proposed nominee to serve as a director of the corporation, (Y) as may reasonably be required by the corporation to determine the eligibility of such proposed nominee to serve as an independent director of the corporation in accordance with the corporation’s corporate governance guidelines or (Z) that could be material to a reasonable stockholder’s understanding of the qualifications of such proposed nominee to serve as a director of the corporation or the independence, or lack thereof, of such proposed nominee.</w:t>
      </w:r>
    </w:p>
    <w:p>
      <w:pPr>
        <w:spacing w:after="0" w:line="161"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Special Meetings.</w:t>
      </w:r>
    </w:p>
    <w:p>
      <w:pPr>
        <w:spacing w:after="0" w:line="226" w:lineRule="exact"/>
        <w:rPr>
          <w:sz w:val="20"/>
          <w:szCs w:val="20"/>
          <w:color w:val="auto"/>
        </w:rPr>
      </w:pPr>
    </w:p>
    <w:p>
      <w:pPr>
        <w:ind w:left="200" w:right="379" w:firstLine="1305"/>
        <w:spacing w:after="0" w:line="294" w:lineRule="auto"/>
        <w:tabs>
          <w:tab w:leader="none" w:pos="2144"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49" w:lineRule="exact"/>
        <w:rPr>
          <w:rFonts w:ascii="Arial" w:cs="Arial" w:eastAsia="Arial" w:hAnsi="Arial"/>
          <w:sz w:val="19"/>
          <w:szCs w:val="19"/>
          <w:b w:val="1"/>
          <w:bCs w:val="1"/>
          <w:color w:val="auto"/>
        </w:rPr>
      </w:pPr>
    </w:p>
    <w:p>
      <w:pPr>
        <w:ind w:left="200" w:right="219" w:firstLine="1305"/>
        <w:spacing w:after="0" w:line="248" w:lineRule="auto"/>
        <w:tabs>
          <w:tab w:leader="none" w:pos="2144"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191" w:lineRule="exact"/>
        <w:rPr>
          <w:rFonts w:ascii="Arial" w:cs="Arial" w:eastAsia="Arial" w:hAnsi="Arial"/>
          <w:sz w:val="22"/>
          <w:szCs w:val="22"/>
          <w:b w:val="1"/>
          <w:bCs w:val="1"/>
          <w:color w:val="auto"/>
        </w:rPr>
      </w:pPr>
    </w:p>
    <w:p>
      <w:pPr>
        <w:jc w:val="both"/>
        <w:ind w:left="200" w:right="299" w:firstLine="1305"/>
        <w:spacing w:after="0" w:line="297" w:lineRule="auto"/>
        <w:tabs>
          <w:tab w:leader="none" w:pos="2144"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and at the date of the meeting, who shall be entitled to vote at the meeting and who complies with the procedures</w:t>
      </w:r>
    </w:p>
    <w:p>
      <w:pPr>
        <w:sectPr>
          <w:pgSz w:w="11900" w:h="16838" w:orient="portrait"/>
          <w:cols w:equalWidth="0" w:num="1">
            <w:col w:w="9019"/>
          </w:cols>
          <w:pgMar w:left="1440" w:top="666" w:right="1440"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0" w:name="page61"/>
    <w:bookmarkEnd w:id="60"/>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59"/>
        <w:spacing w:after="0" w:line="287" w:lineRule="auto"/>
        <w:rPr>
          <w:sz w:val="20"/>
          <w:szCs w:val="20"/>
          <w:color w:val="auto"/>
        </w:rPr>
      </w:pPr>
      <w:r>
        <w:rPr>
          <w:rFonts w:ascii="Arial" w:cs="Arial" w:eastAsia="Arial" w:hAnsi="Arial"/>
          <w:sz w:val="19"/>
          <w:szCs w:val="19"/>
          <w:color w:val="auto"/>
        </w:rPr>
        <w:t>set forth in Section 5 and this paragraph.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200" w:lineRule="exact"/>
        <w:rPr>
          <w:sz w:val="20"/>
          <w:szCs w:val="20"/>
          <w:color w:val="auto"/>
        </w:rPr>
      </w:pPr>
    </w:p>
    <w:p>
      <w:pPr>
        <w:spacing w:after="0" w:line="215" w:lineRule="exact"/>
        <w:rPr>
          <w:sz w:val="20"/>
          <w:szCs w:val="20"/>
          <w:color w:val="auto"/>
        </w:rPr>
      </w:pPr>
    </w:p>
    <w:p>
      <w:pPr>
        <w:ind w:left="200" w:right="219" w:firstLine="1305"/>
        <w:spacing w:after="0" w:line="290" w:lineRule="auto"/>
        <w:tabs>
          <w:tab w:leader="none" w:pos="2144"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references in these Bylaws to the 1934 Act or the rules and regulations thereunder are not intended to and shall not limit the requirements applicable to nominations for the election to the Board of Directors to be considered pursuant to Section 6(c) of these Bylaws.</w:t>
      </w:r>
    </w:p>
    <w:p>
      <w:pPr>
        <w:spacing w:after="0" w:line="150" w:lineRule="exact"/>
        <w:rPr>
          <w:sz w:val="20"/>
          <w:szCs w:val="20"/>
          <w:color w:val="auto"/>
        </w:rPr>
      </w:pPr>
    </w:p>
    <w:p>
      <w:pPr>
        <w:ind w:left="200" w:right="239" w:firstLine="648"/>
        <w:spacing w:after="0" w:line="286" w:lineRule="auto"/>
        <w:rPr>
          <w:sz w:val="20"/>
          <w:szCs w:val="20"/>
          <w:color w:val="auto"/>
        </w:rPr>
      </w:pPr>
      <w:r>
        <w:rPr>
          <w:rFonts w:ascii="Arial" w:cs="Arial" w:eastAsia="Arial" w:hAnsi="Arial"/>
          <w:sz w:val="19"/>
          <w:szCs w:val="19"/>
          <w:b w:val="1"/>
          <w:bCs w:val="1"/>
          <w:color w:val="auto"/>
        </w:rPr>
        <w:t xml:space="preserve">Section 7. Notice Of Meetings. </w:t>
      </w:r>
      <w:r>
        <w:rPr>
          <w:rFonts w:ascii="Arial" w:cs="Arial" w:eastAsia="Arial" w:hAnsi="Arial"/>
          <w:sz w:val="19"/>
          <w:szCs w:val="19"/>
          <w:color w:val="auto"/>
        </w:rPr>
        <w:t>Except as otherwise provided by law, notice, given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4" w:lineRule="exact"/>
        <w:rPr>
          <w:sz w:val="20"/>
          <w:szCs w:val="20"/>
          <w:color w:val="auto"/>
        </w:rPr>
      </w:pPr>
    </w:p>
    <w:p>
      <w:pPr>
        <w:ind w:left="200" w:right="299" w:firstLine="648"/>
        <w:spacing w:after="0" w:line="298" w:lineRule="auto"/>
        <w:rPr>
          <w:sz w:val="20"/>
          <w:szCs w:val="20"/>
          <w:color w:val="auto"/>
        </w:rPr>
      </w:pPr>
      <w:r>
        <w:rPr>
          <w:rFonts w:ascii="Arial" w:cs="Arial" w:eastAsia="Arial" w:hAnsi="Arial"/>
          <w:sz w:val="19"/>
          <w:szCs w:val="19"/>
          <w:b w:val="1"/>
          <w:bCs w:val="1"/>
          <w:color w:val="auto"/>
        </w:rPr>
        <w:t xml:space="preserve">Section 8. Quorum. </w:t>
      </w:r>
      <w:r>
        <w:rPr>
          <w:rFonts w:ascii="Arial" w:cs="Arial" w:eastAsia="Arial" w:hAnsi="Arial"/>
          <w:sz w:val="19"/>
          <w:szCs w:val="19"/>
          <w:color w:val="auto"/>
        </w:rPr>
        <w:t>At all meetings of stockholders, except where otherwise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by statute or by the Certificate of Incorporation, or by 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w:t>
      </w:r>
    </w:p>
    <w:p>
      <w:pPr>
        <w:sectPr>
          <w:pgSz w:w="11900" w:h="16838" w:orient="portrait"/>
          <w:cols w:equalWidth="0" w:num="1">
            <w:col w:w="9019"/>
          </w:cols>
          <w:pgMar w:left="1440" w:top="666" w:right="1440"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1" w:name="page62"/>
    <w:bookmarkEnd w:id="61"/>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79"/>
        <w:spacing w:after="0" w:line="284" w:lineRule="auto"/>
        <w:rPr>
          <w:sz w:val="20"/>
          <w:szCs w:val="20"/>
          <w:color w:val="auto"/>
        </w:rPr>
      </w:pPr>
      <w:r>
        <w:rPr>
          <w:rFonts w:ascii="Arial" w:cs="Arial" w:eastAsia="Arial" w:hAnsi="Arial"/>
          <w:sz w:val="19"/>
          <w:szCs w:val="19"/>
          <w:color w:val="auto"/>
        </w:rPr>
        <w:t>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200" w:lineRule="exact"/>
        <w:rPr>
          <w:sz w:val="20"/>
          <w:szCs w:val="20"/>
          <w:color w:val="auto"/>
        </w:rPr>
      </w:pPr>
    </w:p>
    <w:p>
      <w:pPr>
        <w:spacing w:after="0" w:line="226" w:lineRule="exact"/>
        <w:rPr>
          <w:sz w:val="20"/>
          <w:szCs w:val="20"/>
          <w:color w:val="auto"/>
        </w:rPr>
      </w:pPr>
    </w:p>
    <w:p>
      <w:pPr>
        <w:ind w:left="200" w:right="299" w:firstLine="648"/>
        <w:spacing w:after="0" w:line="289" w:lineRule="auto"/>
        <w:rPr>
          <w:sz w:val="20"/>
          <w:szCs w:val="20"/>
          <w:color w:val="auto"/>
        </w:rPr>
      </w:pPr>
      <w:r>
        <w:rPr>
          <w:rFonts w:ascii="Arial" w:cs="Arial" w:eastAsia="Arial" w:hAnsi="Arial"/>
          <w:sz w:val="19"/>
          <w:szCs w:val="19"/>
          <w:b w:val="1"/>
          <w:bCs w:val="1"/>
          <w:color w:val="auto"/>
        </w:rPr>
        <w:t xml:space="preserve">Section 9. Adjournment And Notice Of Adjourned Meetings. </w:t>
      </w:r>
      <w:r>
        <w:rPr>
          <w:rFonts w:ascii="Arial" w:cs="Arial" w:eastAsia="Arial" w:hAnsi="Arial"/>
          <w:sz w:val="19"/>
          <w:szCs w:val="19"/>
          <w:color w:val="auto"/>
        </w:rPr>
        <w:t>Any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whether annual or special, may be adjourned 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50" w:lineRule="exact"/>
        <w:rPr>
          <w:sz w:val="20"/>
          <w:szCs w:val="20"/>
          <w:color w:val="auto"/>
        </w:rPr>
      </w:pPr>
    </w:p>
    <w:p>
      <w:pPr>
        <w:ind w:left="200" w:right="219" w:firstLine="648"/>
        <w:spacing w:after="0" w:line="291" w:lineRule="auto"/>
        <w:rPr>
          <w:sz w:val="20"/>
          <w:szCs w:val="20"/>
          <w:color w:val="auto"/>
        </w:rPr>
      </w:pPr>
      <w:r>
        <w:rPr>
          <w:rFonts w:ascii="Arial" w:cs="Arial" w:eastAsia="Arial" w:hAnsi="Arial"/>
          <w:sz w:val="19"/>
          <w:szCs w:val="19"/>
          <w:b w:val="1"/>
          <w:bCs w:val="1"/>
          <w:color w:val="auto"/>
        </w:rPr>
        <w:t xml:space="preserve">Section 10. Voting Rights. </w:t>
      </w:r>
      <w:r>
        <w:rPr>
          <w:rFonts w:ascii="Arial" w:cs="Arial" w:eastAsia="Arial" w:hAnsi="Arial"/>
          <w:sz w:val="19"/>
          <w:szCs w:val="19"/>
          <w:color w:val="auto"/>
        </w:rPr>
        <w:t>For the purpose of determining those stockholders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vote at any meeting of the stockholders, except as 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49" w:lineRule="exact"/>
        <w:rPr>
          <w:sz w:val="20"/>
          <w:szCs w:val="20"/>
          <w:color w:val="auto"/>
        </w:rPr>
      </w:pPr>
    </w:p>
    <w:p>
      <w:pPr>
        <w:ind w:left="200" w:right="339" w:firstLine="648"/>
        <w:spacing w:after="0" w:line="304" w:lineRule="auto"/>
        <w:rPr>
          <w:sz w:val="20"/>
          <w:szCs w:val="20"/>
          <w:color w:val="auto"/>
        </w:rPr>
      </w:pPr>
      <w:r>
        <w:rPr>
          <w:rFonts w:ascii="Arial" w:cs="Arial" w:eastAsia="Arial" w:hAnsi="Arial"/>
          <w:sz w:val="19"/>
          <w:szCs w:val="19"/>
          <w:b w:val="1"/>
          <w:bCs w:val="1"/>
          <w:color w:val="auto"/>
        </w:rPr>
        <w:t xml:space="preserve">Section 11. Joint Owners Of Stock. </w:t>
      </w:r>
      <w:r>
        <w:rPr>
          <w:rFonts w:ascii="Arial" w:cs="Arial" w:eastAsia="Arial" w:hAnsi="Arial"/>
          <w:sz w:val="19"/>
          <w:szCs w:val="19"/>
          <w:color w:val="auto"/>
        </w:rPr>
        <w:t>If shares or other securities having voting power</w:t>
      </w:r>
      <w:r>
        <w:rPr>
          <w:rFonts w:ascii="Arial" w:cs="Arial" w:eastAsia="Arial" w:hAnsi="Arial"/>
          <w:sz w:val="19"/>
          <w:szCs w:val="19"/>
          <w:b w:val="1"/>
          <w:bCs w:val="1"/>
          <w:color w:val="auto"/>
        </w:rPr>
        <w:t xml:space="preserve"> </w:t>
      </w:r>
      <w:r>
        <w:rPr>
          <w:rFonts w:ascii="Arial" w:cs="Arial" w:eastAsia="Arial" w:hAnsi="Arial"/>
          <w:sz w:val="19"/>
          <w:szCs w:val="19"/>
          <w:color w:val="auto"/>
        </w:rPr>
        <w:t>stand of record in the names of two (2) or more persons, whether fiduciaries, members of a partnership, joint tenants, tenants in common, tenants by the entirety, or otherwise, or if two (2) or more persons have the same fiduciary relationship respecting the same shares, unless the</w:t>
      </w:r>
    </w:p>
    <w:p>
      <w:pPr>
        <w:sectPr>
          <w:pgSz w:w="11900" w:h="16838" w:orient="portrait"/>
          <w:cols w:equalWidth="0" w:num="1">
            <w:col w:w="9019"/>
          </w:cols>
          <w:pgMar w:left="1440" w:top="666" w:right="1440"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2" w:name="page63"/>
    <w:bookmarkEnd w:id="62"/>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319"/>
        <w:spacing w:after="0" w:line="259" w:lineRule="auto"/>
        <w:rPr>
          <w:sz w:val="20"/>
          <w:szCs w:val="20"/>
          <w:color w:val="auto"/>
        </w:rPr>
      </w:pPr>
      <w:r>
        <w:rPr>
          <w:rFonts w:ascii="Arial" w:cs="Arial" w:eastAsia="Arial" w:hAnsi="Arial"/>
          <w:sz w:val="21"/>
          <w:szCs w:val="21"/>
          <w:color w:val="auto"/>
        </w:rPr>
        <w:t>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73"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 xml:space="preserve">List Of Stockholders. </w:t>
      </w:r>
      <w:r>
        <w:rPr>
          <w:rFonts w:ascii="Arial" w:cs="Arial" w:eastAsia="Arial" w:hAnsi="Arial"/>
          <w:sz w:val="19"/>
          <w:szCs w:val="19"/>
          <w:color w:val="auto"/>
        </w:rPr>
        <w:t>The Secretary shall prepare and make, at least ten</w:t>
      </w:r>
    </w:p>
    <w:p>
      <w:pPr>
        <w:spacing w:after="0" w:line="27" w:lineRule="exact"/>
        <w:rPr>
          <w:sz w:val="20"/>
          <w:szCs w:val="20"/>
          <w:color w:val="auto"/>
        </w:rPr>
      </w:pPr>
    </w:p>
    <w:p>
      <w:pPr>
        <w:ind w:left="200" w:right="319" w:firstLine="9"/>
        <w:spacing w:after="0" w:line="286" w:lineRule="auto"/>
        <w:tabs>
          <w:tab w:leader="none" w:pos="614" w:val="left"/>
        </w:tabs>
        <w:numPr>
          <w:ilvl w:val="0"/>
          <w:numId w:val="56"/>
        </w:numPr>
        <w:rPr>
          <w:rFonts w:ascii="Arial" w:cs="Arial" w:eastAsia="Arial" w:hAnsi="Arial"/>
          <w:sz w:val="19"/>
          <w:szCs w:val="19"/>
          <w:color w:val="auto"/>
        </w:rPr>
      </w:pPr>
      <w:r>
        <w:rPr>
          <w:rFonts w:ascii="Arial" w:cs="Arial" w:eastAsia="Arial" w:hAnsi="Arial"/>
          <w:sz w:val="19"/>
          <w:szCs w:val="19"/>
          <w:color w:val="auto"/>
        </w:rPr>
        <w:t>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53" w:lineRule="exact"/>
        <w:rPr>
          <w:sz w:val="20"/>
          <w:szCs w:val="20"/>
          <w:color w:val="auto"/>
        </w:rPr>
      </w:pPr>
    </w:p>
    <w:p>
      <w:pPr>
        <w:ind w:left="200" w:right="259" w:firstLine="648"/>
        <w:spacing w:after="0" w:line="315" w:lineRule="auto"/>
        <w:rPr>
          <w:sz w:val="20"/>
          <w:szCs w:val="20"/>
          <w:color w:val="auto"/>
        </w:rPr>
      </w:pPr>
      <w:r>
        <w:rPr>
          <w:rFonts w:ascii="Arial" w:cs="Arial" w:eastAsia="Arial" w:hAnsi="Arial"/>
          <w:sz w:val="19"/>
          <w:szCs w:val="19"/>
          <w:b w:val="1"/>
          <w:bCs w:val="1"/>
          <w:color w:val="auto"/>
        </w:rPr>
        <w:t xml:space="preserve">Section 13. Action Without Meeting. </w:t>
      </w:r>
      <w:r>
        <w:rPr>
          <w:rFonts w:ascii="Arial" w:cs="Arial" w:eastAsia="Arial" w:hAnsi="Arial"/>
          <w:sz w:val="19"/>
          <w:szCs w:val="19"/>
          <w:color w:val="auto"/>
        </w:rPr>
        <w:t>No action shall be taken by the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at an annual or special meeting of stockholders called in accordance with these Bylaws, and no action shall be taken by the stockholders by written consent or by electronic transmission.</w:t>
      </w:r>
    </w:p>
    <w:p>
      <w:pPr>
        <w:spacing w:after="0" w:line="125"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color w:val="auto"/>
        </w:rPr>
        <w:t>Organization.</w:t>
      </w:r>
    </w:p>
    <w:p>
      <w:pPr>
        <w:spacing w:after="0" w:line="226" w:lineRule="exact"/>
        <w:rPr>
          <w:sz w:val="20"/>
          <w:szCs w:val="20"/>
          <w:color w:val="auto"/>
        </w:rPr>
      </w:pPr>
    </w:p>
    <w:p>
      <w:pPr>
        <w:ind w:left="200" w:right="339" w:firstLine="1305"/>
        <w:spacing w:after="0" w:line="297" w:lineRule="auto"/>
        <w:tabs>
          <w:tab w:leader="none" w:pos="2144"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46" w:lineRule="exact"/>
        <w:rPr>
          <w:rFonts w:ascii="Arial" w:cs="Arial" w:eastAsia="Arial" w:hAnsi="Arial"/>
          <w:sz w:val="19"/>
          <w:szCs w:val="19"/>
          <w:b w:val="1"/>
          <w:bCs w:val="1"/>
          <w:color w:val="auto"/>
        </w:rPr>
      </w:pPr>
    </w:p>
    <w:p>
      <w:pPr>
        <w:ind w:left="200" w:right="319" w:firstLine="1305"/>
        <w:spacing w:after="0" w:line="287" w:lineRule="auto"/>
        <w:tabs>
          <w:tab w:leader="none" w:pos="2144"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w:t>
      </w:r>
    </w:p>
    <w:p>
      <w:pPr>
        <w:sectPr>
          <w:pgSz w:w="11900" w:h="16838" w:orient="portrait"/>
          <w:cols w:equalWidth="0" w:num="1">
            <w:col w:w="9019"/>
          </w:cols>
          <w:pgMar w:left="1440" w:top="666" w:right="1440"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520065</wp:posOffset>
            </wp:positionV>
            <wp:extent cx="545211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3" w:name="page64"/>
    <w:bookmarkEnd w:id="63"/>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359"/>
        <w:spacing w:after="0" w:line="248" w:lineRule="auto"/>
        <w:rPr>
          <w:sz w:val="20"/>
          <w:szCs w:val="20"/>
          <w:color w:val="auto"/>
        </w:rPr>
      </w:pPr>
      <w:r>
        <w:rPr>
          <w:rFonts w:ascii="Arial" w:cs="Arial" w:eastAsia="Arial" w:hAnsi="Arial"/>
          <w:sz w:val="22"/>
          <w:szCs w:val="22"/>
          <w:color w:val="auto"/>
        </w:rPr>
        <w:t>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w:t>
      </w:r>
    </w:p>
    <w:p>
      <w:pPr>
        <w:spacing w:after="0" w:line="220" w:lineRule="exact"/>
        <w:rPr>
          <w:sz w:val="20"/>
          <w:szCs w:val="20"/>
          <w:color w:val="auto"/>
        </w:rPr>
      </w:pPr>
    </w:p>
    <w:p>
      <w:pPr>
        <w:ind w:left="200" w:right="419" w:firstLine="648"/>
        <w:spacing w:after="0" w:line="248" w:lineRule="auto"/>
        <w:rPr>
          <w:sz w:val="20"/>
          <w:szCs w:val="20"/>
          <w:color w:val="auto"/>
        </w:rPr>
      </w:pPr>
      <w:r>
        <w:rPr>
          <w:rFonts w:ascii="Arial" w:cs="Arial" w:eastAsia="Arial" w:hAnsi="Arial"/>
          <w:sz w:val="22"/>
          <w:szCs w:val="22"/>
          <w:b w:val="1"/>
          <w:bCs w:val="1"/>
          <w:color w:val="auto"/>
        </w:rPr>
        <w:t xml:space="preserve">Section 15. Number And Term Of Office. </w:t>
      </w:r>
      <w:r>
        <w:rPr>
          <w:rFonts w:ascii="Arial" w:cs="Arial" w:eastAsia="Arial" w:hAnsi="Arial"/>
          <w:sz w:val="22"/>
          <w:szCs w:val="22"/>
          <w:color w:val="auto"/>
        </w:rPr>
        <w:t>The authorized number of directors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7" w:lineRule="exact"/>
        <w:rPr>
          <w:sz w:val="20"/>
          <w:szCs w:val="20"/>
          <w:color w:val="auto"/>
        </w:rPr>
      </w:pPr>
    </w:p>
    <w:p>
      <w:pPr>
        <w:jc w:val="both"/>
        <w:ind w:left="200" w:right="779" w:firstLine="648"/>
        <w:spacing w:after="0" w:line="256" w:lineRule="auto"/>
        <w:rPr>
          <w:sz w:val="20"/>
          <w:szCs w:val="20"/>
          <w:color w:val="auto"/>
        </w:rPr>
      </w:pPr>
      <w:r>
        <w:rPr>
          <w:rFonts w:ascii="Arial" w:cs="Arial" w:eastAsia="Arial" w:hAnsi="Arial"/>
          <w:sz w:val="22"/>
          <w:szCs w:val="22"/>
          <w:b w:val="1"/>
          <w:bCs w:val="1"/>
          <w:color w:val="auto"/>
        </w:rPr>
        <w:t xml:space="preserve">Section 16. Powers. </w:t>
      </w:r>
      <w:r>
        <w:rPr>
          <w:rFonts w:ascii="Arial" w:cs="Arial" w:eastAsia="Arial" w:hAnsi="Arial"/>
          <w:sz w:val="22"/>
          <w:szCs w:val="22"/>
          <w:color w:val="auto"/>
        </w:rPr>
        <w:t>The powers of the corporation shall be exercised, its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conducted and its property controlled by the Board of Directors, except as may be otherwise provided by statute or by the Certificate of Incorporation.</w:t>
      </w:r>
    </w:p>
    <w:p>
      <w:pPr>
        <w:spacing w:after="0" w:line="176" w:lineRule="exact"/>
        <w:rPr>
          <w:sz w:val="20"/>
          <w:szCs w:val="20"/>
          <w:color w:val="auto"/>
        </w:rPr>
      </w:pPr>
    </w:p>
    <w:p>
      <w:pPr>
        <w:ind w:left="200" w:right="559" w:firstLine="648"/>
        <w:spacing w:after="0" w:line="295" w:lineRule="auto"/>
        <w:rPr>
          <w:sz w:val="20"/>
          <w:szCs w:val="20"/>
          <w:color w:val="auto"/>
        </w:rPr>
      </w:pPr>
      <w:r>
        <w:rPr>
          <w:rFonts w:ascii="Arial" w:cs="Arial" w:eastAsia="Arial" w:hAnsi="Arial"/>
          <w:sz w:val="19"/>
          <w:szCs w:val="19"/>
          <w:b w:val="1"/>
          <w:bCs w:val="1"/>
          <w:color w:val="auto"/>
        </w:rPr>
        <w:t xml:space="preserve">Section 17. Board of Directors. </w:t>
      </w:r>
      <w:r>
        <w:rPr>
          <w:rFonts w:ascii="Arial" w:cs="Arial" w:eastAsia="Arial" w:hAnsi="Arial"/>
          <w:sz w:val="19"/>
          <w:szCs w:val="19"/>
          <w:color w:val="auto"/>
        </w:rPr>
        <w:t>Subject to the rights of the holders of any series of</w:t>
      </w:r>
      <w:r>
        <w:rPr>
          <w:rFonts w:ascii="Arial" w:cs="Arial" w:eastAsia="Arial" w:hAnsi="Arial"/>
          <w:sz w:val="19"/>
          <w:szCs w:val="19"/>
          <w:b w:val="1"/>
          <w:bCs w:val="1"/>
          <w:color w:val="auto"/>
        </w:rPr>
        <w:t xml:space="preserve"> </w:t>
      </w:r>
      <w:r>
        <w:rPr>
          <w:rFonts w:ascii="Arial" w:cs="Arial" w:eastAsia="Arial" w:hAnsi="Arial"/>
          <w:sz w:val="19"/>
          <w:szCs w:val="19"/>
          <w:color w:val="auto"/>
        </w:rPr>
        <w:t>Preferred Stock to elect additional directors under specified circumstances, directors shall be elected at each annual meeting of stockholders to serve until the next annual meeting of stockholders.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44" w:lineRule="exact"/>
        <w:rPr>
          <w:sz w:val="20"/>
          <w:szCs w:val="20"/>
          <w:color w:val="auto"/>
        </w:rPr>
      </w:pPr>
    </w:p>
    <w:p>
      <w:pPr>
        <w:ind w:left="200" w:right="219" w:firstLine="648"/>
        <w:spacing w:after="0" w:line="285" w:lineRule="auto"/>
        <w:rPr>
          <w:sz w:val="20"/>
          <w:szCs w:val="20"/>
          <w:color w:val="auto"/>
        </w:rPr>
      </w:pPr>
      <w:r>
        <w:rPr>
          <w:rFonts w:ascii="Arial" w:cs="Arial" w:eastAsia="Arial" w:hAnsi="Arial"/>
          <w:sz w:val="19"/>
          <w:szCs w:val="19"/>
          <w:b w:val="1"/>
          <w:bCs w:val="1"/>
          <w:color w:val="auto"/>
        </w:rPr>
        <w:t xml:space="preserve">Section 18. Vacancies. </w:t>
      </w:r>
      <w:r>
        <w:rPr>
          <w:rFonts w:ascii="Arial" w:cs="Arial" w:eastAsia="Arial" w:hAnsi="Arial"/>
          <w:sz w:val="19"/>
          <w:szCs w:val="19"/>
          <w:color w:val="auto"/>
        </w:rPr>
        <w:t>Unless otherwise provided in the Certificate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ectPr>
          <w:pgSz w:w="11900" w:h="16838" w:orient="portrait"/>
          <w:cols w:equalWidth="0" w:num="1">
            <w:col w:w="9019"/>
          </w:cols>
          <w:pgMar w:left="1440" w:top="666" w:right="1440" w:bottom="1440" w:gutter="0" w:footer="0" w:header="0"/>
        </w:sect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4" w:name="page65"/>
    <w:bookmarkEnd w:id="64"/>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right="239" w:firstLine="648"/>
        <w:spacing w:after="0" w:line="290" w:lineRule="auto"/>
        <w:rPr>
          <w:sz w:val="20"/>
          <w:szCs w:val="20"/>
          <w:color w:val="auto"/>
        </w:rPr>
      </w:pPr>
      <w:r>
        <w:rPr>
          <w:rFonts w:ascii="Arial" w:cs="Arial" w:eastAsia="Arial" w:hAnsi="Arial"/>
          <w:sz w:val="19"/>
          <w:szCs w:val="19"/>
          <w:b w:val="1"/>
          <w:bCs w:val="1"/>
          <w:color w:val="auto"/>
        </w:rPr>
        <w:t xml:space="preserve">Section 19. Resignation. </w:t>
      </w:r>
      <w:r>
        <w:rPr>
          <w:rFonts w:ascii="Arial" w:cs="Arial" w:eastAsia="Arial" w:hAnsi="Arial"/>
          <w:sz w:val="19"/>
          <w:szCs w:val="19"/>
          <w:color w:val="auto"/>
        </w:rPr>
        <w:t>Any director may resign at any time by delivering his or her</w:t>
      </w:r>
      <w:r>
        <w:rPr>
          <w:rFonts w:ascii="Arial" w:cs="Arial" w:eastAsia="Arial" w:hAnsi="Arial"/>
          <w:sz w:val="19"/>
          <w:szCs w:val="19"/>
          <w:b w:val="1"/>
          <w:bCs w:val="1"/>
          <w:color w:val="auto"/>
        </w:rPr>
        <w:t xml:space="preserve"> </w:t>
      </w:r>
      <w:r>
        <w:rPr>
          <w:rFonts w:ascii="Arial" w:cs="Arial" w:eastAsia="Arial" w:hAnsi="Arial"/>
          <w:sz w:val="19"/>
          <w:szCs w:val="19"/>
          <w:color w:val="auto"/>
        </w:rPr>
        <w:t>notice in writing or by electronic transmission to the 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4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color w:val="auto"/>
        </w:rPr>
        <w:t>Removal.</w:t>
      </w:r>
    </w:p>
    <w:p>
      <w:pPr>
        <w:spacing w:after="0" w:line="226" w:lineRule="exact"/>
        <w:rPr>
          <w:sz w:val="20"/>
          <w:szCs w:val="20"/>
          <w:color w:val="auto"/>
        </w:rPr>
      </w:pPr>
    </w:p>
    <w:p>
      <w:pPr>
        <w:ind w:left="200" w:right="739" w:firstLine="1305"/>
        <w:spacing w:after="0" w:line="253" w:lineRule="auto"/>
        <w:tabs>
          <w:tab w:leader="none" w:pos="2144"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Subject to the rights of holders of any series of Preferred Stock to elect additional directors under specified circumstances, neither the Board of Directors nor any individual director may be removed without cause.</w:t>
      </w:r>
    </w:p>
    <w:p>
      <w:pPr>
        <w:spacing w:after="0" w:line="185" w:lineRule="exact"/>
        <w:rPr>
          <w:rFonts w:ascii="Arial" w:cs="Arial" w:eastAsia="Arial" w:hAnsi="Arial"/>
          <w:sz w:val="22"/>
          <w:szCs w:val="22"/>
          <w:b w:val="1"/>
          <w:bCs w:val="1"/>
          <w:color w:val="auto"/>
        </w:rPr>
      </w:pPr>
    </w:p>
    <w:p>
      <w:pPr>
        <w:ind w:left="200" w:right="339" w:firstLine="1305"/>
        <w:spacing w:after="0" w:line="250" w:lineRule="auto"/>
        <w:tabs>
          <w:tab w:leader="none" w:pos="2144"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Subject to any limitation imposed by law, any individual director or directors may be removed with or without cause by the affirmative vote of the holders of at least a majority of the voting power of all then outstanding shares of capital stock of the corporation entitled to vote generally at an election of directors.</w:t>
      </w:r>
    </w:p>
    <w:p>
      <w:pPr>
        <w:spacing w:after="0" w:line="18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Meetings.</w:t>
      </w:r>
    </w:p>
    <w:p>
      <w:pPr>
        <w:spacing w:after="0" w:line="220" w:lineRule="exact"/>
        <w:rPr>
          <w:sz w:val="20"/>
          <w:szCs w:val="20"/>
          <w:color w:val="auto"/>
        </w:rPr>
      </w:pPr>
    </w:p>
    <w:p>
      <w:pPr>
        <w:ind w:left="200" w:right="259" w:firstLine="1305"/>
        <w:spacing w:after="0" w:line="293" w:lineRule="auto"/>
        <w:tabs>
          <w:tab w:leader="none" w:pos="2144"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Regular Meetings. </w:t>
      </w:r>
      <w:r>
        <w:rPr>
          <w:rFonts w:ascii="Arial" w:cs="Arial" w:eastAsia="Arial" w:hAnsi="Arial"/>
          <w:sz w:val="19"/>
          <w:szCs w:val="19"/>
          <w:color w:val="auto"/>
        </w:rPr>
        <w:t>Unless otherwise restricted by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44" w:lineRule="exact"/>
        <w:rPr>
          <w:rFonts w:ascii="Arial" w:cs="Arial" w:eastAsia="Arial" w:hAnsi="Arial"/>
          <w:sz w:val="19"/>
          <w:szCs w:val="19"/>
          <w:b w:val="1"/>
          <w:bCs w:val="1"/>
          <w:color w:val="auto"/>
        </w:rPr>
      </w:pPr>
    </w:p>
    <w:p>
      <w:pPr>
        <w:ind w:left="200" w:right="259" w:firstLine="1305"/>
        <w:spacing w:after="0" w:line="252" w:lineRule="auto"/>
        <w:tabs>
          <w:tab w:leader="none" w:pos="214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Special Meetings. </w:t>
      </w:r>
      <w:r>
        <w:rPr>
          <w:rFonts w:ascii="Arial" w:cs="Arial" w:eastAsia="Arial" w:hAnsi="Arial"/>
          <w:sz w:val="22"/>
          <w:szCs w:val="22"/>
          <w:color w:val="auto"/>
        </w:rPr>
        <w:t>Unless otherwise restricted by the Certificate of</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Incorporation, special meetings of the Board of Directors may be held at any time and place within or without the State of Delaware whenever called by the Chairman of the Board, the Chief Executive Officer or a majority of the authorized number of directors.</w:t>
      </w:r>
    </w:p>
    <w:p>
      <w:pPr>
        <w:spacing w:after="0" w:line="179" w:lineRule="exact"/>
        <w:rPr>
          <w:rFonts w:ascii="Arial" w:cs="Arial" w:eastAsia="Arial" w:hAnsi="Arial"/>
          <w:sz w:val="22"/>
          <w:szCs w:val="22"/>
          <w:b w:val="1"/>
          <w:bCs w:val="1"/>
          <w:color w:val="auto"/>
        </w:rPr>
      </w:pPr>
    </w:p>
    <w:p>
      <w:pPr>
        <w:ind w:left="200" w:right="239" w:firstLine="1305"/>
        <w:spacing w:after="0" w:line="264" w:lineRule="auto"/>
        <w:tabs>
          <w:tab w:leader="none" w:pos="2144"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Meetings by Electronic Communications Equipment. </w:t>
      </w:r>
      <w:r>
        <w:rPr>
          <w:rFonts w:ascii="Arial" w:cs="Arial" w:eastAsia="Arial" w:hAnsi="Arial"/>
          <w:sz w:val="21"/>
          <w:szCs w:val="21"/>
          <w:color w:val="auto"/>
        </w:rPr>
        <w:t>Any member of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Arial" w:cs="Arial" w:eastAsia="Arial" w:hAnsi="Arial"/>
          <w:sz w:val="21"/>
          <w:szCs w:val="21"/>
          <w:b w:val="1"/>
          <w:bCs w:val="1"/>
          <w:color w:val="auto"/>
        </w:rPr>
      </w:pPr>
    </w:p>
    <w:p>
      <w:pPr>
        <w:ind w:left="200" w:right="459" w:firstLine="1305"/>
        <w:spacing w:after="0" w:line="304" w:lineRule="auto"/>
        <w:tabs>
          <w:tab w:leader="none" w:pos="2144"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Special Meetings. </w:t>
      </w:r>
      <w:r>
        <w:rPr>
          <w:rFonts w:ascii="Arial" w:cs="Arial" w:eastAsia="Arial" w:hAnsi="Arial"/>
          <w:sz w:val="19"/>
          <w:szCs w:val="19"/>
          <w:color w:val="auto"/>
        </w:rPr>
        <w:t>Notice of the time and place of all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meetings of the Board of Directors shall be orally or in writing, by telephone, including a voice messaging system or other system or technology designed to record and communicate messages, facsimile, telegraph or telex, or by electronic mail or other electronic means, during normal</w:t>
      </w:r>
    </w:p>
    <w:p>
      <w:pPr>
        <w:sectPr>
          <w:pgSz w:w="11900" w:h="16838" w:orient="portrait"/>
          <w:cols w:equalWidth="0" w:num="1">
            <w:col w:w="9019"/>
          </w:cols>
          <w:pgMar w:left="1440" w:top="666" w:right="1440"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5" w:name="page66"/>
    <w:bookmarkEnd w:id="65"/>
    <w:p>
      <w:pPr>
        <w:ind w:left="768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wp:posOffset>
            </wp:positionV>
            <wp:extent cx="160274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219"/>
        <w:spacing w:after="0" w:line="246" w:lineRule="auto"/>
        <w:rPr>
          <w:sz w:val="20"/>
          <w:szCs w:val="20"/>
          <w:color w:val="auto"/>
        </w:rPr>
      </w:pPr>
      <w:r>
        <w:rPr>
          <w:rFonts w:ascii="Arial" w:cs="Arial" w:eastAsia="Arial" w:hAnsi="Arial"/>
          <w:sz w:val="22"/>
          <w:szCs w:val="22"/>
          <w:color w:val="auto"/>
        </w:rPr>
        <w:t>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90" w:lineRule="exact"/>
        <w:rPr>
          <w:sz w:val="20"/>
          <w:szCs w:val="20"/>
          <w:color w:val="auto"/>
        </w:rPr>
      </w:pPr>
    </w:p>
    <w:p>
      <w:pPr>
        <w:ind w:left="200" w:right="279" w:firstLine="1305"/>
        <w:spacing w:after="0" w:line="247" w:lineRule="auto"/>
        <w:tabs>
          <w:tab w:leader="none" w:pos="2144"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of Notice. </w:t>
      </w:r>
      <w:r>
        <w:rPr>
          <w:rFonts w:ascii="Arial" w:cs="Arial" w:eastAsia="Arial" w:hAnsi="Arial"/>
          <w:sz w:val="22"/>
          <w:szCs w:val="22"/>
          <w:color w:val="auto"/>
        </w:rPr>
        <w:t>The transaction of all business at any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89"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color w:val="auto"/>
        </w:rPr>
        <w:t>Quorum And Voting.</w:t>
      </w:r>
    </w:p>
    <w:p>
      <w:pPr>
        <w:spacing w:after="0" w:line="226" w:lineRule="exact"/>
        <w:rPr>
          <w:sz w:val="20"/>
          <w:szCs w:val="20"/>
          <w:color w:val="auto"/>
        </w:rPr>
      </w:pPr>
    </w:p>
    <w:p>
      <w:pPr>
        <w:ind w:left="200" w:right="239" w:firstLine="1305"/>
        <w:spacing w:after="0" w:line="290" w:lineRule="auto"/>
        <w:tabs>
          <w:tab w:leader="none" w:pos="2144"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at any meeting whether a quorum be present or otherwise, a majority of the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present may adjourn from time to time until the time fixed for the next regular meeting of the Board of Directors, without notice other than by announcement at the meeting.</w:t>
      </w:r>
    </w:p>
    <w:p>
      <w:pPr>
        <w:spacing w:after="0" w:line="155" w:lineRule="exact"/>
        <w:rPr>
          <w:rFonts w:ascii="Arial" w:cs="Arial" w:eastAsia="Arial" w:hAnsi="Arial"/>
          <w:sz w:val="19"/>
          <w:szCs w:val="19"/>
          <w:b w:val="1"/>
          <w:bCs w:val="1"/>
          <w:color w:val="auto"/>
        </w:rPr>
      </w:pPr>
    </w:p>
    <w:p>
      <w:pPr>
        <w:ind w:left="200" w:right="219" w:firstLine="1305"/>
        <w:spacing w:after="0" w:line="312" w:lineRule="auto"/>
        <w:tabs>
          <w:tab w:leader="none" w:pos="2144"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7" w:lineRule="exact"/>
        <w:rPr>
          <w:sz w:val="20"/>
          <w:szCs w:val="20"/>
          <w:color w:val="auto"/>
        </w:rPr>
      </w:pPr>
    </w:p>
    <w:p>
      <w:pPr>
        <w:ind w:left="200" w:right="219" w:firstLine="648"/>
        <w:spacing w:after="0" w:line="260" w:lineRule="auto"/>
        <w:rPr>
          <w:sz w:val="20"/>
          <w:szCs w:val="20"/>
          <w:color w:val="auto"/>
        </w:rPr>
      </w:pPr>
      <w:r>
        <w:rPr>
          <w:rFonts w:ascii="Arial" w:cs="Arial" w:eastAsia="Arial" w:hAnsi="Arial"/>
          <w:sz w:val="21"/>
          <w:szCs w:val="21"/>
          <w:b w:val="1"/>
          <w:bCs w:val="1"/>
          <w:color w:val="auto"/>
        </w:rPr>
        <w:t xml:space="preserve">Section 23. Action Without Meeting. </w:t>
      </w:r>
      <w:r>
        <w:rPr>
          <w:rFonts w:ascii="Arial" w:cs="Arial" w:eastAsia="Arial" w:hAnsi="Arial"/>
          <w:sz w:val="21"/>
          <w:szCs w:val="21"/>
          <w:color w:val="auto"/>
        </w:rPr>
        <w:t>Unless otherwise restricted by the Certificate of</w:t>
      </w:r>
      <w:r>
        <w:rPr>
          <w:rFonts w:ascii="Arial" w:cs="Arial" w:eastAsia="Arial" w:hAnsi="Arial"/>
          <w:sz w:val="21"/>
          <w:szCs w:val="21"/>
          <w:b w:val="1"/>
          <w:bCs w:val="1"/>
          <w:color w:val="auto"/>
        </w:rPr>
        <w:t xml:space="preserve"> </w:t>
      </w:r>
      <w:r>
        <w:rPr>
          <w:rFonts w:ascii="Arial" w:cs="Arial" w:eastAsia="Arial" w:hAnsi="Arial"/>
          <w:sz w:val="21"/>
          <w:szCs w:val="21"/>
          <w:color w:val="auto"/>
        </w:rPr>
        <w:t>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ind w:left="200" w:right="259" w:firstLine="648"/>
        <w:spacing w:after="0" w:line="304" w:lineRule="auto"/>
        <w:rPr>
          <w:sz w:val="20"/>
          <w:szCs w:val="20"/>
          <w:color w:val="auto"/>
        </w:rPr>
      </w:pPr>
      <w:r>
        <w:rPr>
          <w:rFonts w:ascii="Arial" w:cs="Arial" w:eastAsia="Arial" w:hAnsi="Arial"/>
          <w:sz w:val="19"/>
          <w:szCs w:val="19"/>
          <w:b w:val="1"/>
          <w:bCs w:val="1"/>
          <w:color w:val="auto"/>
        </w:rPr>
        <w:t xml:space="preserve">Section 24. Fees And Compensation. </w:t>
      </w:r>
      <w:r>
        <w:rPr>
          <w:rFonts w:ascii="Arial" w:cs="Arial" w:eastAsia="Arial" w:hAnsi="Arial"/>
          <w:sz w:val="19"/>
          <w:szCs w:val="19"/>
          <w:color w:val="auto"/>
        </w:rPr>
        <w:t>Directors shall be entitled to such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for their services as may be approved by the Board of Directors, including, if so approved, by resolution of the Board of Directors, a fixed sum and expenses of attendance, if any, for attendance at each regular or special meeting of the Board of Directors and at 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66" w:name="page67"/>
    <w:bookmarkEnd w:id="66"/>
    <w:p>
      <w:pPr>
        <w:ind w:left="7680"/>
        <w:spacing w:after="0"/>
        <w:rPr>
          <w:sz w:val="20"/>
          <w:szCs w:val="20"/>
          <w:color w:val="auto"/>
        </w:rPr>
      </w:pPr>
      <w:r>
        <w:rPr>
          <w:rFonts w:ascii="Arial" w:cs="Arial" w:eastAsia="Arial" w:hAnsi="Arial"/>
          <w:sz w:val="19"/>
          <w:szCs w:val="19"/>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wp:posOffset>
            </wp:positionV>
            <wp:extent cx="160274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399"/>
        <w:spacing w:after="0" w:line="253" w:lineRule="auto"/>
        <w:rPr>
          <w:sz w:val="20"/>
          <w:szCs w:val="20"/>
          <w:color w:val="auto"/>
        </w:rPr>
      </w:pPr>
      <w:r>
        <w:rPr>
          <w:rFonts w:ascii="Arial" w:cs="Arial" w:eastAsia="Arial" w:hAnsi="Arial"/>
          <w:sz w:val="22"/>
          <w:szCs w:val="22"/>
          <w:color w:val="auto"/>
        </w:rPr>
        <w:t>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color w:val="auto"/>
        </w:rPr>
        <w:t>Committees.</w:t>
      </w:r>
    </w:p>
    <w:p>
      <w:pPr>
        <w:spacing w:after="0" w:line="220" w:lineRule="exact"/>
        <w:rPr>
          <w:sz w:val="20"/>
          <w:szCs w:val="20"/>
          <w:color w:val="auto"/>
        </w:rPr>
      </w:pPr>
    </w:p>
    <w:p>
      <w:pPr>
        <w:ind w:left="200" w:right="279" w:firstLine="1305"/>
        <w:spacing w:after="0" w:line="259" w:lineRule="auto"/>
        <w:tabs>
          <w:tab w:leader="none" w:pos="2144"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Executive Committee. </w:t>
      </w:r>
      <w:r>
        <w:rPr>
          <w:rFonts w:ascii="Arial" w:cs="Arial" w:eastAsia="Arial" w:hAnsi="Arial"/>
          <w:sz w:val="21"/>
          <w:szCs w:val="21"/>
          <w:color w:val="auto"/>
        </w:rPr>
        <w:t>The Board of Directors may appoint an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75" w:lineRule="exact"/>
        <w:rPr>
          <w:rFonts w:ascii="Arial" w:cs="Arial" w:eastAsia="Arial" w:hAnsi="Arial"/>
          <w:sz w:val="21"/>
          <w:szCs w:val="21"/>
          <w:b w:val="1"/>
          <w:bCs w:val="1"/>
          <w:color w:val="auto"/>
        </w:rPr>
      </w:pPr>
    </w:p>
    <w:p>
      <w:pPr>
        <w:ind w:left="200" w:right="239" w:firstLine="1305"/>
        <w:spacing w:after="0" w:line="262" w:lineRule="auto"/>
        <w:tabs>
          <w:tab w:leader="none" w:pos="2144"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Committees. </w:t>
      </w:r>
      <w:r>
        <w:rPr>
          <w:rFonts w:ascii="Arial" w:cs="Arial" w:eastAsia="Arial" w:hAnsi="Arial"/>
          <w:sz w:val="21"/>
          <w:szCs w:val="21"/>
          <w:color w:val="auto"/>
        </w:rPr>
        <w:t>The Board of Directors may, from time to time, appoint</w:t>
      </w:r>
      <w:r>
        <w:rPr>
          <w:rFonts w:ascii="Arial" w:cs="Arial" w:eastAsia="Arial" w:hAnsi="Arial"/>
          <w:sz w:val="21"/>
          <w:szCs w:val="21"/>
          <w:b w:val="1"/>
          <w:bCs w:val="1"/>
          <w:color w:val="auto"/>
        </w:rPr>
        <w:t xml:space="preserve"> </w:t>
      </w:r>
      <w:r>
        <w:rPr>
          <w:rFonts w:ascii="Arial" w:cs="Arial" w:eastAsia="Arial" w:hAnsi="Arial"/>
          <w:sz w:val="21"/>
          <w:szCs w:val="21"/>
          <w:color w:val="auto"/>
        </w:rPr>
        <w:t>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3" w:lineRule="exact"/>
        <w:rPr>
          <w:rFonts w:ascii="Arial" w:cs="Arial" w:eastAsia="Arial" w:hAnsi="Arial"/>
          <w:sz w:val="21"/>
          <w:szCs w:val="21"/>
          <w:b w:val="1"/>
          <w:bCs w:val="1"/>
          <w:color w:val="auto"/>
        </w:rPr>
      </w:pPr>
    </w:p>
    <w:p>
      <w:pPr>
        <w:ind w:left="200" w:right="239" w:firstLine="1305"/>
        <w:spacing w:after="0" w:line="287" w:lineRule="auto"/>
        <w:tabs>
          <w:tab w:leader="none" w:pos="2144"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Board of Directors, subject to any requirements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ind w:left="200" w:right="219" w:firstLine="1305"/>
        <w:spacing w:after="0" w:line="293" w:lineRule="auto"/>
        <w:tabs>
          <w:tab w:leader="none" w:pos="2144"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Unless the Board of Directors shall otherwise provide, regular</w:t>
      </w:r>
      <w:r>
        <w:rPr>
          <w:rFonts w:ascii="Arial" w:cs="Arial" w:eastAsia="Arial" w:hAnsi="Arial"/>
          <w:sz w:val="19"/>
          <w:szCs w:val="19"/>
          <w:b w:val="1"/>
          <w:bCs w:val="1"/>
          <w:color w:val="auto"/>
        </w:rPr>
        <w:t xml:space="preserve"> </w:t>
      </w:r>
      <w:r>
        <w:rPr>
          <w:rFonts w:ascii="Arial" w:cs="Arial" w:eastAsia="Arial" w:hAnsi="Arial"/>
          <w:sz w:val="19"/>
          <w:szCs w:val="19"/>
          <w:color w:val="auto"/>
        </w:rPr>
        <w:t>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w:t>
      </w:r>
    </w:p>
    <w:p>
      <w:pPr>
        <w:sectPr>
          <w:pgSz w:w="11900" w:h="16838" w:orient="portrait"/>
          <w:cols w:equalWidth="0" w:num="1">
            <w:col w:w="9019"/>
          </w:cols>
          <w:pgMar w:left="1440" w:top="666" w:right="1440"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7" w:name="page68"/>
    <w:bookmarkEnd w:id="67"/>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19"/>
        <w:spacing w:after="0" w:line="287" w:lineRule="auto"/>
        <w:rPr>
          <w:sz w:val="20"/>
          <w:szCs w:val="20"/>
          <w:color w:val="auto"/>
        </w:rPr>
      </w:pPr>
      <w:r>
        <w:rPr>
          <w:rFonts w:ascii="Arial" w:cs="Arial" w:eastAsia="Arial" w:hAnsi="Arial"/>
          <w:sz w:val="19"/>
          <w:szCs w:val="19"/>
          <w:color w:val="auto"/>
        </w:rPr>
        <w:t>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57" w:lineRule="exact"/>
        <w:rPr>
          <w:sz w:val="20"/>
          <w:szCs w:val="20"/>
          <w:color w:val="auto"/>
        </w:rPr>
      </w:pPr>
    </w:p>
    <w:p>
      <w:pPr>
        <w:ind w:left="200" w:right="299" w:firstLine="648"/>
        <w:spacing w:after="0" w:line="290" w:lineRule="auto"/>
        <w:rPr>
          <w:sz w:val="20"/>
          <w:szCs w:val="20"/>
          <w:color w:val="auto"/>
        </w:rPr>
      </w:pPr>
      <w:r>
        <w:rPr>
          <w:rFonts w:ascii="Arial" w:cs="Arial" w:eastAsia="Arial" w:hAnsi="Arial"/>
          <w:sz w:val="19"/>
          <w:szCs w:val="19"/>
          <w:b w:val="1"/>
          <w:bCs w:val="1"/>
          <w:color w:val="auto"/>
        </w:rPr>
        <w:t xml:space="preserve">Section 26. Organization. </w:t>
      </w:r>
      <w:r>
        <w:rPr>
          <w:rFonts w:ascii="Arial" w:cs="Arial" w:eastAsia="Arial" w:hAnsi="Arial"/>
          <w:sz w:val="19"/>
          <w:szCs w:val="19"/>
          <w:color w:val="auto"/>
        </w:rPr>
        <w:t>At every meeting of the directors and stockholders, the</w:t>
      </w:r>
      <w:r>
        <w:rPr>
          <w:rFonts w:ascii="Arial" w:cs="Arial" w:eastAsia="Arial" w:hAnsi="Arial"/>
          <w:sz w:val="19"/>
          <w:szCs w:val="19"/>
          <w:b w:val="1"/>
          <w:bCs w:val="1"/>
          <w:color w:val="auto"/>
        </w:rPr>
        <w:t xml:space="preserve"> </w:t>
      </w:r>
      <w:r>
        <w:rPr>
          <w:rFonts w:ascii="Arial" w:cs="Arial" w:eastAsia="Arial" w:hAnsi="Arial"/>
          <w:sz w:val="19"/>
          <w:szCs w:val="19"/>
          <w:color w:val="auto"/>
        </w:rPr>
        <w:t>Chairman of the Board of Directors, or, if a Chairman has not 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OFFICERS</w:t>
      </w:r>
    </w:p>
    <w:p>
      <w:pPr>
        <w:spacing w:after="0" w:line="220" w:lineRule="exact"/>
        <w:rPr>
          <w:sz w:val="20"/>
          <w:szCs w:val="20"/>
          <w:color w:val="auto"/>
        </w:rPr>
      </w:pPr>
    </w:p>
    <w:p>
      <w:pPr>
        <w:ind w:left="200" w:right="319" w:firstLine="648"/>
        <w:spacing w:after="0" w:line="287" w:lineRule="auto"/>
        <w:rPr>
          <w:sz w:val="20"/>
          <w:szCs w:val="20"/>
          <w:color w:val="auto"/>
        </w:rPr>
      </w:pPr>
      <w:r>
        <w:rPr>
          <w:rFonts w:ascii="Arial" w:cs="Arial" w:eastAsia="Arial" w:hAnsi="Arial"/>
          <w:sz w:val="19"/>
          <w:szCs w:val="19"/>
          <w:b w:val="1"/>
          <w:bCs w:val="1"/>
          <w:color w:val="auto"/>
        </w:rPr>
        <w:t xml:space="preserve">Section 27. Officers Designated. </w:t>
      </w:r>
      <w:r>
        <w:rPr>
          <w:rFonts w:ascii="Arial" w:cs="Arial" w:eastAsia="Arial" w:hAnsi="Arial"/>
          <w:sz w:val="19"/>
          <w:szCs w:val="19"/>
          <w:color w:val="auto"/>
        </w:rPr>
        <w:t>The officers of the corporation shall include, if and</w:t>
      </w:r>
      <w:r>
        <w:rPr>
          <w:rFonts w:ascii="Arial" w:cs="Arial" w:eastAsia="Arial" w:hAnsi="Arial"/>
          <w:sz w:val="19"/>
          <w:szCs w:val="19"/>
          <w:b w:val="1"/>
          <w:bCs w:val="1"/>
          <w:color w:val="auto"/>
        </w:rPr>
        <w:t xml:space="preserve"> </w:t>
      </w:r>
      <w:r>
        <w:rPr>
          <w:rFonts w:ascii="Arial" w:cs="Arial" w:eastAsia="Arial" w:hAnsi="Arial"/>
          <w:sz w:val="19"/>
          <w:szCs w:val="19"/>
          <w:color w:val="auto"/>
        </w:rPr>
        <w:t>when designated by the Board of Directors, the Chairman of 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59"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color w:val="auto"/>
        </w:rPr>
        <w:t>Tenure And Duties Of Officers.</w:t>
      </w:r>
    </w:p>
    <w:p>
      <w:pPr>
        <w:spacing w:after="0" w:line="220" w:lineRule="exact"/>
        <w:rPr>
          <w:sz w:val="20"/>
          <w:szCs w:val="20"/>
          <w:color w:val="auto"/>
        </w:rPr>
      </w:pPr>
    </w:p>
    <w:p>
      <w:pPr>
        <w:ind w:left="200" w:right="379" w:firstLine="1305"/>
        <w:spacing w:after="0" w:line="249" w:lineRule="auto"/>
        <w:tabs>
          <w:tab w:leader="none" w:pos="2144"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All officers shall hold office at the pleasure of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ectPr>
          <w:pgSz w:w="11900" w:h="16838" w:orient="portrait"/>
          <w:cols w:equalWidth="0" w:num="1">
            <w:col w:w="9019"/>
          </w:cols>
          <w:pgMar w:left="1440" w:top="666" w:right="1440"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8" w:name="page69"/>
    <w:bookmarkEnd w:id="68"/>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right="279" w:firstLine="1305"/>
        <w:spacing w:after="0" w:line="258" w:lineRule="auto"/>
        <w:tabs>
          <w:tab w:leader="none" w:pos="2144"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Duties of Chief Executive Officer. </w:t>
      </w:r>
      <w:r>
        <w:rPr>
          <w:rFonts w:ascii="Arial" w:cs="Arial" w:eastAsia="Arial" w:hAnsi="Arial"/>
          <w:sz w:val="21"/>
          <w:szCs w:val="21"/>
          <w:color w:val="auto"/>
        </w:rPr>
        <w:t>The Chief Executive Officer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preside at all meetings of the stockholders and at all meetings of 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1" w:lineRule="exact"/>
        <w:rPr>
          <w:rFonts w:ascii="Arial" w:cs="Arial" w:eastAsia="Arial" w:hAnsi="Arial"/>
          <w:sz w:val="21"/>
          <w:szCs w:val="21"/>
          <w:b w:val="1"/>
          <w:bCs w:val="1"/>
          <w:color w:val="auto"/>
        </w:rPr>
      </w:pPr>
    </w:p>
    <w:p>
      <w:pPr>
        <w:ind w:left="200" w:right="259" w:firstLine="1305"/>
        <w:spacing w:after="0" w:line="259" w:lineRule="auto"/>
        <w:tabs>
          <w:tab w:leader="none" w:pos="2144"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Duties of President. </w:t>
      </w:r>
      <w:r>
        <w:rPr>
          <w:rFonts w:ascii="Arial" w:cs="Arial" w:eastAsia="Arial" w:hAnsi="Arial"/>
          <w:sz w:val="21"/>
          <w:szCs w:val="21"/>
          <w:color w:val="auto"/>
        </w:rPr>
        <w:t>The President shall preside at all meetings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and at all meetings of the Board of Directors, 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79" w:lineRule="exact"/>
        <w:rPr>
          <w:rFonts w:ascii="Arial" w:cs="Arial" w:eastAsia="Arial" w:hAnsi="Arial"/>
          <w:sz w:val="21"/>
          <w:szCs w:val="21"/>
          <w:b w:val="1"/>
          <w:bCs w:val="1"/>
          <w:color w:val="auto"/>
        </w:rPr>
      </w:pPr>
    </w:p>
    <w:p>
      <w:pPr>
        <w:ind w:left="200" w:right="339" w:firstLine="1305"/>
        <w:spacing w:after="0" w:line="295" w:lineRule="auto"/>
        <w:tabs>
          <w:tab w:leader="none" w:pos="2144"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Vice Presidents. </w:t>
      </w:r>
      <w:r>
        <w:rPr>
          <w:rFonts w:ascii="Arial" w:cs="Arial" w:eastAsia="Arial" w:hAnsi="Arial"/>
          <w:sz w:val="19"/>
          <w:szCs w:val="19"/>
          <w:color w:val="auto"/>
        </w:rPr>
        <w:t>The Vice Presidents may assume and perform</w:t>
      </w:r>
      <w:r>
        <w:rPr>
          <w:rFonts w:ascii="Arial" w:cs="Arial" w:eastAsia="Arial" w:hAnsi="Arial"/>
          <w:sz w:val="19"/>
          <w:szCs w:val="19"/>
          <w:b w:val="1"/>
          <w:bCs w:val="1"/>
          <w:color w:val="auto"/>
        </w:rPr>
        <w:t xml:space="preserve"> </w:t>
      </w:r>
      <w:r>
        <w:rPr>
          <w:rFonts w:ascii="Arial" w:cs="Arial" w:eastAsia="Arial" w:hAnsi="Arial"/>
          <w:sz w:val="19"/>
          <w:szCs w:val="19"/>
          <w:color w:val="auto"/>
        </w:rPr>
        <w:t>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43" w:lineRule="exact"/>
        <w:rPr>
          <w:rFonts w:ascii="Arial" w:cs="Arial" w:eastAsia="Arial" w:hAnsi="Arial"/>
          <w:sz w:val="19"/>
          <w:szCs w:val="19"/>
          <w:b w:val="1"/>
          <w:bCs w:val="1"/>
          <w:color w:val="auto"/>
        </w:rPr>
      </w:pPr>
    </w:p>
    <w:p>
      <w:pPr>
        <w:ind w:left="200" w:right="239" w:firstLine="1305"/>
        <w:spacing w:after="0" w:line="288" w:lineRule="auto"/>
        <w:tabs>
          <w:tab w:leader="none" w:pos="2144"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Secretary. </w:t>
      </w:r>
      <w:r>
        <w:rPr>
          <w:rFonts w:ascii="Arial" w:cs="Arial" w:eastAsia="Arial" w:hAnsi="Arial"/>
          <w:sz w:val="19"/>
          <w:szCs w:val="19"/>
          <w:color w:val="auto"/>
        </w:rPr>
        <w:t>The Secretary shall attend all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53" w:lineRule="exact"/>
        <w:rPr>
          <w:rFonts w:ascii="Arial" w:cs="Arial" w:eastAsia="Arial" w:hAnsi="Arial"/>
          <w:sz w:val="19"/>
          <w:szCs w:val="19"/>
          <w:b w:val="1"/>
          <w:bCs w:val="1"/>
          <w:color w:val="auto"/>
        </w:rPr>
      </w:pPr>
    </w:p>
    <w:p>
      <w:pPr>
        <w:ind w:left="200" w:right="439" w:firstLine="1305"/>
        <w:spacing w:after="0" w:line="304" w:lineRule="auto"/>
        <w:tabs>
          <w:tab w:leader="none" w:pos="2144"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Financial Officer. </w:t>
      </w:r>
      <w:r>
        <w:rPr>
          <w:rFonts w:ascii="Arial" w:cs="Arial" w:eastAsia="Arial" w:hAnsi="Arial"/>
          <w:sz w:val="19"/>
          <w:szCs w:val="19"/>
          <w:color w:val="auto"/>
        </w:rPr>
        <w:t>The Chief Financial Officer shall keep</w:t>
      </w:r>
      <w:r>
        <w:rPr>
          <w:rFonts w:ascii="Arial" w:cs="Arial" w:eastAsia="Arial" w:hAnsi="Arial"/>
          <w:sz w:val="19"/>
          <w:szCs w:val="19"/>
          <w:b w:val="1"/>
          <w:bCs w:val="1"/>
          <w:color w:val="auto"/>
        </w:rPr>
        <w:t xml:space="preserve"> </w:t>
      </w:r>
      <w:r>
        <w:rPr>
          <w:rFonts w:ascii="Arial" w:cs="Arial" w:eastAsia="Arial" w:hAnsi="Arial"/>
          <w:sz w:val="19"/>
          <w:szCs w:val="19"/>
          <w:color w:val="auto"/>
        </w:rPr>
        <w:t>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w:t>
      </w:r>
    </w:p>
    <w:p>
      <w:pPr>
        <w:sectPr>
          <w:pgSz w:w="11900" w:h="16838" w:orient="portrait"/>
          <w:cols w:equalWidth="0" w:num="1">
            <w:col w:w="9019"/>
          </w:cols>
          <w:pgMar w:left="1440" w:top="666" w:right="1440"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69" w:name="page70"/>
    <w:bookmarkEnd w:id="69"/>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359"/>
        <w:spacing w:after="0" w:line="287" w:lineRule="auto"/>
        <w:rPr>
          <w:sz w:val="20"/>
          <w:szCs w:val="20"/>
          <w:color w:val="auto"/>
        </w:rPr>
      </w:pPr>
      <w:r>
        <w:rPr>
          <w:rFonts w:ascii="Arial" w:cs="Arial" w:eastAsia="Arial" w:hAnsi="Arial"/>
          <w:sz w:val="19"/>
          <w:szCs w:val="19"/>
          <w:color w:val="auto"/>
        </w:rPr>
        <w:t>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200" w:lineRule="exact"/>
        <w:rPr>
          <w:sz w:val="20"/>
          <w:szCs w:val="20"/>
          <w:color w:val="auto"/>
        </w:rPr>
      </w:pPr>
    </w:p>
    <w:p>
      <w:pPr>
        <w:spacing w:after="0" w:line="214" w:lineRule="exact"/>
        <w:rPr>
          <w:sz w:val="20"/>
          <w:szCs w:val="20"/>
          <w:color w:val="auto"/>
        </w:rPr>
      </w:pPr>
    </w:p>
    <w:p>
      <w:pPr>
        <w:ind w:left="200" w:right="259" w:firstLine="1305"/>
        <w:spacing w:after="0" w:line="259" w:lineRule="auto"/>
        <w:tabs>
          <w:tab w:leader="none" w:pos="2144"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Duties of Treasurer. </w:t>
      </w:r>
      <w:r>
        <w:rPr>
          <w:rFonts w:ascii="Arial" w:cs="Arial" w:eastAsia="Arial" w:hAnsi="Arial"/>
          <w:sz w:val="21"/>
          <w:szCs w:val="21"/>
          <w:color w:val="auto"/>
        </w:rPr>
        <w:t>Unless another officer has been appointed Chief</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79" w:lineRule="exact"/>
        <w:rPr>
          <w:sz w:val="20"/>
          <w:szCs w:val="20"/>
          <w:color w:val="auto"/>
        </w:rPr>
      </w:pPr>
    </w:p>
    <w:p>
      <w:pPr>
        <w:ind w:left="200" w:right="519" w:firstLine="648"/>
        <w:spacing w:after="0" w:line="256" w:lineRule="auto"/>
        <w:rPr>
          <w:sz w:val="20"/>
          <w:szCs w:val="20"/>
          <w:color w:val="auto"/>
        </w:rPr>
      </w:pPr>
      <w:r>
        <w:rPr>
          <w:rFonts w:ascii="Arial" w:cs="Arial" w:eastAsia="Arial" w:hAnsi="Arial"/>
          <w:sz w:val="22"/>
          <w:szCs w:val="22"/>
          <w:b w:val="1"/>
          <w:bCs w:val="1"/>
          <w:color w:val="auto"/>
        </w:rPr>
        <w:t xml:space="preserve">Section 29. Delegation Of Authority. </w:t>
      </w:r>
      <w:r>
        <w:rPr>
          <w:rFonts w:ascii="Arial" w:cs="Arial" w:eastAsia="Arial" w:hAnsi="Arial"/>
          <w:sz w:val="22"/>
          <w:szCs w:val="22"/>
          <w:color w:val="auto"/>
        </w:rPr>
        <w:t>The Board of Directors may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delegate the powers or duties of any officer to any other officer or agent, notwithstanding any provision hereof.</w:t>
      </w:r>
    </w:p>
    <w:p>
      <w:pPr>
        <w:spacing w:after="0" w:line="176" w:lineRule="exact"/>
        <w:rPr>
          <w:sz w:val="20"/>
          <w:szCs w:val="20"/>
          <w:color w:val="auto"/>
        </w:rPr>
      </w:pPr>
    </w:p>
    <w:p>
      <w:pPr>
        <w:ind w:left="200" w:right="259" w:firstLine="648"/>
        <w:spacing w:after="0" w:line="293" w:lineRule="auto"/>
        <w:rPr>
          <w:sz w:val="20"/>
          <w:szCs w:val="20"/>
          <w:color w:val="auto"/>
        </w:rPr>
      </w:pPr>
      <w:r>
        <w:rPr>
          <w:rFonts w:ascii="Arial" w:cs="Arial" w:eastAsia="Arial" w:hAnsi="Arial"/>
          <w:sz w:val="19"/>
          <w:szCs w:val="19"/>
          <w:b w:val="1"/>
          <w:bCs w:val="1"/>
          <w:color w:val="auto"/>
        </w:rPr>
        <w:t xml:space="preserve">Section 30. Resignations. </w:t>
      </w:r>
      <w:r>
        <w:rPr>
          <w:rFonts w:ascii="Arial" w:cs="Arial" w:eastAsia="Arial" w:hAnsi="Arial"/>
          <w:sz w:val="19"/>
          <w:szCs w:val="19"/>
          <w:color w:val="auto"/>
        </w:rPr>
        <w:t>Any officer may resign at any time by giving notice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or by electronic transmission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44" w:lineRule="exact"/>
        <w:rPr>
          <w:sz w:val="20"/>
          <w:szCs w:val="20"/>
          <w:color w:val="auto"/>
        </w:rPr>
      </w:pPr>
    </w:p>
    <w:p>
      <w:pPr>
        <w:ind w:left="200" w:right="359" w:firstLine="648"/>
        <w:spacing w:after="0" w:line="264" w:lineRule="auto"/>
        <w:rPr>
          <w:sz w:val="20"/>
          <w:szCs w:val="20"/>
          <w:color w:val="auto"/>
        </w:rPr>
      </w:pPr>
      <w:r>
        <w:rPr>
          <w:rFonts w:ascii="Arial" w:cs="Arial" w:eastAsia="Arial" w:hAnsi="Arial"/>
          <w:sz w:val="21"/>
          <w:szCs w:val="21"/>
          <w:b w:val="1"/>
          <w:bCs w:val="1"/>
          <w:color w:val="auto"/>
        </w:rPr>
        <w:t xml:space="preserve">Section 31. Removal. </w:t>
      </w:r>
      <w:r>
        <w:rPr>
          <w:rFonts w:ascii="Arial" w:cs="Arial" w:eastAsia="Arial" w:hAnsi="Arial"/>
          <w:sz w:val="21"/>
          <w:szCs w:val="21"/>
          <w:color w:val="auto"/>
        </w:rPr>
        <w:t>Any officer may be removed from office at any time, either with</w:t>
      </w:r>
      <w:r>
        <w:rPr>
          <w:rFonts w:ascii="Arial" w:cs="Arial" w:eastAsia="Arial" w:hAnsi="Arial"/>
          <w:sz w:val="21"/>
          <w:szCs w:val="21"/>
          <w:b w:val="1"/>
          <w:bCs w:val="1"/>
          <w:color w:val="auto"/>
        </w:rPr>
        <w:t xml:space="preserve"> </w:t>
      </w:r>
      <w:r>
        <w:rPr>
          <w:rFonts w:ascii="Arial" w:cs="Arial" w:eastAsia="Arial" w:hAnsi="Arial"/>
          <w:sz w:val="21"/>
          <w:szCs w:val="21"/>
          <w:color w:val="auto"/>
        </w:rPr>
        <w:t>or without cause, by the affirmative vote of a majority of 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0" w:name="page71"/>
    <w:bookmarkEnd w:id="70"/>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ind w:left="200" w:right="219"/>
        <w:spacing w:after="0" w:line="269" w:lineRule="auto"/>
        <w:rPr>
          <w:sz w:val="20"/>
          <w:szCs w:val="20"/>
          <w:color w:val="auto"/>
        </w:rPr>
      </w:pPr>
      <w:r>
        <w:rPr>
          <w:rFonts w:ascii="Arial" w:cs="Arial" w:eastAsia="Arial" w:hAnsi="Arial"/>
          <w:sz w:val="22"/>
          <w:szCs w:val="22"/>
          <w:b w:val="1"/>
          <w:bCs w:val="1"/>
          <w:color w:val="auto"/>
        </w:rPr>
        <w:t>EXECUTION OF CORPORATE INSTRUMENTS AND VOTING OF SECURITIES OWNED BY THE CORPORATION</w:t>
      </w:r>
    </w:p>
    <w:p>
      <w:pPr>
        <w:spacing w:after="0" w:line="162" w:lineRule="exact"/>
        <w:rPr>
          <w:sz w:val="20"/>
          <w:szCs w:val="20"/>
          <w:color w:val="auto"/>
        </w:rPr>
      </w:pPr>
    </w:p>
    <w:p>
      <w:pPr>
        <w:ind w:left="200" w:right="339" w:firstLine="648"/>
        <w:spacing w:after="0" w:line="262" w:lineRule="auto"/>
        <w:rPr>
          <w:sz w:val="20"/>
          <w:szCs w:val="20"/>
          <w:color w:val="auto"/>
        </w:rPr>
      </w:pPr>
      <w:r>
        <w:rPr>
          <w:rFonts w:ascii="Arial" w:cs="Arial" w:eastAsia="Arial" w:hAnsi="Arial"/>
          <w:sz w:val="21"/>
          <w:szCs w:val="21"/>
          <w:b w:val="1"/>
          <w:bCs w:val="1"/>
          <w:color w:val="auto"/>
        </w:rPr>
        <w:t xml:space="preserve">Section 32. Execution Of Corporate Instruments. </w:t>
      </w:r>
      <w:r>
        <w:rPr>
          <w:rFonts w:ascii="Arial" w:cs="Arial" w:eastAsia="Arial" w:hAnsi="Arial"/>
          <w:sz w:val="21"/>
          <w:szCs w:val="21"/>
          <w:color w:val="auto"/>
        </w:rPr>
        <w:t>The Board of Directors may, in its</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79" w:lineRule="exact"/>
        <w:rPr>
          <w:sz w:val="20"/>
          <w:szCs w:val="20"/>
          <w:color w:val="auto"/>
        </w:rPr>
      </w:pPr>
    </w:p>
    <w:p>
      <w:pPr>
        <w:ind w:left="200" w:right="419" w:firstLine="648"/>
        <w:spacing w:after="0" w:line="253" w:lineRule="auto"/>
        <w:rPr>
          <w:sz w:val="20"/>
          <w:szCs w:val="20"/>
          <w:color w:val="auto"/>
        </w:rPr>
      </w:pPr>
      <w:r>
        <w:rPr>
          <w:rFonts w:ascii="Arial" w:cs="Arial" w:eastAsia="Arial" w:hAnsi="Arial"/>
          <w:sz w:val="22"/>
          <w:szCs w:val="22"/>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85" w:lineRule="exact"/>
        <w:rPr>
          <w:sz w:val="20"/>
          <w:szCs w:val="20"/>
          <w:color w:val="auto"/>
        </w:rPr>
      </w:pPr>
    </w:p>
    <w:p>
      <w:pPr>
        <w:ind w:left="200" w:right="359" w:firstLine="648"/>
        <w:spacing w:after="0" w:line="250" w:lineRule="auto"/>
        <w:rPr>
          <w:sz w:val="20"/>
          <w:szCs w:val="20"/>
          <w:color w:val="auto"/>
        </w:rPr>
      </w:pPr>
      <w:r>
        <w:rPr>
          <w:rFonts w:ascii="Arial" w:cs="Arial" w:eastAsia="Arial" w:hAnsi="Arial"/>
          <w:sz w:val="22"/>
          <w:szCs w:val="22"/>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2" w:lineRule="exact"/>
        <w:rPr>
          <w:sz w:val="20"/>
          <w:szCs w:val="20"/>
          <w:color w:val="auto"/>
        </w:rPr>
      </w:pPr>
    </w:p>
    <w:p>
      <w:pPr>
        <w:ind w:left="200" w:right="459" w:firstLine="648"/>
        <w:spacing w:after="0" w:line="248" w:lineRule="auto"/>
        <w:rPr>
          <w:sz w:val="20"/>
          <w:szCs w:val="20"/>
          <w:color w:val="auto"/>
        </w:rPr>
      </w:pPr>
      <w:r>
        <w:rPr>
          <w:rFonts w:ascii="Arial" w:cs="Arial" w:eastAsia="Arial" w:hAnsi="Arial"/>
          <w:sz w:val="22"/>
          <w:szCs w:val="22"/>
          <w:b w:val="1"/>
          <w:bCs w:val="1"/>
          <w:color w:val="auto"/>
        </w:rPr>
        <w:t xml:space="preserve">Section 33. Voting Of Securities Owned By The Corporation. </w:t>
      </w:r>
      <w:r>
        <w:rPr>
          <w:rFonts w:ascii="Arial" w:cs="Arial" w:eastAsia="Arial" w:hAnsi="Arial"/>
          <w:sz w:val="22"/>
          <w:szCs w:val="22"/>
          <w:color w:val="auto"/>
        </w:rPr>
        <w:t>All stock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SHARES OF STOCK</w:t>
      </w:r>
    </w:p>
    <w:p>
      <w:pPr>
        <w:spacing w:after="0" w:line="220" w:lineRule="exact"/>
        <w:rPr>
          <w:sz w:val="20"/>
          <w:szCs w:val="20"/>
          <w:color w:val="auto"/>
        </w:rPr>
      </w:pPr>
    </w:p>
    <w:p>
      <w:pPr>
        <w:ind w:left="200" w:right="259" w:firstLine="648"/>
        <w:spacing w:after="0" w:line="287" w:lineRule="auto"/>
        <w:rPr>
          <w:sz w:val="20"/>
          <w:szCs w:val="20"/>
          <w:color w:val="auto"/>
        </w:rPr>
      </w:pPr>
      <w:r>
        <w:rPr>
          <w:rFonts w:ascii="Arial" w:cs="Arial" w:eastAsia="Arial" w:hAnsi="Arial"/>
          <w:sz w:val="19"/>
          <w:szCs w:val="19"/>
          <w:b w:val="1"/>
          <w:bCs w:val="1"/>
          <w:color w:val="auto"/>
        </w:rPr>
        <w:t xml:space="preserve">Section 34. Form And Execution Of Certificates. </w:t>
      </w:r>
      <w:r>
        <w:rPr>
          <w:rFonts w:ascii="Arial" w:cs="Arial" w:eastAsia="Arial" w:hAnsi="Arial"/>
          <w:sz w:val="19"/>
          <w:szCs w:val="19"/>
          <w:color w:val="auto"/>
        </w:rPr>
        <w:t>The shares of the corporation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represented by certificates, or shall be uncertificated if so 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1" w:name="page72"/>
    <w:bookmarkEnd w:id="71"/>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right="219" w:firstLine="648"/>
        <w:spacing w:after="0" w:line="290" w:lineRule="auto"/>
        <w:rPr>
          <w:sz w:val="20"/>
          <w:szCs w:val="20"/>
          <w:color w:val="auto"/>
        </w:rPr>
      </w:pPr>
      <w:r>
        <w:rPr>
          <w:rFonts w:ascii="Arial" w:cs="Arial" w:eastAsia="Arial" w:hAnsi="Arial"/>
          <w:sz w:val="19"/>
          <w:szCs w:val="19"/>
          <w:b w:val="1"/>
          <w:bCs w:val="1"/>
          <w:color w:val="auto"/>
        </w:rPr>
        <w:t xml:space="preserve">Section 35. Lost Certificates. </w:t>
      </w:r>
      <w:r>
        <w:rPr>
          <w:rFonts w:ascii="Arial" w:cs="Arial" w:eastAsia="Arial" w:hAnsi="Arial"/>
          <w:sz w:val="19"/>
          <w:szCs w:val="19"/>
          <w:color w:val="auto"/>
        </w:rPr>
        <w:t>A new certificate or certificates shall be issued in place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48"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b w:val="1"/>
          <w:bCs w:val="1"/>
          <w:color w:val="auto"/>
        </w:rPr>
        <w:t>Transfers.</w:t>
      </w:r>
    </w:p>
    <w:p>
      <w:pPr>
        <w:spacing w:after="0" w:line="226" w:lineRule="exact"/>
        <w:rPr>
          <w:sz w:val="20"/>
          <w:szCs w:val="20"/>
          <w:color w:val="auto"/>
        </w:rPr>
      </w:pPr>
    </w:p>
    <w:p>
      <w:pPr>
        <w:jc w:val="both"/>
        <w:ind w:left="200" w:right="239" w:firstLine="1305"/>
        <w:spacing w:after="0" w:line="250" w:lineRule="auto"/>
        <w:tabs>
          <w:tab w:leader="none" w:pos="2144"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7" w:lineRule="exact"/>
        <w:rPr>
          <w:rFonts w:ascii="Arial" w:cs="Arial" w:eastAsia="Arial" w:hAnsi="Arial"/>
          <w:sz w:val="22"/>
          <w:szCs w:val="22"/>
          <w:b w:val="1"/>
          <w:bCs w:val="1"/>
          <w:color w:val="auto"/>
        </w:rPr>
      </w:pPr>
    </w:p>
    <w:p>
      <w:pPr>
        <w:jc w:val="both"/>
        <w:ind w:left="200" w:right="399" w:firstLine="1305"/>
        <w:spacing w:after="0" w:line="250" w:lineRule="auto"/>
        <w:tabs>
          <w:tab w:leader="none" w:pos="2144" w:val="left"/>
        </w:tabs>
        <w:numPr>
          <w:ilvl w:val="0"/>
          <w:numId w:val="66"/>
        </w:numPr>
        <w:rPr>
          <w:rFonts w:ascii="Arial" w:cs="Arial" w:eastAsia="Arial" w:hAnsi="Arial"/>
          <w:sz w:val="22"/>
          <w:szCs w:val="22"/>
          <w:b w:val="1"/>
          <w:bCs w:val="1"/>
          <w:color w:val="auto"/>
        </w:rPr>
      </w:pPr>
      <w:r>
        <w:rPr>
          <w:rFonts w:ascii="Arial" w:cs="Arial" w:eastAsia="Arial" w:hAnsi="Arial"/>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2"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37.</w:t>
      </w:r>
      <w:r>
        <w:rPr>
          <w:sz w:val="20"/>
          <w:szCs w:val="20"/>
          <w:color w:val="auto"/>
        </w:rPr>
        <w:tab/>
      </w:r>
      <w:r>
        <w:rPr>
          <w:rFonts w:ascii="Arial" w:cs="Arial" w:eastAsia="Arial" w:hAnsi="Arial"/>
          <w:sz w:val="19"/>
          <w:szCs w:val="19"/>
          <w:b w:val="1"/>
          <w:bCs w:val="1"/>
          <w:color w:val="auto"/>
        </w:rPr>
        <w:t>Fixing Record Dates.</w:t>
      </w:r>
    </w:p>
    <w:p>
      <w:pPr>
        <w:spacing w:after="0" w:line="226" w:lineRule="exact"/>
        <w:rPr>
          <w:sz w:val="20"/>
          <w:szCs w:val="20"/>
          <w:color w:val="auto"/>
        </w:rPr>
      </w:pPr>
    </w:p>
    <w:p>
      <w:pPr>
        <w:ind w:left="200" w:right="299" w:firstLine="1305"/>
        <w:spacing w:after="0" w:line="287" w:lineRule="auto"/>
        <w:tabs>
          <w:tab w:leader="none" w:pos="2144"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the adjourned meeting.</w:t>
      </w:r>
    </w:p>
    <w:p>
      <w:pPr>
        <w:spacing w:after="0" w:line="158" w:lineRule="exact"/>
        <w:rPr>
          <w:rFonts w:ascii="Arial" w:cs="Arial" w:eastAsia="Arial" w:hAnsi="Arial"/>
          <w:sz w:val="19"/>
          <w:szCs w:val="19"/>
          <w:b w:val="1"/>
          <w:bCs w:val="1"/>
          <w:color w:val="auto"/>
        </w:rPr>
      </w:pPr>
    </w:p>
    <w:p>
      <w:pPr>
        <w:ind w:left="200" w:right="259" w:firstLine="1305"/>
        <w:spacing w:after="0" w:line="259" w:lineRule="auto"/>
        <w:tabs>
          <w:tab w:leader="none" w:pos="2144" w:val="left"/>
        </w:tabs>
        <w:numPr>
          <w:ilvl w:val="0"/>
          <w:numId w:val="67"/>
        </w:numPr>
        <w:rPr>
          <w:rFonts w:ascii="Arial" w:cs="Arial" w:eastAsia="Arial" w:hAnsi="Arial"/>
          <w:sz w:val="21"/>
          <w:szCs w:val="21"/>
          <w:b w:val="1"/>
          <w:bCs w:val="1"/>
          <w:color w:val="auto"/>
        </w:rPr>
      </w:pPr>
      <w:r>
        <w:rPr>
          <w:rFonts w:ascii="Arial" w:cs="Arial" w:eastAsia="Arial" w:hAnsi="Arial"/>
          <w:sz w:val="21"/>
          <w:szCs w:val="21"/>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ectPr>
          <w:pgSz w:w="11900" w:h="16838" w:orient="portrait"/>
          <w:cols w:equalWidth="0" w:num="1">
            <w:col w:w="9019"/>
          </w:cols>
          <w:pgMar w:left="1440" w:top="666" w:right="1440"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72" w:name="page73"/>
    <w:bookmarkEnd w:id="72"/>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right="279" w:firstLine="648"/>
        <w:spacing w:after="0" w:line="298" w:lineRule="auto"/>
        <w:rPr>
          <w:sz w:val="20"/>
          <w:szCs w:val="20"/>
          <w:color w:val="auto"/>
        </w:rPr>
      </w:pPr>
      <w:r>
        <w:rPr>
          <w:rFonts w:ascii="Arial" w:cs="Arial" w:eastAsia="Arial" w:hAnsi="Arial"/>
          <w:sz w:val="19"/>
          <w:szCs w:val="19"/>
          <w:b w:val="1"/>
          <w:bCs w:val="1"/>
          <w:color w:val="auto"/>
        </w:rPr>
        <w:t xml:space="preserve">Section 38. Registered Stockholders. </w:t>
      </w:r>
      <w:r>
        <w:rPr>
          <w:rFonts w:ascii="Arial" w:cs="Arial" w:eastAsia="Arial" w:hAnsi="Arial"/>
          <w:sz w:val="19"/>
          <w:szCs w:val="19"/>
          <w:color w:val="auto"/>
        </w:rPr>
        <w:t>The corporation shall be entitled to recognize the</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SECURITIES OF THE CORPORATION</w:t>
      </w:r>
    </w:p>
    <w:p>
      <w:pPr>
        <w:spacing w:after="0" w:line="220" w:lineRule="exact"/>
        <w:rPr>
          <w:sz w:val="20"/>
          <w:szCs w:val="20"/>
          <w:color w:val="auto"/>
        </w:rPr>
      </w:pPr>
    </w:p>
    <w:p>
      <w:pPr>
        <w:ind w:left="200" w:right="219" w:firstLine="648"/>
        <w:spacing w:after="0" w:line="285" w:lineRule="auto"/>
        <w:rPr>
          <w:sz w:val="20"/>
          <w:szCs w:val="20"/>
          <w:color w:val="auto"/>
        </w:rPr>
      </w:pPr>
      <w:r>
        <w:rPr>
          <w:rFonts w:ascii="Arial" w:cs="Arial" w:eastAsia="Arial" w:hAnsi="Arial"/>
          <w:sz w:val="19"/>
          <w:szCs w:val="19"/>
          <w:b w:val="1"/>
          <w:bCs w:val="1"/>
          <w:color w:val="auto"/>
        </w:rPr>
        <w:t xml:space="preserve">Section 39. Execution Of Other Securities. </w:t>
      </w:r>
      <w:r>
        <w:rPr>
          <w:rFonts w:ascii="Arial" w:cs="Arial" w:eastAsia="Arial" w:hAnsi="Arial"/>
          <w:sz w:val="19"/>
          <w:szCs w:val="19"/>
          <w:color w:val="auto"/>
        </w:rPr>
        <w:t>All bonds, debentures and other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securities of the corporation, other than stock certificates (covered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where any such bond, debenture or other corporate security shall be authenticated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DIVIDENDS</w:t>
      </w:r>
    </w:p>
    <w:p>
      <w:pPr>
        <w:spacing w:after="0" w:line="220" w:lineRule="exact"/>
        <w:rPr>
          <w:sz w:val="20"/>
          <w:szCs w:val="20"/>
          <w:color w:val="auto"/>
        </w:rPr>
      </w:pPr>
    </w:p>
    <w:p>
      <w:pPr>
        <w:ind w:left="200" w:right="319" w:firstLine="648"/>
        <w:spacing w:after="0" w:line="249" w:lineRule="auto"/>
        <w:rPr>
          <w:sz w:val="20"/>
          <w:szCs w:val="20"/>
          <w:color w:val="auto"/>
        </w:rPr>
      </w:pPr>
      <w:r>
        <w:rPr>
          <w:rFonts w:ascii="Arial" w:cs="Arial" w:eastAsia="Arial" w:hAnsi="Arial"/>
          <w:sz w:val="22"/>
          <w:szCs w:val="22"/>
          <w:b w:val="1"/>
          <w:bCs w:val="1"/>
          <w:color w:val="auto"/>
        </w:rPr>
        <w:t xml:space="preserve">Section 40. Declaration Of Dividends. </w:t>
      </w:r>
      <w:r>
        <w:rPr>
          <w:rFonts w:ascii="Arial" w:cs="Arial" w:eastAsia="Arial" w:hAnsi="Arial"/>
          <w:sz w:val="22"/>
          <w:szCs w:val="22"/>
          <w:color w:val="auto"/>
        </w:rPr>
        <w:t>Dividends upon the capital stock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86" w:lineRule="exact"/>
        <w:rPr>
          <w:sz w:val="20"/>
          <w:szCs w:val="20"/>
          <w:color w:val="auto"/>
        </w:rPr>
      </w:pPr>
    </w:p>
    <w:p>
      <w:pPr>
        <w:ind w:left="200" w:right="319" w:firstLine="648"/>
        <w:spacing w:after="0" w:line="304" w:lineRule="auto"/>
        <w:rPr>
          <w:sz w:val="20"/>
          <w:szCs w:val="20"/>
          <w:color w:val="auto"/>
        </w:rPr>
      </w:pPr>
      <w:r>
        <w:rPr>
          <w:rFonts w:ascii="Arial" w:cs="Arial" w:eastAsia="Arial" w:hAnsi="Arial"/>
          <w:sz w:val="19"/>
          <w:szCs w:val="19"/>
          <w:b w:val="1"/>
          <w:bCs w:val="1"/>
          <w:color w:val="auto"/>
        </w:rPr>
        <w:t xml:space="preserve">Section 41. Dividend Reserve. </w:t>
      </w:r>
      <w:r>
        <w:rPr>
          <w:rFonts w:ascii="Arial" w:cs="Arial" w:eastAsia="Arial" w:hAnsi="Arial"/>
          <w:sz w:val="19"/>
          <w:szCs w:val="19"/>
          <w:color w:val="auto"/>
        </w:rPr>
        <w:t>Before payment of any dividend, there may be set aside</w:t>
      </w:r>
      <w:r>
        <w:rPr>
          <w:rFonts w:ascii="Arial" w:cs="Arial" w:eastAsia="Arial" w:hAnsi="Arial"/>
          <w:sz w:val="19"/>
          <w:szCs w:val="19"/>
          <w:b w:val="1"/>
          <w:bCs w:val="1"/>
          <w:color w:val="auto"/>
        </w:rPr>
        <w:t xml:space="preserve"> </w:t>
      </w:r>
      <w:r>
        <w:rPr>
          <w:rFonts w:ascii="Arial" w:cs="Arial" w:eastAsia="Arial" w:hAnsi="Arial"/>
          <w:sz w:val="19"/>
          <w:szCs w:val="19"/>
          <w:color w:val="auto"/>
        </w:rPr>
        <w:t>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w:t>
      </w:r>
    </w:p>
    <w:p>
      <w:pPr>
        <w:sectPr>
          <w:pgSz w:w="11900" w:h="16838" w:orient="portrait"/>
          <w:cols w:equalWidth="0" w:num="1">
            <w:col w:w="9019"/>
          </w:cols>
          <w:pgMar w:left="1440" w:top="666" w:right="1440"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73" w:name="page74"/>
    <w:bookmarkEnd w:id="73"/>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00" w:right="319"/>
        <w:spacing w:after="0" w:line="253" w:lineRule="auto"/>
        <w:rPr>
          <w:sz w:val="20"/>
          <w:szCs w:val="20"/>
          <w:color w:val="auto"/>
        </w:rPr>
      </w:pPr>
      <w:r>
        <w:rPr>
          <w:rFonts w:ascii="Arial" w:cs="Arial" w:eastAsia="Arial" w:hAnsi="Arial"/>
          <w:sz w:val="22"/>
          <w:szCs w:val="22"/>
          <w:color w:val="auto"/>
        </w:rPr>
        <w:t>of the corporation, or for such other purpose as the Board of Directors shall think conducive to the interests of the corporation, and the Board of Directors may modify or abolish any such reserve in the manner in which it was created.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FISCAL YEAR</w:t>
      </w:r>
    </w:p>
    <w:p>
      <w:pPr>
        <w:spacing w:after="0" w:line="220" w:lineRule="exact"/>
        <w:rPr>
          <w:sz w:val="20"/>
          <w:szCs w:val="20"/>
          <w:color w:val="auto"/>
        </w:rPr>
      </w:pPr>
    </w:p>
    <w:p>
      <w:pPr>
        <w:ind w:left="200" w:right="219" w:firstLine="648"/>
        <w:spacing w:after="0" w:line="269" w:lineRule="auto"/>
        <w:rPr>
          <w:sz w:val="20"/>
          <w:szCs w:val="20"/>
          <w:color w:val="auto"/>
        </w:rPr>
      </w:pPr>
      <w:r>
        <w:rPr>
          <w:rFonts w:ascii="Arial" w:cs="Arial" w:eastAsia="Arial" w:hAnsi="Arial"/>
          <w:sz w:val="22"/>
          <w:szCs w:val="22"/>
          <w:b w:val="1"/>
          <w:bCs w:val="1"/>
          <w:color w:val="auto"/>
        </w:rPr>
        <w:t xml:space="preserve">Section 42. Fiscal Year. </w:t>
      </w:r>
      <w:r>
        <w:rPr>
          <w:rFonts w:ascii="Arial" w:cs="Arial" w:eastAsia="Arial" w:hAnsi="Arial"/>
          <w:sz w:val="22"/>
          <w:szCs w:val="22"/>
          <w:color w:val="auto"/>
        </w:rPr>
        <w:t>The fiscal year of the corporation shall be fixed by resolution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INDEMNIFICATION</w:t>
      </w:r>
    </w:p>
    <w:p>
      <w:pPr>
        <w:spacing w:after="0" w:line="220" w:lineRule="exact"/>
        <w:rPr>
          <w:sz w:val="20"/>
          <w:szCs w:val="20"/>
          <w:color w:val="auto"/>
        </w:rPr>
      </w:pPr>
    </w:p>
    <w:p>
      <w:pPr>
        <w:jc w:val="center"/>
        <w:ind w:right="-80"/>
        <w:spacing w:after="0"/>
        <w:tabs>
          <w:tab w:leader="none" w:pos="28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color w:val="auto"/>
        </w:rPr>
        <w:t>Indemnification Of Directors, Officers, Employees And Other Agents.</w:t>
      </w:r>
    </w:p>
    <w:p>
      <w:pPr>
        <w:spacing w:after="0" w:line="220" w:lineRule="exact"/>
        <w:rPr>
          <w:sz w:val="20"/>
          <w:szCs w:val="20"/>
          <w:color w:val="auto"/>
        </w:rPr>
      </w:pPr>
    </w:p>
    <w:p>
      <w:pPr>
        <w:ind w:left="200" w:right="239" w:firstLine="1305"/>
        <w:spacing w:after="0" w:line="285" w:lineRule="auto"/>
        <w:tabs>
          <w:tab w:leader="none" w:pos="2144"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Directors. </w:t>
      </w:r>
      <w:r>
        <w:rPr>
          <w:rFonts w:ascii="Arial" w:cs="Arial" w:eastAsia="Arial" w:hAnsi="Arial"/>
          <w:sz w:val="19"/>
          <w:szCs w:val="19"/>
          <w:color w:val="auto"/>
        </w:rPr>
        <w:t>The corporation shall indemnify its directors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prohibited by the DGCL or any other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corporation may modify the extent of such indemnification by individual contracts with its directors;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corporation shall not be required to indemnify any director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w:t>
      </w:r>
    </w:p>
    <w:p>
      <w:pPr>
        <w:ind w:left="580" w:hanging="371"/>
        <w:spacing w:after="0"/>
        <w:tabs>
          <w:tab w:leader="none" w:pos="5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indemnification is required to be made under subsection (d).</w:t>
      </w:r>
    </w:p>
    <w:p>
      <w:pPr>
        <w:spacing w:after="0" w:line="195" w:lineRule="exact"/>
        <w:rPr>
          <w:rFonts w:ascii="Arial" w:cs="Arial" w:eastAsia="Arial" w:hAnsi="Arial"/>
          <w:sz w:val="22"/>
          <w:szCs w:val="22"/>
          <w:color w:val="auto"/>
        </w:rPr>
      </w:pPr>
    </w:p>
    <w:p>
      <w:pPr>
        <w:ind w:left="200" w:right="319" w:firstLine="1305"/>
        <w:spacing w:after="0" w:line="249" w:lineRule="auto"/>
        <w:tabs>
          <w:tab w:leader="none" w:pos="2144"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Officers, Employees and Other Agents. </w:t>
      </w:r>
      <w:r>
        <w:rPr>
          <w:rFonts w:ascii="Arial" w:cs="Arial" w:eastAsia="Arial" w:hAnsi="Arial"/>
          <w:sz w:val="22"/>
          <w:szCs w:val="22"/>
          <w:color w:val="auto"/>
        </w:rPr>
        <w:t>The corporation shall have power</w:t>
      </w:r>
      <w:r>
        <w:rPr>
          <w:rFonts w:ascii="Arial" w:cs="Arial" w:eastAsia="Arial" w:hAnsi="Arial"/>
          <w:sz w:val="22"/>
          <w:szCs w:val="22"/>
          <w:b w:val="1"/>
          <w:bCs w:val="1"/>
          <w:color w:val="auto"/>
        </w:rPr>
        <w:t xml:space="preserve"> </w:t>
      </w:r>
      <w:r>
        <w:rPr>
          <w:rFonts w:ascii="Arial" w:cs="Arial" w:eastAsia="Arial" w:hAnsi="Arial"/>
          <w:sz w:val="22"/>
          <w:szCs w:val="22"/>
          <w:color w:val="auto"/>
        </w:rPr>
        <w:t>to indemnify its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86" w:lineRule="exact"/>
        <w:rPr>
          <w:rFonts w:ascii="Arial" w:cs="Arial" w:eastAsia="Arial" w:hAnsi="Arial"/>
          <w:sz w:val="22"/>
          <w:szCs w:val="22"/>
          <w:b w:val="1"/>
          <w:bCs w:val="1"/>
          <w:color w:val="auto"/>
        </w:rPr>
      </w:pPr>
    </w:p>
    <w:p>
      <w:pPr>
        <w:ind w:left="200" w:right="259" w:firstLine="1305"/>
        <w:spacing w:after="0" w:line="287" w:lineRule="auto"/>
        <w:tabs>
          <w:tab w:leader="none" w:pos="2144" w:val="left"/>
        </w:tabs>
        <w:numPr>
          <w:ilvl w:val="1"/>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w:t>
      </w:r>
      <w:r>
        <w:rPr>
          <w:rFonts w:ascii="Arial" w:cs="Arial" w:eastAsia="Arial" w:hAnsi="Arial"/>
          <w:sz w:val="19"/>
          <w:szCs w:val="19"/>
          <w:color w:val="auto"/>
        </w:rPr>
        <w:t>The corporation shall advance to any person who was or is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or is threatened to be made a party to any threatened, 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4" w:name="page75"/>
    <w:bookmarkEnd w:id="74"/>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559"/>
        <w:spacing w:after="0" w:line="263" w:lineRule="auto"/>
        <w:rPr>
          <w:sz w:val="20"/>
          <w:szCs w:val="20"/>
          <w:color w:val="auto"/>
        </w:rPr>
      </w:pPr>
      <w:r>
        <w:rPr>
          <w:rFonts w:ascii="Arial" w:cs="Arial" w:eastAsia="Arial" w:hAnsi="Arial"/>
          <w:sz w:val="22"/>
          <w:szCs w:val="22"/>
          <w:color w:val="auto"/>
        </w:rPr>
        <w:t>there is no further right to appeal that such indemnitee is not entitled to be indemnified for such expenses under this section or otherwise.</w:t>
      </w:r>
    </w:p>
    <w:p>
      <w:pPr>
        <w:spacing w:after="0" w:line="169" w:lineRule="exact"/>
        <w:rPr>
          <w:sz w:val="20"/>
          <w:szCs w:val="20"/>
          <w:color w:val="auto"/>
        </w:rPr>
      </w:pPr>
    </w:p>
    <w:p>
      <w:pPr>
        <w:ind w:left="200" w:right="259" w:firstLine="1305"/>
        <w:spacing w:after="0" w:line="284" w:lineRule="auto"/>
        <w:tabs>
          <w:tab w:leader="none" w:pos="2144"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Without the necessity of entering into an express contract, all</w:t>
      </w:r>
      <w:r>
        <w:rPr>
          <w:rFonts w:ascii="Arial" w:cs="Arial" w:eastAsia="Arial" w:hAnsi="Arial"/>
          <w:sz w:val="19"/>
          <w:szCs w:val="19"/>
          <w:b w:val="1"/>
          <w:bCs w:val="1"/>
          <w:color w:val="auto"/>
        </w:rPr>
        <w:t xml:space="preserve"> </w:t>
      </w:r>
      <w:r>
        <w:rPr>
          <w:rFonts w:ascii="Arial" w:cs="Arial" w:eastAsia="Arial" w:hAnsi="Arial"/>
          <w:sz w:val="19"/>
          <w:szCs w:val="19"/>
          <w:color w:val="auto"/>
        </w:rPr>
        <w:t>rights to indemnification and advances to directors under 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171" w:lineRule="exact"/>
        <w:rPr>
          <w:rFonts w:ascii="Arial" w:cs="Arial" w:eastAsia="Arial" w:hAnsi="Arial"/>
          <w:sz w:val="19"/>
          <w:szCs w:val="19"/>
          <w:b w:val="1"/>
          <w:bCs w:val="1"/>
          <w:color w:val="auto"/>
        </w:rPr>
      </w:pPr>
    </w:p>
    <w:p>
      <w:pPr>
        <w:ind w:left="200" w:right="239" w:firstLine="1305"/>
        <w:spacing w:after="0" w:line="260" w:lineRule="auto"/>
        <w:tabs>
          <w:tab w:leader="none" w:pos="2144"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Non-Exclusivity of Rights. </w:t>
      </w:r>
      <w:r>
        <w:rPr>
          <w:rFonts w:ascii="Arial" w:cs="Arial" w:eastAsia="Arial" w:hAnsi="Arial"/>
          <w:sz w:val="21"/>
          <w:szCs w:val="21"/>
          <w:color w:val="auto"/>
        </w:rPr>
        <w:t>The rights conferred on any person by this</w:t>
      </w:r>
      <w:r>
        <w:rPr>
          <w:rFonts w:ascii="Arial" w:cs="Arial" w:eastAsia="Arial" w:hAnsi="Arial"/>
          <w:sz w:val="21"/>
          <w:szCs w:val="21"/>
          <w:b w:val="1"/>
          <w:bCs w:val="1"/>
          <w:color w:val="auto"/>
        </w:rPr>
        <w:t xml:space="preserve"> </w:t>
      </w:r>
      <w:r>
        <w:rPr>
          <w:rFonts w:ascii="Arial" w:cs="Arial" w:eastAsia="Arial" w:hAnsi="Arial"/>
          <w:sz w:val="21"/>
          <w:szCs w:val="21"/>
          <w:color w:val="auto"/>
        </w:rPr>
        <w:t>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5" w:lineRule="exact"/>
        <w:rPr>
          <w:rFonts w:ascii="Arial" w:cs="Arial" w:eastAsia="Arial" w:hAnsi="Arial"/>
          <w:sz w:val="21"/>
          <w:szCs w:val="21"/>
          <w:b w:val="1"/>
          <w:bCs w:val="1"/>
          <w:color w:val="auto"/>
        </w:rPr>
      </w:pPr>
    </w:p>
    <w:p>
      <w:pPr>
        <w:ind w:left="200" w:right="339" w:firstLine="1305"/>
        <w:spacing w:after="0" w:line="256" w:lineRule="auto"/>
        <w:tabs>
          <w:tab w:leader="none" w:pos="2144"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Survival of Rights. </w:t>
      </w:r>
      <w:r>
        <w:rPr>
          <w:rFonts w:ascii="Arial" w:cs="Arial" w:eastAsia="Arial" w:hAnsi="Arial"/>
          <w:sz w:val="22"/>
          <w:szCs w:val="22"/>
          <w:color w:val="auto"/>
        </w:rPr>
        <w:t>The rights conferred on any person by this Bylaw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to a person who has ceased to be a director and shall inure to the benefit of the heirs, executors and administrators of such a person.</w:t>
      </w:r>
    </w:p>
    <w:p>
      <w:pPr>
        <w:spacing w:after="0" w:line="176" w:lineRule="exact"/>
        <w:rPr>
          <w:rFonts w:ascii="Arial" w:cs="Arial" w:eastAsia="Arial" w:hAnsi="Arial"/>
          <w:sz w:val="22"/>
          <w:szCs w:val="22"/>
          <w:b w:val="1"/>
          <w:bCs w:val="1"/>
          <w:color w:val="auto"/>
        </w:rPr>
      </w:pPr>
    </w:p>
    <w:p>
      <w:pPr>
        <w:ind w:left="200" w:right="359" w:firstLine="1305"/>
        <w:spacing w:after="0" w:line="315" w:lineRule="auto"/>
        <w:tabs>
          <w:tab w:leader="none" w:pos="2144"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To the fullest extent permitted by the DGCL or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the corporation, upon approval by the Board of Directors, may purchase insurance on behalf of any person required or permitted to be indemnified pursuant to this section.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5" w:name="page76"/>
    <w:bookmarkEnd w:id="75"/>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200" w:right="259" w:firstLine="1305"/>
        <w:spacing w:after="0" w:line="252" w:lineRule="auto"/>
        <w:tabs>
          <w:tab w:leader="none" w:pos="214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Any repeal or modification of this section shall only be</w:t>
      </w:r>
      <w:r>
        <w:rPr>
          <w:rFonts w:ascii="Arial" w:cs="Arial" w:eastAsia="Arial" w:hAnsi="Arial"/>
          <w:sz w:val="22"/>
          <w:szCs w:val="22"/>
          <w:b w:val="1"/>
          <w:bCs w:val="1"/>
          <w:color w:val="auto"/>
        </w:rPr>
        <w:t xml:space="preserve"> </w:t>
      </w:r>
      <w:r>
        <w:rPr>
          <w:rFonts w:ascii="Arial" w:cs="Arial" w:eastAsia="Arial" w:hAnsi="Arial"/>
          <w:sz w:val="22"/>
          <w:szCs w:val="22"/>
          <w:color w:val="auto"/>
        </w:rPr>
        <w:t>prospective and shall not affect the rights under this Bylaw in effect at the time of the alleged occurrence of any action or omission to act that is the cause of any proceeding against any agent of the corporation.</w:t>
      </w:r>
    </w:p>
    <w:p>
      <w:pPr>
        <w:spacing w:after="0" w:line="179" w:lineRule="exact"/>
        <w:rPr>
          <w:rFonts w:ascii="Arial" w:cs="Arial" w:eastAsia="Arial" w:hAnsi="Arial"/>
          <w:sz w:val="22"/>
          <w:szCs w:val="22"/>
          <w:b w:val="1"/>
          <w:bCs w:val="1"/>
          <w:color w:val="auto"/>
        </w:rPr>
      </w:pPr>
    </w:p>
    <w:p>
      <w:pPr>
        <w:ind w:left="200" w:right="379" w:firstLine="1305"/>
        <w:spacing w:after="0" w:line="295" w:lineRule="auto"/>
        <w:tabs>
          <w:tab w:leader="none" w:pos="2144"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Saving Clause. </w:t>
      </w:r>
      <w:r>
        <w:rPr>
          <w:rFonts w:ascii="Arial" w:cs="Arial" w:eastAsia="Arial" w:hAnsi="Arial"/>
          <w:sz w:val="19"/>
          <w:szCs w:val="19"/>
          <w:color w:val="auto"/>
        </w:rPr>
        <w:t>If this Bylaw or any portion hereof shall be invalidated on</w:t>
      </w:r>
      <w:r>
        <w:rPr>
          <w:rFonts w:ascii="Arial" w:cs="Arial" w:eastAsia="Arial" w:hAnsi="Arial"/>
          <w:sz w:val="19"/>
          <w:szCs w:val="19"/>
          <w:b w:val="1"/>
          <w:bCs w:val="1"/>
          <w:color w:val="auto"/>
        </w:rPr>
        <w:t xml:space="preserve"> </w:t>
      </w:r>
      <w:r>
        <w:rPr>
          <w:rFonts w:ascii="Arial" w:cs="Arial" w:eastAsia="Arial" w:hAnsi="Arial"/>
          <w:sz w:val="19"/>
          <w:szCs w:val="19"/>
          <w:color w:val="auto"/>
        </w:rPr>
        <w:t>any ground by any court of competent jurisdiction, then the 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143" w:lineRule="exact"/>
        <w:rPr>
          <w:rFonts w:ascii="Arial" w:cs="Arial" w:eastAsia="Arial" w:hAnsi="Arial"/>
          <w:sz w:val="19"/>
          <w:szCs w:val="19"/>
          <w:b w:val="1"/>
          <w:bCs w:val="1"/>
          <w:color w:val="auto"/>
        </w:rPr>
      </w:pPr>
    </w:p>
    <w:p>
      <w:pPr>
        <w:ind w:left="200" w:right="1079" w:firstLine="1305"/>
        <w:spacing w:after="0" w:line="269" w:lineRule="auto"/>
        <w:tabs>
          <w:tab w:leader="none" w:pos="2144"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For the purposes of this Bylaw,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definitions shall apply:</w:t>
      </w:r>
    </w:p>
    <w:p>
      <w:pPr>
        <w:spacing w:after="0" w:line="167" w:lineRule="exact"/>
        <w:rPr>
          <w:rFonts w:ascii="Arial" w:cs="Arial" w:eastAsia="Arial" w:hAnsi="Arial"/>
          <w:sz w:val="22"/>
          <w:szCs w:val="22"/>
          <w:b w:val="1"/>
          <w:bCs w:val="1"/>
          <w:color w:val="auto"/>
        </w:rPr>
      </w:pPr>
    </w:p>
    <w:p>
      <w:pPr>
        <w:jc w:val="both"/>
        <w:ind w:left="200" w:right="319" w:firstLine="1953"/>
        <w:spacing w:after="0" w:line="265" w:lineRule="auto"/>
        <w:tabs>
          <w:tab w:leader="none" w:pos="2792"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Arial" w:cs="Arial" w:eastAsia="Arial" w:hAnsi="Arial"/>
          <w:sz w:val="21"/>
          <w:szCs w:val="21"/>
          <w:b w:val="1"/>
          <w:bCs w:val="1"/>
          <w:color w:val="auto"/>
        </w:rPr>
      </w:pPr>
    </w:p>
    <w:p>
      <w:pPr>
        <w:jc w:val="both"/>
        <w:ind w:left="200" w:right="419" w:firstLine="1953"/>
        <w:spacing w:after="0" w:line="250" w:lineRule="auto"/>
        <w:tabs>
          <w:tab w:leader="none" w:pos="2792"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87" w:lineRule="exact"/>
        <w:rPr>
          <w:rFonts w:ascii="Arial" w:cs="Arial" w:eastAsia="Arial" w:hAnsi="Arial"/>
          <w:sz w:val="22"/>
          <w:szCs w:val="22"/>
          <w:b w:val="1"/>
          <w:bCs w:val="1"/>
          <w:color w:val="auto"/>
        </w:rPr>
      </w:pPr>
    </w:p>
    <w:p>
      <w:pPr>
        <w:ind w:left="200" w:right="259" w:firstLine="1953"/>
        <w:spacing w:after="0" w:line="289" w:lineRule="auto"/>
        <w:tabs>
          <w:tab w:leader="none" w:pos="2792"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56" w:lineRule="exact"/>
        <w:rPr>
          <w:rFonts w:ascii="Arial" w:cs="Arial" w:eastAsia="Arial" w:hAnsi="Arial"/>
          <w:sz w:val="19"/>
          <w:szCs w:val="19"/>
          <w:b w:val="1"/>
          <w:bCs w:val="1"/>
          <w:color w:val="auto"/>
        </w:rPr>
      </w:pPr>
    </w:p>
    <w:p>
      <w:pPr>
        <w:ind w:left="200" w:right="359" w:firstLine="1953"/>
        <w:spacing w:after="0" w:line="248" w:lineRule="auto"/>
        <w:tabs>
          <w:tab w:leader="none" w:pos="2792" w:val="left"/>
        </w:tabs>
        <w:numPr>
          <w:ilvl w:val="1"/>
          <w:numId w:val="71"/>
        </w:numPr>
        <w:rPr>
          <w:rFonts w:ascii="Arial" w:cs="Arial" w:eastAsia="Arial" w:hAnsi="Arial"/>
          <w:sz w:val="22"/>
          <w:szCs w:val="22"/>
          <w:b w:val="1"/>
          <w:bCs w:val="1"/>
          <w:color w:val="auto"/>
        </w:rPr>
      </w:pPr>
      <w:r>
        <w:rPr>
          <w:rFonts w:ascii="Arial" w:cs="Arial" w:eastAsia="Arial" w:hAnsi="Arial"/>
          <w:sz w:val="22"/>
          <w:szCs w:val="22"/>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91" w:lineRule="exact"/>
        <w:rPr>
          <w:rFonts w:ascii="Arial" w:cs="Arial" w:eastAsia="Arial" w:hAnsi="Arial"/>
          <w:sz w:val="22"/>
          <w:szCs w:val="22"/>
          <w:b w:val="1"/>
          <w:bCs w:val="1"/>
          <w:color w:val="auto"/>
        </w:rPr>
      </w:pPr>
    </w:p>
    <w:p>
      <w:pPr>
        <w:ind w:left="200" w:right="439" w:firstLine="1953"/>
        <w:spacing w:after="0" w:line="302" w:lineRule="auto"/>
        <w:tabs>
          <w:tab w:leader="none" w:pos="2792"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6" w:name="page77"/>
    <w:bookmarkEnd w:id="76"/>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219"/>
        <w:spacing w:after="0" w:line="263" w:lineRule="auto"/>
        <w:rPr>
          <w:sz w:val="20"/>
          <w:szCs w:val="20"/>
          <w:color w:val="auto"/>
        </w:rPr>
      </w:pPr>
      <w:r>
        <w:rPr>
          <w:rFonts w:ascii="Arial" w:cs="Arial" w:eastAsia="Arial" w:hAnsi="Arial"/>
          <w:sz w:val="21"/>
          <w:szCs w:val="21"/>
          <w:color w:val="auto"/>
        </w:rPr>
        <w:t>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NOTICES</w:t>
      </w:r>
    </w:p>
    <w:p>
      <w:pPr>
        <w:spacing w:after="0" w:line="220" w:lineRule="exact"/>
        <w:rPr>
          <w:sz w:val="20"/>
          <w:szCs w:val="20"/>
          <w:color w:val="auto"/>
        </w:rPr>
      </w:pPr>
    </w:p>
    <w:p>
      <w:pPr>
        <w:ind w:left="860"/>
        <w:spacing w:after="0"/>
        <w:tabs>
          <w:tab w:leader="none" w:pos="214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8"/>
          <w:szCs w:val="18"/>
          <w:b w:val="1"/>
          <w:bCs w:val="1"/>
          <w:color w:val="auto"/>
        </w:rPr>
        <w:t>Notices.</w:t>
      </w:r>
    </w:p>
    <w:p>
      <w:pPr>
        <w:spacing w:after="0" w:line="220" w:lineRule="exact"/>
        <w:rPr>
          <w:sz w:val="20"/>
          <w:szCs w:val="20"/>
          <w:color w:val="auto"/>
        </w:rPr>
      </w:pPr>
    </w:p>
    <w:p>
      <w:pPr>
        <w:ind w:left="200" w:right="539" w:firstLine="1305"/>
        <w:spacing w:after="0" w:line="247" w:lineRule="auto"/>
        <w:tabs>
          <w:tab w:leader="none" w:pos="2144"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To Stockholders. </w:t>
      </w:r>
      <w:r>
        <w:rPr>
          <w:rFonts w:ascii="Arial" w:cs="Arial" w:eastAsia="Arial" w:hAnsi="Arial"/>
          <w:sz w:val="22"/>
          <w:szCs w:val="22"/>
          <w:color w:val="auto"/>
        </w:rPr>
        <w:t>Written notice to stockholders of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shall be given as provided in 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89" w:lineRule="exact"/>
        <w:rPr>
          <w:rFonts w:ascii="Arial" w:cs="Arial" w:eastAsia="Arial" w:hAnsi="Arial"/>
          <w:sz w:val="22"/>
          <w:szCs w:val="22"/>
          <w:b w:val="1"/>
          <w:bCs w:val="1"/>
          <w:color w:val="auto"/>
        </w:rPr>
      </w:pPr>
    </w:p>
    <w:p>
      <w:pPr>
        <w:ind w:left="200" w:right="239" w:firstLine="1305"/>
        <w:spacing w:after="0" w:line="248" w:lineRule="auto"/>
        <w:tabs>
          <w:tab w:leader="none" w:pos="2144"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To Directors. </w:t>
      </w:r>
      <w:r>
        <w:rPr>
          <w:rFonts w:ascii="Arial" w:cs="Arial" w:eastAsia="Arial" w:hAnsi="Arial"/>
          <w:sz w:val="22"/>
          <w:szCs w:val="22"/>
          <w:color w:val="auto"/>
        </w:rPr>
        <w:t>Any notice required to be given to any director may be</w:t>
      </w:r>
      <w:r>
        <w:rPr>
          <w:rFonts w:ascii="Arial" w:cs="Arial" w:eastAsia="Arial" w:hAnsi="Arial"/>
          <w:sz w:val="22"/>
          <w:szCs w:val="22"/>
          <w:b w:val="1"/>
          <w:bCs w:val="1"/>
          <w:color w:val="auto"/>
        </w:rPr>
        <w:t xml:space="preserve"> </w:t>
      </w:r>
      <w:r>
        <w:rPr>
          <w:rFonts w:ascii="Arial" w:cs="Arial" w:eastAsia="Arial" w:hAnsi="Arial"/>
          <w:sz w:val="22"/>
          <w:szCs w:val="22"/>
          <w:color w:val="auto"/>
        </w:rPr>
        <w:t>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86" w:lineRule="exact"/>
        <w:rPr>
          <w:rFonts w:ascii="Arial" w:cs="Arial" w:eastAsia="Arial" w:hAnsi="Arial"/>
          <w:sz w:val="22"/>
          <w:szCs w:val="22"/>
          <w:b w:val="1"/>
          <w:bCs w:val="1"/>
          <w:color w:val="auto"/>
        </w:rPr>
      </w:pPr>
    </w:p>
    <w:p>
      <w:pPr>
        <w:ind w:left="200" w:right="339" w:firstLine="1305"/>
        <w:spacing w:after="0" w:line="262" w:lineRule="auto"/>
        <w:tabs>
          <w:tab w:leader="none" w:pos="2144"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Affidavit Of Mailing. </w:t>
      </w:r>
      <w:r>
        <w:rPr>
          <w:rFonts w:ascii="Arial" w:cs="Arial" w:eastAsia="Arial" w:hAnsi="Arial"/>
          <w:sz w:val="21"/>
          <w:szCs w:val="21"/>
          <w:color w:val="auto"/>
        </w:rPr>
        <w:t>An affidavit of mailing, executed by a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3" w:lineRule="exact"/>
        <w:rPr>
          <w:rFonts w:ascii="Arial" w:cs="Arial" w:eastAsia="Arial" w:hAnsi="Arial"/>
          <w:sz w:val="21"/>
          <w:szCs w:val="21"/>
          <w:b w:val="1"/>
          <w:bCs w:val="1"/>
          <w:color w:val="auto"/>
        </w:rPr>
      </w:pPr>
    </w:p>
    <w:p>
      <w:pPr>
        <w:ind w:left="200" w:right="259" w:firstLine="1305"/>
        <w:spacing w:after="0" w:line="252" w:lineRule="auto"/>
        <w:tabs>
          <w:tab w:leader="none" w:pos="2144"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Methods of Notice. </w:t>
      </w:r>
      <w:r>
        <w:rPr>
          <w:rFonts w:ascii="Arial" w:cs="Arial" w:eastAsia="Arial" w:hAnsi="Arial"/>
          <w:sz w:val="22"/>
          <w:szCs w:val="22"/>
          <w:color w:val="auto"/>
        </w:rPr>
        <w:t>It shall not be necessary that the same method of giving</w:t>
      </w:r>
      <w:r>
        <w:rPr>
          <w:rFonts w:ascii="Arial" w:cs="Arial" w:eastAsia="Arial" w:hAnsi="Arial"/>
          <w:sz w:val="22"/>
          <w:szCs w:val="22"/>
          <w:b w:val="1"/>
          <w:bCs w:val="1"/>
          <w:color w:val="auto"/>
        </w:rPr>
        <w:t xml:space="preserve"> </w:t>
      </w:r>
      <w:r>
        <w:rPr>
          <w:rFonts w:ascii="Arial" w:cs="Arial" w:eastAsia="Arial" w:hAnsi="Arial"/>
          <w:sz w:val="22"/>
          <w:szCs w:val="22"/>
          <w:color w:val="auto"/>
        </w:rPr>
        <w:t>notice be employed in respect of all recipients of notice, but one permissible method may be employed in respect of any one or more, and any other permissible method or methods may be employed in respect of any other or others.</w:t>
      </w:r>
    </w:p>
    <w:p>
      <w:pPr>
        <w:spacing w:after="0" w:line="179" w:lineRule="exact"/>
        <w:rPr>
          <w:rFonts w:ascii="Arial" w:cs="Arial" w:eastAsia="Arial" w:hAnsi="Arial"/>
          <w:sz w:val="22"/>
          <w:szCs w:val="22"/>
          <w:b w:val="1"/>
          <w:bCs w:val="1"/>
          <w:color w:val="auto"/>
        </w:rPr>
      </w:pPr>
    </w:p>
    <w:p>
      <w:pPr>
        <w:ind w:left="200" w:right="419" w:firstLine="1305"/>
        <w:spacing w:after="0" w:line="291" w:lineRule="auto"/>
        <w:tabs>
          <w:tab w:leader="none" w:pos="2144"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To Person With Whom Communication Is Unlawful. </w:t>
      </w:r>
      <w:r>
        <w:rPr>
          <w:rFonts w:ascii="Arial" w:cs="Arial" w:eastAsia="Arial" w:hAnsi="Arial"/>
          <w:sz w:val="19"/>
          <w:szCs w:val="19"/>
          <w:color w:val="auto"/>
        </w:rPr>
        <w:t>Whenever</w:t>
      </w:r>
      <w:r>
        <w:rPr>
          <w:rFonts w:ascii="Arial" w:cs="Arial" w:eastAsia="Arial" w:hAnsi="Arial"/>
          <w:sz w:val="19"/>
          <w:szCs w:val="19"/>
          <w:b w:val="1"/>
          <w:bCs w:val="1"/>
          <w:color w:val="auto"/>
        </w:rPr>
        <w:t xml:space="preserve"> </w:t>
      </w:r>
      <w:r>
        <w:rPr>
          <w:rFonts w:ascii="Arial" w:cs="Arial" w:eastAsia="Arial" w:hAnsi="Arial"/>
          <w:sz w:val="19"/>
          <w:szCs w:val="19"/>
          <w:color w:val="auto"/>
        </w:rPr>
        <w:t>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w:t>
      </w:r>
    </w:p>
    <w:p>
      <w:pPr>
        <w:sectPr>
          <w:pgSz w:w="11900" w:h="16838" w:orient="portrait"/>
          <w:cols w:equalWidth="0" w:num="1">
            <w:col w:w="9019"/>
          </w:cols>
          <w:pgMar w:left="1440" w:top="666" w:right="1440"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549275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type w:val="continuous"/>
        </w:sectPr>
      </w:pPr>
    </w:p>
    <w:bookmarkStart w:id="77" w:name="page78"/>
    <w:bookmarkEnd w:id="77"/>
    <w:p>
      <w:pPr>
        <w:jc w:val="right"/>
        <w:ind w:right="219"/>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160274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16027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639"/>
        <w:spacing w:after="0" w:line="253" w:lineRule="auto"/>
        <w:rPr>
          <w:sz w:val="20"/>
          <w:szCs w:val="20"/>
          <w:color w:val="auto"/>
        </w:rPr>
      </w:pPr>
      <w:r>
        <w:rPr>
          <w:rFonts w:ascii="Arial" w:cs="Arial" w:eastAsia="Arial" w:hAnsi="Arial"/>
          <w:sz w:val="22"/>
          <w:szCs w:val="22"/>
          <w:color w:val="auto"/>
        </w:rPr>
        <w:t>certificate under any provision of the DGCL, the certificate shall state, if such is the fact and if notice is required, that notice was given to all persons entitled to receive notice except such persons with whom communication is unlawful.</w:t>
      </w:r>
    </w:p>
    <w:p>
      <w:pPr>
        <w:spacing w:after="0" w:line="179" w:lineRule="exact"/>
        <w:rPr>
          <w:sz w:val="20"/>
          <w:szCs w:val="20"/>
          <w:color w:val="auto"/>
        </w:rPr>
      </w:pPr>
    </w:p>
    <w:p>
      <w:pPr>
        <w:ind w:left="200" w:right="339" w:firstLine="1305"/>
        <w:spacing w:after="0" w:line="260" w:lineRule="auto"/>
        <w:tabs>
          <w:tab w:leader="none" w:pos="2144"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to Stockholders Sharing an Address. </w:t>
      </w:r>
      <w:r>
        <w:rPr>
          <w:rFonts w:ascii="Arial" w:cs="Arial" w:eastAsia="Arial" w:hAnsi="Arial"/>
          <w:sz w:val="21"/>
          <w:szCs w:val="21"/>
          <w:color w:val="auto"/>
        </w:rPr>
        <w:t>Except as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prohibited under DGCL, any notice given under the 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220" w:lineRule="exact"/>
        <w:rPr>
          <w:sz w:val="20"/>
          <w:szCs w:val="20"/>
          <w:color w:val="auto"/>
        </w:rPr>
      </w:pPr>
    </w:p>
    <w:p>
      <w:pPr>
        <w:ind w:left="200" w:right="239" w:firstLine="648"/>
        <w:spacing w:after="0" w:line="288" w:lineRule="auto"/>
        <w:rPr>
          <w:sz w:val="20"/>
          <w:szCs w:val="20"/>
          <w:color w:val="auto"/>
        </w:rPr>
      </w:pPr>
      <w:r>
        <w:rPr>
          <w:rFonts w:ascii="Arial" w:cs="Arial" w:eastAsia="Arial" w:hAnsi="Arial"/>
          <w:sz w:val="19"/>
          <w:szCs w:val="19"/>
          <w:b w:val="1"/>
          <w:bCs w:val="1"/>
          <w:color w:val="auto"/>
        </w:rPr>
        <w:t xml:space="preserve">Section 45. Bylaw Amendments. </w:t>
      </w:r>
      <w:r>
        <w:rPr>
          <w:rFonts w:ascii="Arial" w:cs="Arial" w:eastAsia="Arial" w:hAnsi="Arial"/>
          <w:sz w:val="19"/>
          <w:szCs w:val="19"/>
          <w:color w:val="auto"/>
        </w:rPr>
        <w:t>Subject to the limitations set forth in Section 43(h)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these Bylaws or the provisions of the Certificate of 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LOANS TO OFFICERS OR EMPLOYEES</w:t>
      </w:r>
    </w:p>
    <w:p>
      <w:pPr>
        <w:spacing w:after="0" w:line="220" w:lineRule="exact"/>
        <w:rPr>
          <w:sz w:val="20"/>
          <w:szCs w:val="20"/>
          <w:color w:val="auto"/>
        </w:rPr>
      </w:pPr>
    </w:p>
    <w:p>
      <w:pPr>
        <w:ind w:left="200" w:right="279" w:firstLine="648"/>
        <w:spacing w:after="0" w:line="289" w:lineRule="auto"/>
        <w:rPr>
          <w:sz w:val="20"/>
          <w:szCs w:val="20"/>
          <w:color w:val="auto"/>
        </w:rPr>
      </w:pPr>
      <w:r>
        <w:rPr>
          <w:rFonts w:ascii="Arial" w:cs="Arial" w:eastAsia="Arial" w:hAnsi="Arial"/>
          <w:sz w:val="19"/>
          <w:szCs w:val="19"/>
          <w:b w:val="1"/>
          <w:bCs w:val="1"/>
          <w:color w:val="auto"/>
        </w:rPr>
        <w:t xml:space="preserve">Section 46. Loans To Officers Or Employees. </w:t>
      </w:r>
      <w:r>
        <w:rPr>
          <w:rFonts w:ascii="Arial" w:cs="Arial" w:eastAsia="Arial" w:hAnsi="Arial"/>
          <w:sz w:val="19"/>
          <w:szCs w:val="19"/>
          <w:color w:val="auto"/>
        </w:rPr>
        <w:t>Except as otherwise prohibited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including the Sarbanes-Oxley Act of 2002,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513080</wp:posOffset>
            </wp:positionV>
            <wp:extent cx="5452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66"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Keith J. Sullivan, certify that:</w:t>
      </w:r>
    </w:p>
    <w:p>
      <w:pPr>
        <w:spacing w:after="0" w:line="23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hanging="332"/>
        <w:spacing w:after="0" w:line="284" w:lineRule="auto"/>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w:t>
      </w:r>
    </w:p>
    <w:p>
      <w:pPr>
        <w:ind w:left="340"/>
        <w:spacing w:after="0"/>
        <w:rPr>
          <w:rFonts w:ascii="Arial" w:cs="Arial" w:eastAsia="Arial" w:hAnsi="Arial"/>
          <w:sz w:val="15"/>
          <w:szCs w:val="15"/>
          <w:color w:val="auto"/>
        </w:rPr>
      </w:pPr>
      <w:r>
        <w:rPr>
          <w:rFonts w:ascii="Arial" w:cs="Arial" w:eastAsia="Arial" w:hAnsi="Arial"/>
          <w:sz w:val="16"/>
          <w:szCs w:val="16"/>
          <w:color w:val="auto"/>
        </w:rPr>
        <w:t>13a-15(f) and 15d-15(f)) for the registrant and have:</w:t>
      </w:r>
    </w:p>
    <w:p>
      <w:pPr>
        <w:spacing w:after="0" w:line="230"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7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80" w:type="dxa"/>
            <w:vAlign w:val="bottom"/>
          </w:tcPr>
          <w:p>
            <w:pPr>
              <w:spacing w:after="0"/>
              <w:rPr>
                <w:sz w:val="20"/>
                <w:szCs w:val="20"/>
                <w:color w:val="auto"/>
              </w:rPr>
            </w:pPr>
            <w:r>
              <w:rPr>
                <w:rFonts w:ascii="Arial" w:cs="Arial" w:eastAsia="Arial" w:hAnsi="Arial"/>
                <w:sz w:val="16"/>
                <w:szCs w:val="16"/>
                <w:color w:val="auto"/>
              </w:rPr>
              <w:t>Date: August 3, 2021</w:t>
            </w:r>
          </w:p>
        </w:tc>
        <w:tc>
          <w:tcPr>
            <w:tcW w:w="2280" w:type="dxa"/>
            <w:vAlign w:val="bottom"/>
          </w:tcPr>
          <w:p>
            <w:pPr>
              <w:ind w:left="180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Keith J. Sullivan</w:t>
            </w:r>
          </w:p>
        </w:tc>
      </w:tr>
      <w:tr>
        <w:trPr>
          <w:trHeight w:val="206"/>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Keith J. Sullivan</w:t>
            </w:r>
          </w:p>
        </w:tc>
      </w:tr>
      <w:tr>
        <w:trPr>
          <w:trHeight w:val="206"/>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30"/>
        </w:trPr>
        <w:tc>
          <w:tcPr>
            <w:tcW w:w="3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810"/>
        </w:trPr>
        <w:tc>
          <w:tcPr>
            <w:tcW w:w="3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 Stephen Furlong, certify that:</w:t>
      </w:r>
    </w:p>
    <w:p>
      <w:pPr>
        <w:spacing w:after="0" w:line="23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Neuronetics, Inc.;</w:t>
      </w:r>
    </w:p>
    <w:p>
      <w:pPr>
        <w:spacing w:after="0" w:line="234" w:lineRule="exact"/>
        <w:rPr>
          <w:rFonts w:ascii="Arial" w:cs="Arial" w:eastAsia="Arial" w:hAnsi="Arial"/>
          <w:sz w:val="16"/>
          <w:szCs w:val="16"/>
          <w:color w:val="auto"/>
        </w:rPr>
      </w:pPr>
    </w:p>
    <w:p>
      <w:pPr>
        <w:jc w:val="both"/>
        <w:ind w:left="340" w:hanging="332"/>
        <w:spacing w:after="0" w:line="278"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340" w:right="20" w:hanging="332"/>
        <w:spacing w:after="0" w:line="328" w:lineRule="auto"/>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5"/>
          <w:szCs w:val="15"/>
          <w:color w:val="auto"/>
        </w:rPr>
      </w:pPr>
    </w:p>
    <w:p>
      <w:pPr>
        <w:jc w:val="both"/>
        <w:ind w:left="340" w:right="20" w:hanging="332"/>
        <w:spacing w:after="0" w:line="278"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660" w:hanging="328"/>
        <w:spacing w:after="0" w:line="278"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5"/>
          <w:szCs w:val="15"/>
          <w:color w:val="auto"/>
        </w:rPr>
      </w:pPr>
    </w:p>
    <w:p>
      <w:pPr>
        <w:ind w:left="660" w:right="20" w:hanging="328"/>
        <w:spacing w:after="0" w:line="293"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660" w:right="20" w:hanging="328"/>
        <w:spacing w:after="0" w:line="293" w:lineRule="auto"/>
        <w:tabs>
          <w:tab w:leader="none" w:pos="66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80" w:type="dxa"/>
            <w:vAlign w:val="bottom"/>
          </w:tcPr>
          <w:p>
            <w:pPr>
              <w:spacing w:after="0"/>
              <w:rPr>
                <w:sz w:val="20"/>
                <w:szCs w:val="20"/>
                <w:color w:val="auto"/>
              </w:rPr>
            </w:pPr>
            <w:r>
              <w:rPr>
                <w:rFonts w:ascii="Arial" w:cs="Arial" w:eastAsia="Arial" w:hAnsi="Arial"/>
                <w:sz w:val="16"/>
                <w:szCs w:val="16"/>
                <w:color w:val="auto"/>
              </w:rPr>
              <w:t>Date: August 3, 2021</w:t>
            </w:r>
          </w:p>
        </w:tc>
        <w:tc>
          <w:tcPr>
            <w:tcW w:w="2280" w:type="dxa"/>
            <w:vAlign w:val="bottom"/>
          </w:tcPr>
          <w:p>
            <w:pPr>
              <w:ind w:left="1800"/>
              <w:spacing w:after="0"/>
              <w:rPr>
                <w:sz w:val="20"/>
                <w:szCs w:val="20"/>
                <w:color w:val="auto"/>
              </w:rPr>
            </w:pPr>
            <w:r>
              <w:rPr>
                <w:rFonts w:ascii="Arial" w:cs="Arial" w:eastAsia="Arial" w:hAnsi="Arial"/>
                <w:sz w:val="16"/>
                <w:szCs w:val="16"/>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Furlong</w:t>
            </w:r>
          </w:p>
        </w:tc>
      </w:tr>
      <w:tr>
        <w:trPr>
          <w:trHeight w:val="203"/>
        </w:trPr>
        <w:tc>
          <w:tcPr>
            <w:tcW w:w="3180" w:type="dxa"/>
            <w:vAlign w:val="bottom"/>
          </w:tcPr>
          <w:p>
            <w:pPr>
              <w:spacing w:after="0"/>
              <w:rPr>
                <w:sz w:val="17"/>
                <w:szCs w:val="17"/>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w w:val="97"/>
              </w:rPr>
              <w:t>Name:</w:t>
            </w:r>
          </w:p>
        </w:tc>
        <w:tc>
          <w:tcPr>
            <w:tcW w:w="4460" w:type="dxa"/>
            <w:vAlign w:val="bottom"/>
          </w:tcPr>
          <w:p>
            <w:pPr>
              <w:spacing w:after="0"/>
              <w:rPr>
                <w:sz w:val="20"/>
                <w:szCs w:val="20"/>
                <w:color w:val="auto"/>
              </w:rPr>
            </w:pPr>
            <w:r>
              <w:rPr>
                <w:rFonts w:ascii="Arial" w:cs="Arial" w:eastAsia="Arial" w:hAnsi="Arial"/>
                <w:sz w:val="16"/>
                <w:szCs w:val="16"/>
                <w:color w:val="auto"/>
              </w:rPr>
              <w:t>Stephen Furlong</w:t>
            </w:r>
          </w:p>
        </w:tc>
      </w:tr>
      <w:tr>
        <w:trPr>
          <w:trHeight w:val="229"/>
        </w:trPr>
        <w:tc>
          <w:tcPr>
            <w:tcW w:w="3180" w:type="dxa"/>
            <w:vAlign w:val="bottom"/>
          </w:tcPr>
          <w:p>
            <w:pPr>
              <w:spacing w:after="0"/>
              <w:rPr>
                <w:sz w:val="19"/>
                <w:szCs w:val="19"/>
                <w:color w:val="auto"/>
              </w:rPr>
            </w:pPr>
          </w:p>
        </w:tc>
        <w:tc>
          <w:tcPr>
            <w:tcW w:w="2280" w:type="dxa"/>
            <w:vAlign w:val="bottom"/>
          </w:tcPr>
          <w:p>
            <w:pPr>
              <w:ind w:left="1800"/>
              <w:spacing w:after="0"/>
              <w:rPr>
                <w:sz w:val="20"/>
                <w:szCs w:val="20"/>
                <w:color w:val="auto"/>
              </w:rPr>
            </w:pPr>
            <w:r>
              <w:rPr>
                <w:rFonts w:ascii="Arial" w:cs="Arial" w:eastAsia="Arial" w:hAnsi="Arial"/>
                <w:sz w:val="16"/>
                <w:szCs w:val="16"/>
                <w:color w:val="auto"/>
              </w:rPr>
              <w:t>Title:</w:t>
            </w:r>
          </w:p>
        </w:tc>
        <w:tc>
          <w:tcPr>
            <w:tcW w:w="4460" w:type="dxa"/>
            <w:vAlign w:val="bottom"/>
          </w:tcPr>
          <w:p>
            <w:pPr>
              <w:spacing w:after="0"/>
              <w:rPr>
                <w:sz w:val="20"/>
                <w:szCs w:val="20"/>
                <w:color w:val="auto"/>
              </w:rPr>
            </w:pPr>
            <w:r>
              <w:rPr>
                <w:rFonts w:ascii="Arial" w:cs="Arial" w:eastAsia="Arial" w:hAnsi="Arial"/>
                <w:sz w:val="16"/>
                <w:szCs w:val="16"/>
                <w:color w:val="auto"/>
              </w:rPr>
              <w:t>SVP, Chief Financial Officer and Treasurer</w:t>
            </w:r>
          </w:p>
        </w:tc>
      </w:tr>
      <w:tr>
        <w:trPr>
          <w:trHeight w:val="206"/>
        </w:trPr>
        <w:tc>
          <w:tcPr>
            <w:tcW w:w="3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810"/>
        </w:trPr>
        <w:tc>
          <w:tcPr>
            <w:tcW w:w="3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June 30,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August 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Keith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Keith J. Sullivan</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60" w:firstLine="648"/>
        <w:spacing w:after="0" w:line="278" w:lineRule="auto"/>
        <w:rPr>
          <w:sz w:val="20"/>
          <w:szCs w:val="20"/>
          <w:color w:val="auto"/>
        </w:rPr>
      </w:pPr>
      <w:r>
        <w:rPr>
          <w:rFonts w:ascii="Arial" w:cs="Arial" w:eastAsia="Arial" w:hAnsi="Arial"/>
          <w:sz w:val="16"/>
          <w:szCs w:val="16"/>
          <w:color w:val="auto"/>
        </w:rPr>
        <w:t>In connection with the quarterly report on Form 10-Q of Neuronetics, Inc. (the “Company”) for the fiscal quarter ended June 30, 2021 as filed with the Securities and Exchange Commission on the date hereof (the “Report”), I certify, pursuant to 18 U.S.C. Section 1350, as adopted pursuant to Section 906 of the Sarbanes-Oxley Act of 2002, that:</w:t>
      </w:r>
    </w:p>
    <w:p>
      <w:pPr>
        <w:spacing w:after="0" w:line="184"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4960" w:val="left"/>
          <w:tab w:leader="none" w:pos="5440" w:val="left"/>
        </w:tabs>
        <w:rPr>
          <w:sz w:val="20"/>
          <w:szCs w:val="20"/>
          <w:color w:val="auto"/>
        </w:rPr>
      </w:pPr>
      <w:r>
        <w:rPr>
          <w:rFonts w:ascii="Arial" w:cs="Arial" w:eastAsia="Arial" w:hAnsi="Arial"/>
          <w:sz w:val="16"/>
          <w:szCs w:val="16"/>
          <w:color w:val="auto"/>
        </w:rPr>
        <w:t>Date: August 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Stephen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28289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Name: Stephen Furlong</w:t>
      </w:r>
    </w:p>
    <w:p>
      <w:pPr>
        <w:spacing w:after="0" w:line="22" w:lineRule="exact"/>
        <w:rPr>
          <w:sz w:val="20"/>
          <w:szCs w:val="20"/>
          <w:color w:val="auto"/>
        </w:rPr>
      </w:pPr>
    </w:p>
    <w:p>
      <w:pPr>
        <w:ind w:left="4980"/>
        <w:spacing w:after="0"/>
        <w:tabs>
          <w:tab w:leader="none" w:pos="5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SVP, Chief Financial Officer and Treasurer</w:t>
      </w:r>
    </w:p>
    <w:p>
      <w:pPr>
        <w:spacing w:after="0" w:line="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2"/>
    </w:lvl>
  </w:abstractNum>
  <w:abstractNum w:abstractNumId="4">
    <w:nsid w:val="153EA438"/>
    <w:multiLevelType w:val="hybridMultilevel"/>
    <w:lvl w:ilvl="0">
      <w:lvlJc w:val="left"/>
      <w:lvlText w:val="%1."/>
      <w:numFmt w:val="decimal"/>
      <w:start w:val="3"/>
    </w:lvl>
  </w:abstractNum>
  <w:abstractNum w:abstractNumId="5">
    <w:nsid w:val="3855585C"/>
    <w:multiLevelType w:val="hybridMultilevel"/>
    <w:lvl w:ilvl="0">
      <w:lvlJc w:val="left"/>
      <w:lvlText w:val="%1."/>
      <w:numFmt w:val="decimal"/>
      <w:start w:val="4"/>
    </w:lvl>
  </w:abstractNum>
  <w:abstractNum w:abstractNumId="6">
    <w:nsid w:val="70A64E2A"/>
    <w:multiLevelType w:val="hybridMultilevel"/>
    <w:lvl w:ilvl="0">
      <w:lvlJc w:val="left"/>
      <w:lvlText w:val="%1."/>
      <w:numFmt w:val="decimal"/>
      <w:start w:val="5"/>
    </w:lvl>
  </w:abstractNum>
  <w:abstractNum w:abstractNumId="7">
    <w:nsid w:val="6A2342EC"/>
    <w:multiLevelType w:val="hybridMultilevel"/>
    <w:lvl w:ilvl="0">
      <w:lvlJc w:val="left"/>
      <w:lvlText w:val="%1."/>
      <w:numFmt w:val="decimal"/>
      <w:start w:val="6"/>
    </w:lvl>
  </w:abstractNum>
  <w:abstractNum w:abstractNumId="8">
    <w:nsid w:val="2A487CB0"/>
    <w:multiLevelType w:val="hybridMultilevel"/>
    <w:lvl w:ilvl="0">
      <w:lvlJc w:val="left"/>
      <w:lvlText w:val="%1."/>
      <w:numFmt w:val="decimal"/>
      <w:start w:val="7"/>
    </w:lvl>
  </w:abstractNum>
  <w:abstractNum w:abstractNumId="9">
    <w:nsid w:val="1D4ED43B"/>
    <w:multiLevelType w:val="hybridMultilevel"/>
    <w:lvl w:ilvl="0">
      <w:lvlJc w:val="left"/>
      <w:lvlText w:val="%1."/>
      <w:numFmt w:val="decimal"/>
      <w:start w:val="8"/>
    </w:lvl>
  </w:abstractNum>
  <w:abstractNum w:abstractNumId="10">
    <w:nsid w:val="725A06FB"/>
    <w:multiLevelType w:val="hybridMultilevel"/>
    <w:lvl w:ilvl="0">
      <w:lvlJc w:val="left"/>
      <w:lvlText w:val="%1."/>
      <w:numFmt w:val="decimal"/>
      <w:start w:val="9"/>
    </w:lvl>
  </w:abstractNum>
  <w:abstractNum w:abstractNumId="11">
    <w:nsid w:val="2CD89A32"/>
    <w:multiLevelType w:val="hybridMultilevel"/>
    <w:lvl w:ilvl="0">
      <w:lvlJc w:val="left"/>
      <w:lvlText w:val="%1."/>
      <w:numFmt w:val="decimal"/>
      <w:start w:val="10"/>
    </w:lvl>
  </w:abstractNum>
  <w:abstractNum w:abstractNumId="12">
    <w:nsid w:val="57E4CCAF"/>
    <w:multiLevelType w:val="hybridMultilevel"/>
    <w:lvl w:ilvl="0">
      <w:lvlJc w:val="left"/>
      <w:lvlText w:val="%1."/>
      <w:numFmt w:val="decimal"/>
      <w:start w:val="11"/>
    </w:lvl>
  </w:abstractNum>
  <w:abstractNum w:abstractNumId="13">
    <w:nsid w:val="7A6D8D3C"/>
    <w:multiLevelType w:val="hybridMultilevel"/>
    <w:lvl w:ilvl="0">
      <w:lvlJc w:val="left"/>
      <w:lvlText w:val="%1."/>
      <w:numFmt w:val="decimal"/>
      <w:start w:val="12"/>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lowerLetter"/>
      <w:start w:val="4"/>
    </w:lvl>
  </w:abstractNum>
  <w:abstractNum w:abstractNumId="16">
    <w:nsid w:val="6DE91B18"/>
    <w:multiLevelType w:val="hybridMultilevel"/>
    <w:lvl w:ilvl="0">
      <w:lvlJc w:val="left"/>
      <w:lvlText w:val="(%1)"/>
      <w:numFmt w:val="lowerRoman"/>
      <w:start w:val="5"/>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decimal"/>
      <w:start w:val="13"/>
    </w:lvl>
  </w:abstractNum>
  <w:abstractNum w:abstractNumId="19">
    <w:nsid w:val="32FFF902"/>
    <w:multiLevelType w:val="hybridMultilevel"/>
    <w:lvl w:ilvl="0">
      <w:lvlJc w:val="left"/>
      <w:lvlText w:val="%1."/>
      <w:numFmt w:val="decimal"/>
      <w:start w:val="14"/>
    </w:lvl>
  </w:abstractNum>
  <w:abstractNum w:abstractNumId="20">
    <w:nsid w:val="684A481A"/>
    <w:multiLevelType w:val="hybridMultilevel"/>
    <w:lvl w:ilvl="0">
      <w:lvlJc w:val="left"/>
      <w:lvlText w:val="%1."/>
      <w:numFmt w:val="decimal"/>
      <w:start w:val="15"/>
    </w:lvl>
  </w:abstractNum>
  <w:abstractNum w:abstractNumId="21">
    <w:nsid w:val="579478FE"/>
    <w:multiLevelType w:val="hybridMultilevel"/>
    <w:lvl w:ilvl="0">
      <w:lvlJc w:val="left"/>
      <w:lvlText w:val="%1."/>
      <w:numFmt w:val="decimal"/>
      <w:start w:val="16"/>
    </w:lvl>
  </w:abstractNum>
  <w:abstractNum w:abstractNumId="22">
    <w:nsid w:val="749ABB43"/>
    <w:multiLevelType w:val="hybridMultilevel"/>
    <w:lvl w:ilvl="0">
      <w:lvlJc w:val="left"/>
      <w:lvlText w:val="%1."/>
      <w:numFmt w:val="decimal"/>
      <w:start w:val="17"/>
    </w:lvl>
  </w:abstractNum>
  <w:abstractNum w:abstractNumId="23">
    <w:nsid w:val="3DC240FB"/>
    <w:multiLevelType w:val="hybridMultilevel"/>
    <w:lvl w:ilvl="0">
      <w:lvlJc w:val="left"/>
      <w:lvlText w:val="%1."/>
      <w:numFmt w:val="decimal"/>
      <w:start w:val="18"/>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1)"/>
      <w:numFmt w:val="lowerLetter"/>
      <w:start w:val="1"/>
    </w:lvl>
  </w:abstractNum>
  <w:abstractNum w:abstractNumId="26">
    <w:nsid w:val="75C6C33A"/>
    <w:multiLevelType w:val="hybridMultilevel"/>
    <w:lvl w:ilvl="0">
      <w:lvlJc w:val="left"/>
      <w:lvlText w:val="(%1)"/>
      <w:numFmt w:val="lowerLetter"/>
      <w:start w:val="4"/>
    </w:lvl>
  </w:abstractNum>
  <w:abstractNum w:abstractNumId="27">
    <w:nsid w:val="12E685FB"/>
    <w:multiLevelType w:val="hybridMultilevel"/>
    <w:lvl w:ilvl="0">
      <w:lvlJc w:val="left"/>
      <w:lvlText w:val="(%1)"/>
      <w:numFmt w:val="lowerRoman"/>
      <w:start w:val="5"/>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
      <w:numFmt w:val="bullet"/>
      <w:start w:val="1"/>
    </w:lvl>
    <w:lvl w:ilvl="1">
      <w:lvlJc w:val="left"/>
      <w:lvlText w:val="%2"/>
      <w:numFmt w:val="decimal"/>
      <w:start w:val="104"/>
    </w:lvl>
  </w:abstractNum>
  <w:abstractNum w:abstractNumId="30">
    <w:nsid w:val="374A3FE6"/>
    <w:multiLevelType w:val="hybridMultilevel"/>
    <w:lvl w:ilvl="0">
      <w:lvlJc w:val="left"/>
      <w:lvlText w:val="**"/>
      <w:numFmt w:val="bullet"/>
      <w:start w:val="1"/>
    </w:lvl>
    <w:lvl w:ilvl="1">
      <w:lvlJc w:val="left"/>
      <w:lvlText w:val="%2"/>
      <w:numFmt w:val="decimal"/>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3">
    <w:nsid w:val="649BB77C"/>
    <w:multiLevelType w:val="hybridMultilevel"/>
    <w:lvl w:ilvl="0">
      <w:lvlJc w:val="left"/>
      <w:lvlText w:val="(%1)"/>
      <w:numFmt w:val="decimal"/>
      <w:start w:val="30"/>
    </w:lvl>
    <w:lvl w:ilvl="1">
      <w:lvlJc w:val="left"/>
      <w:lvlText w:val="(%2)"/>
      <w:numFmt w:val="lowerLetter"/>
      <w:start w:val="2"/>
    </w:lvl>
    <w:lvl w:ilvl="2">
      <w:lvlJc w:val="left"/>
      <w:lvlText w:val="-"/>
      <w:numFmt w:val="bullet"/>
      <w:start w:val="1"/>
    </w:lvl>
  </w:abstractNum>
  <w:abstractNum w:abstractNumId="34">
    <w:nsid w:val="275AC794"/>
    <w:multiLevelType w:val="hybridMultilevel"/>
    <w:lvl w:ilvl="0">
      <w:lvlJc w:val="left"/>
      <w:lvlText w:val="%1"/>
      <w:numFmt w:val="lowerRoman"/>
      <w:start w:val="1"/>
    </w:lvl>
    <w:lvl w:ilvl="1">
      <w:lvlJc w:val="left"/>
      <w:lvlText w:val="(%2)"/>
      <w:numFmt w:val="decimal"/>
      <w:start w:val="1"/>
    </w:lvl>
  </w:abstractNum>
  <w:abstractNum w:abstractNumId="35">
    <w:nsid w:val="39386575"/>
    <w:multiLevelType w:val="hybridMultilevel"/>
    <w:lvl w:ilvl="0">
      <w:lvlJc w:val="left"/>
      <w:lvlText w:val="(%1)"/>
      <w:numFmt w:val="lowerRoman"/>
      <w:start w:val="3"/>
    </w:lvl>
    <w:lvl w:ilvl="1">
      <w:lvlJc w:val="left"/>
      <w:lvlText w:val="%2"/>
      <w:numFmt w:val="decimal"/>
      <w:start w:val="1"/>
    </w:lvl>
  </w:abstractNum>
  <w:abstractNum w:abstractNumId="36">
    <w:nsid w:val="1CF10FD8"/>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37">
    <w:nsid w:val="180115BE"/>
    <w:multiLevelType w:val="hybridMultilevel"/>
    <w:lvl w:ilvl="0">
      <w:lvlJc w:val="left"/>
      <w:lvlText w:val="(%1)"/>
      <w:numFmt w:val="decimal"/>
      <w:start w:val="4"/>
    </w:lvl>
  </w:abstractNum>
  <w:abstractNum w:abstractNumId="38">
    <w:nsid w:val="235BA861"/>
    <w:multiLevelType w:val="hybridMultilevel"/>
    <w:lvl w:ilvl="0">
      <w:lvlJc w:val="left"/>
      <w:lvlText w:val="(%1)"/>
      <w:numFmt w:val="lowerLetter"/>
      <w:start w:val="1"/>
    </w:lvl>
    <w:lvl w:ilvl="1">
      <w:lvlJc w:val="left"/>
      <w:lvlText w:val="(%2)"/>
      <w:numFmt w:val="decimal"/>
      <w:start w:val="1"/>
    </w:lvl>
  </w:abstractNum>
  <w:abstractNum w:abstractNumId="39">
    <w:nsid w:val="47398C89"/>
    <w:multiLevelType w:val="hybridMultilevel"/>
    <w:lvl w:ilvl="0">
      <w:lvlJc w:val="left"/>
      <w:lvlText w:val="%1"/>
      <w:numFmt w:val="decimal"/>
      <w:start w:val="1"/>
    </w:lvl>
    <w:lvl w:ilvl="1">
      <w:lvlJc w:val="left"/>
      <w:lvlText w:val="(%2)"/>
      <w:numFmt w:val="lowerLetter"/>
      <w:start w:val="1"/>
    </w:lvl>
  </w:abstractNum>
  <w:abstractNum w:abstractNumId="40">
    <w:nsid w:val="354FE9F9"/>
    <w:multiLevelType w:val="hybridMultilevel"/>
    <w:lvl w:ilvl="0">
      <w:lvlJc w:val="left"/>
      <w:lvlText w:val="(%1)"/>
      <w:numFmt w:val="decimal"/>
      <w:start w:val="45"/>
    </w:lvl>
    <w:lvl w:ilvl="1">
      <w:lvlJc w:val="left"/>
      <w:lvlText w:val="(%2)"/>
      <w:numFmt w:val="lowerLetter"/>
      <w:start w:val="2"/>
    </w:lvl>
  </w:abstractNum>
  <w:abstractNum w:abstractNumId="41">
    <w:nsid w:val="15B5AF5C"/>
    <w:multiLevelType w:val="hybridMultilevel"/>
    <w:lvl w:ilvl="0">
      <w:lvlJc w:val="left"/>
      <w:lvlText w:val="%1."/>
      <w:numFmt w:val="decimal"/>
      <w:start w:val="4"/>
    </w:lvl>
  </w:abstractNum>
  <w:abstractNum w:abstractNumId="42">
    <w:nsid w:val="741226BB"/>
    <w:multiLevelType w:val="hybridMultilevel"/>
    <w:lvl w:ilvl="0">
      <w:lvlJc w:val="left"/>
      <w:lvlText w:val="§"/>
      <w:numFmt w:val="bullet"/>
      <w:start w:val="1"/>
    </w:lvl>
    <w:lvl w:ilvl="1">
      <w:lvlJc w:val="left"/>
      <w:lvlText w:val="%2."/>
      <w:numFmt w:val="decimal"/>
      <w:start w:val="6"/>
    </w:lvl>
  </w:abstractNum>
  <w:abstractNum w:abstractNumId="43">
    <w:nsid w:val="D34B6A8"/>
    <w:multiLevelType w:val="hybridMultilevel"/>
    <w:lvl w:ilvl="0">
      <w:lvlJc w:val="left"/>
      <w:lvlText w:val="%1."/>
      <w:numFmt w:val="decimal"/>
      <w:start w:val="9"/>
    </w:lvl>
  </w:abstractNum>
  <w:abstractNum w:abstractNumId="44">
    <w:nsid w:val="10233C99"/>
    <w:multiLevelType w:val="hybridMultilevel"/>
    <w:lvl w:ilvl="0">
      <w:lvlJc w:val="left"/>
      <w:lvlText w:val="%1."/>
      <w:numFmt w:val="decimal"/>
      <w:start w:val="10"/>
    </w:lvl>
    <w:lvl w:ilvl="1">
      <w:lvlJc w:val="left"/>
      <w:lvlText w:val="-"/>
      <w:numFmt w:val="bullet"/>
      <w:start w:val="1"/>
    </w:lvl>
  </w:abstractNum>
  <w:abstractNum w:abstractNumId="45">
    <w:nsid w:val="3F6AB60F"/>
    <w:multiLevelType w:val="hybridMultilevel"/>
    <w:lvl w:ilvl="0">
      <w:lvlJc w:val="left"/>
      <w:lvlText w:val="%1."/>
      <w:numFmt w:val="decimal"/>
      <w:start w:val="11"/>
    </w:lvl>
    <w:lvl w:ilvl="1">
      <w:lvlJc w:val="left"/>
      <w:lvlText w:val="-"/>
      <w:numFmt w:val="bullet"/>
      <w:start w:val="1"/>
    </w:lvl>
  </w:abstractNum>
  <w:abstractNum w:abstractNumId="46">
    <w:nsid w:val="61574095"/>
    <w:multiLevelType w:val="hybridMultilevel"/>
    <w:lvl w:ilvl="0">
      <w:lvlJc w:val="left"/>
      <w:lvlText w:val="%1."/>
      <w:numFmt w:val="decimal"/>
      <w:start w:val="17"/>
    </w:lvl>
    <w:lvl w:ilvl="1">
      <w:lvlJc w:val="left"/>
      <w:lvlText w:val="-"/>
      <w:numFmt w:val="bullet"/>
      <w:start w:val="1"/>
    </w:lvl>
  </w:abstractNum>
  <w:abstractNum w:abstractNumId="47">
    <w:nsid w:val="7E0C57B1"/>
    <w:multiLevelType w:val="hybridMultilevel"/>
    <w:lvl w:ilvl="0">
      <w:lvlJc w:val="left"/>
      <w:lvlText w:val="(%1)"/>
      <w:numFmt w:val="lowerLetter"/>
      <w:start w:val="1"/>
    </w:lvl>
    <w:lvl w:ilvl="1">
      <w:lvlJc w:val="left"/>
      <w:lvlText w:val="(%2)"/>
      <w:numFmt w:val="decimal"/>
      <w:start w:val="1"/>
    </w:lvl>
  </w:abstractNum>
  <w:abstractNum w:abstractNumId="48">
    <w:nsid w:val="77AE35EB"/>
    <w:multiLevelType w:val="hybridMultilevel"/>
    <w:lvl w:ilvl="0">
      <w:lvlJc w:val="left"/>
      <w:lvlText w:val="%1"/>
      <w:numFmt w:val="upperLetter"/>
      <w:start w:val="1"/>
    </w:lvl>
    <w:lvl w:ilvl="1">
      <w:lvlJc w:val="left"/>
      <w:lvlText w:val="(%2)"/>
      <w:numFmt w:val="decimal"/>
      <w:start w:val="3"/>
    </w:lvl>
  </w:abstractNum>
  <w:abstractNum w:abstractNumId="49">
    <w:nsid w:val="579BE4F1"/>
    <w:multiLevelType w:val="hybridMultilevel"/>
    <w:lvl w:ilvl="0">
      <w:lvlJc w:val="left"/>
      <w:lvlText w:val="(%1)"/>
      <w:numFmt w:val="upperLetter"/>
      <w:start w:val="6"/>
    </w:lvl>
    <w:lvl w:ilvl="1">
      <w:lvlJc w:val="left"/>
      <w:lvlText w:val="%2"/>
      <w:numFmt w:val="decimal"/>
      <w:start w:val="1"/>
    </w:lvl>
  </w:abstractNum>
  <w:abstractNum w:abstractNumId="50">
    <w:nsid w:val="310C50B3"/>
    <w:multiLevelType w:val="hybridMultilevel"/>
    <w:lvl w:ilvl="0">
      <w:lvlJc w:val="left"/>
      <w:lvlText w:val="(%1)"/>
      <w:numFmt w:val="lowerLetter"/>
      <w:start w:val="23"/>
    </w:lvl>
  </w:abstractNum>
  <w:abstractNum w:abstractNumId="51">
    <w:nsid w:val="5FF87E05"/>
    <w:multiLevelType w:val="hybridMultilevel"/>
    <w:lvl w:ilvl="0">
      <w:lvlJc w:val="left"/>
      <w:lvlText w:val="(%1)"/>
      <w:numFmt w:val="lowerLetter"/>
      <w:start w:val="3"/>
    </w:lvl>
  </w:abstractNum>
  <w:abstractNum w:abstractNumId="52">
    <w:nsid w:val="2F305DEF"/>
    <w:multiLevelType w:val="hybridMultilevel"/>
    <w:lvl w:ilvl="0">
      <w:lvlJc w:val="left"/>
      <w:lvlText w:val="(%1)"/>
      <w:numFmt w:val="lowerLetter"/>
      <w:start w:val="4"/>
    </w:lvl>
    <w:lvl w:ilvl="1">
      <w:lvlJc w:val="left"/>
      <w:lvlText w:val="(%2)"/>
      <w:numFmt w:val="decimal"/>
      <w:start w:val="1"/>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4"/>
    </w:lvl>
  </w:abstractNum>
  <w:abstractNum w:abstractNumId="55">
    <w:nsid w:val="4AD084E9"/>
    <w:multiLevelType w:val="hybridMultilevel"/>
    <w:lvl w:ilvl="0">
      <w:lvlJc w:val="left"/>
      <w:lvlText w:val="(%1)"/>
      <w:numFmt w:val="decimal"/>
      <w:start w:val="10"/>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Letter"/>
      <w:start w:val="5"/>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2"/>
    </w:lvl>
  </w:abstractNum>
  <w:abstractNum w:abstractNumId="64">
    <w:nsid w:val="799D0247"/>
    <w:multiLevelType w:val="hybridMultilevel"/>
    <w:lvl w:ilvl="0">
      <w:lvlJc w:val="left"/>
      <w:lvlText w:val="(%1)"/>
      <w:numFmt w:val="lowerLetter"/>
      <w:start w:val="7"/>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Roman"/>
      <w:start w:val="1"/>
    </w:lvl>
    <w:lvl w:ilvl="1">
      <w:lvlJc w:val="left"/>
      <w:lvlText w:val="(%2)"/>
      <w:numFmt w:val="lowerLetter"/>
      <w:start w:val="1"/>
    </w:lvl>
  </w:abstractNum>
  <w:abstractNum w:abstractNumId="68">
    <w:nsid w:val="1EBA5D23"/>
    <w:multiLevelType w:val="hybridMultilevel"/>
    <w:lvl w:ilvl="0">
      <w:lvlJc w:val="left"/>
      <w:lvlText w:val="(%1)"/>
      <w:numFmt w:val="lowerRoman"/>
      <w:start w:val="4"/>
    </w:lvl>
    <w:lvl w:ilvl="1">
      <w:lvlJc w:val="left"/>
      <w:lvlText w:val="(%2)"/>
      <w:numFmt w:val="lowerLetter"/>
      <w:start w:val="2"/>
    </w:lvl>
  </w:abstractNum>
  <w:abstractNum w:abstractNumId="69">
    <w:nsid w:val="661E3F1E"/>
    <w:multiLevelType w:val="hybridMultilevel"/>
    <w:lvl w:ilvl="0">
      <w:lvlJc w:val="left"/>
      <w:lvlText w:val="(%1)"/>
      <w:numFmt w:val="lowerLetter"/>
      <w:start w:val="4"/>
    </w:lvl>
  </w:abstractNum>
  <w:abstractNum w:abstractNumId="70">
    <w:nsid w:val="5DC79EA8"/>
    <w:multiLevelType w:val="hybridMultilevel"/>
    <w:lvl w:ilvl="0">
      <w:lvlJc w:val="left"/>
      <w:lvlText w:val="(%1)"/>
      <w:numFmt w:val="lowerLetter"/>
      <w:start w:val="8"/>
    </w:lvl>
    <w:lvl w:ilvl="1">
      <w:lvlJc w:val="left"/>
      <w:lvlText w:val="(%2)"/>
      <w:numFmt w:val="decimal"/>
      <w:start w:val="1"/>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6"/>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jpe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jpeg"/><Relationship Id="rId73" Type="http://schemas.openxmlformats.org/officeDocument/2006/relationships/image" Target="media/image64.png"/><Relationship Id="rId74" Type="http://schemas.openxmlformats.org/officeDocument/2006/relationships/image" Target="media/image65.jpeg"/><Relationship Id="rId75" Type="http://schemas.openxmlformats.org/officeDocument/2006/relationships/image" Target="media/image66.pn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jpe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jpeg"/><Relationship Id="rId92" Type="http://schemas.openxmlformats.org/officeDocument/2006/relationships/image" Target="media/image83.pn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jpe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jpe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png"/><Relationship Id="rId113" Type="http://schemas.openxmlformats.org/officeDocument/2006/relationships/image" Target="media/image104.jpe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png"/><Relationship Id="rId123" Type="http://schemas.openxmlformats.org/officeDocument/2006/relationships/image" Target="media/image114.jpeg"/><Relationship Id="rId124" Type="http://schemas.openxmlformats.org/officeDocument/2006/relationships/image" Target="media/image115.png"/><Relationship Id="rId125" Type="http://schemas.openxmlformats.org/officeDocument/2006/relationships/image" Target="media/image116.jpeg"/><Relationship Id="rId126" Type="http://schemas.openxmlformats.org/officeDocument/2006/relationships/image" Target="media/image117.png"/><Relationship Id="rId127" Type="http://schemas.openxmlformats.org/officeDocument/2006/relationships/image" Target="media/image118.jpeg"/><Relationship Id="rId128" Type="http://schemas.openxmlformats.org/officeDocument/2006/relationships/image" Target="media/image119.png"/><Relationship Id="rId129" Type="http://schemas.openxmlformats.org/officeDocument/2006/relationships/image" Target="media/image120.jpe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jpe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55" Type="http://schemas.openxmlformats.org/officeDocument/2006/relationships/hyperlink" Target="https://www.sec.gov/Archives/edgar/data/1227636/000119312521111678/d152659dex31.htm" TargetMode="External"/><Relationship Id="rId56" Type="http://schemas.openxmlformats.org/officeDocument/2006/relationships/hyperlink" Target="https://www.sec.gov/Archives/edgar/data/1227636/000155837021005720/tmb-20210331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2021-08-03T16:22:09Z</dcterms:created>
  <dcterms:modified xsi:type="dcterms:W3CDTF">2021-08-03T16:22:09Z</dcterms:modified>
</cp:coreProperties>
</file>