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12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-130175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 w:lineRule="exact"/>
        <w:rPr>
          <w:sz w:val="24"/>
          <w:szCs w:val="24"/>
          <w:color w:val="auto"/>
        </w:rPr>
      </w:pPr>
    </w:p>
    <w:p>
      <w:pPr>
        <w:ind w:left="3840" w:right="2180" w:hanging="3832"/>
        <w:spacing w:after="0" w:line="261" w:lineRule="auto"/>
        <w:tabs>
          <w:tab w:leader="none" w:pos="515"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September 30, 2018</w:t>
      </w:r>
    </w:p>
    <w:p>
      <w:pPr>
        <w:spacing w:after="0" w:line="7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31" w:lineRule="exact"/>
        <w:rPr>
          <w:sz w:val="24"/>
          <w:szCs w:val="24"/>
          <w:color w:val="auto"/>
        </w:rPr>
      </w:pPr>
    </w:p>
    <w:p>
      <w:pPr>
        <w:ind w:left="3880" w:right="2160" w:hanging="3872"/>
        <w:spacing w:after="0" w:line="277" w:lineRule="auto"/>
        <w:tabs>
          <w:tab w:leader="none" w:pos="206"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_______ to _______</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001-38546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77470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NEURONETICS, INC.</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56515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6" w:lineRule="exact"/>
        <w:rPr>
          <w:sz w:val="24"/>
          <w:szCs w:val="24"/>
          <w:color w:val="auto"/>
        </w:rPr>
      </w:pPr>
    </w:p>
    <w:tbl>
      <w:tblPr>
        <w:tblLayout w:type="fixed"/>
        <w:tblInd w:w="1460" w:type="dxa"/>
        <w:tblCellMar>
          <w:top w:w="0" w:type="dxa"/>
          <w:left w:w="0" w:type="dxa"/>
          <w:bottom w:w="0" w:type="dxa"/>
          <w:right w:w="0" w:type="dxa"/>
        </w:tblCellMar>
      </w:tblPr>
      <w:tr>
        <w:trPr>
          <w:trHeight w:val="216"/>
        </w:trPr>
        <w:tc>
          <w:tcPr>
            <w:tcW w:w="5920" w:type="dxa"/>
            <w:vAlign w:val="bottom"/>
          </w:tcPr>
          <w:p>
            <w:pPr>
              <w:jc w:val="center"/>
              <w:ind w:right="3040"/>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jc w:val="right"/>
              <w:ind w:right="539"/>
              <w:spacing w:after="0"/>
              <w:rPr>
                <w:sz w:val="20"/>
                <w:szCs w:val="20"/>
                <w:color w:val="auto"/>
              </w:rPr>
            </w:pPr>
            <w:r>
              <w:rPr>
                <w:rFonts w:ascii="Arial" w:cs="Arial" w:eastAsia="Arial" w:hAnsi="Arial"/>
                <w:sz w:val="18"/>
                <w:szCs w:val="18"/>
                <w:b w:val="1"/>
                <w:bCs w:val="1"/>
                <w:color w:val="auto"/>
              </w:rPr>
              <w:t>33-1051425</w:t>
            </w:r>
          </w:p>
        </w:tc>
      </w:tr>
      <w:tr>
        <w:trPr>
          <w:trHeight w:val="149"/>
        </w:trPr>
        <w:tc>
          <w:tcPr>
            <w:tcW w:w="5920" w:type="dxa"/>
            <w:vAlign w:val="bottom"/>
          </w:tcPr>
          <w:p>
            <w:pPr>
              <w:jc w:val="center"/>
              <w:ind w:right="3040"/>
              <w:spacing w:after="0" w:line="149" w:lineRule="exact"/>
              <w:rPr>
                <w:sz w:val="20"/>
                <w:szCs w:val="20"/>
                <w:color w:val="auto"/>
              </w:rPr>
            </w:pPr>
            <w:r>
              <w:rPr>
                <w:rFonts w:ascii="Arial" w:cs="Arial" w:eastAsia="Arial" w:hAnsi="Arial"/>
                <w:sz w:val="14"/>
                <w:szCs w:val="14"/>
                <w:color w:val="auto"/>
                <w:w w:val="95"/>
              </w:rPr>
              <w:t>(State or other jurisdiction of</w:t>
            </w:r>
          </w:p>
        </w:tc>
        <w:tc>
          <w:tcPr>
            <w:tcW w:w="2240" w:type="dxa"/>
            <w:vAlign w:val="bottom"/>
          </w:tcPr>
          <w:p>
            <w:pPr>
              <w:jc w:val="center"/>
              <w:ind w:left="59"/>
              <w:spacing w:after="0" w:line="149" w:lineRule="exact"/>
              <w:rPr>
                <w:sz w:val="20"/>
                <w:szCs w:val="20"/>
                <w:color w:val="auto"/>
              </w:rPr>
            </w:pPr>
            <w:r>
              <w:rPr>
                <w:rFonts w:ascii="Arial" w:cs="Arial" w:eastAsia="Arial" w:hAnsi="Arial"/>
                <w:sz w:val="14"/>
                <w:szCs w:val="14"/>
                <w:color w:val="auto"/>
                <w:w w:val="97"/>
              </w:rPr>
              <w:t>(I.R.S. Employer Identification No.)</w:t>
            </w:r>
          </w:p>
        </w:tc>
      </w:tr>
      <w:tr>
        <w:trPr>
          <w:trHeight w:val="182"/>
        </w:trPr>
        <w:tc>
          <w:tcPr>
            <w:tcW w:w="5920" w:type="dxa"/>
            <w:vAlign w:val="bottom"/>
          </w:tcPr>
          <w:p>
            <w:pPr>
              <w:jc w:val="center"/>
              <w:ind w:right="3020"/>
              <w:spacing w:after="0"/>
              <w:rPr>
                <w:sz w:val="20"/>
                <w:szCs w:val="20"/>
                <w:color w:val="auto"/>
              </w:rPr>
            </w:pPr>
            <w:r>
              <w:rPr>
                <w:rFonts w:ascii="Arial" w:cs="Arial" w:eastAsia="Arial" w:hAnsi="Arial"/>
                <w:sz w:val="14"/>
                <w:szCs w:val="14"/>
                <w:color w:val="auto"/>
                <w:w w:val="95"/>
              </w:rPr>
              <w:t>incorporation or organization)</w:t>
            </w:r>
          </w:p>
        </w:tc>
        <w:tc>
          <w:tcPr>
            <w:tcW w:w="2240" w:type="dxa"/>
            <w:vAlign w:val="bottom"/>
          </w:tcPr>
          <w:p>
            <w:pPr>
              <w:spacing w:after="0"/>
              <w:rPr>
                <w:sz w:val="15"/>
                <w:szCs w:val="15"/>
                <w:color w:val="auto"/>
              </w:rPr>
            </w:pPr>
          </w:p>
        </w:tc>
      </w:tr>
      <w:tr>
        <w:trPr>
          <w:trHeight w:val="398"/>
        </w:trPr>
        <w:tc>
          <w:tcPr>
            <w:tcW w:w="5920" w:type="dxa"/>
            <w:vAlign w:val="bottom"/>
          </w:tcPr>
          <w:p>
            <w:pPr>
              <w:jc w:val="center"/>
              <w:ind w:right="3040"/>
              <w:spacing w:after="0"/>
              <w:rPr>
                <w:sz w:val="20"/>
                <w:szCs w:val="20"/>
                <w:color w:val="auto"/>
              </w:rPr>
            </w:pPr>
            <w:r>
              <w:rPr>
                <w:rFonts w:ascii="Arial" w:cs="Arial" w:eastAsia="Arial" w:hAnsi="Arial"/>
                <w:sz w:val="18"/>
                <w:szCs w:val="18"/>
                <w:b w:val="1"/>
                <w:bCs w:val="1"/>
                <w:color w:val="auto"/>
                <w:w w:val="91"/>
              </w:rPr>
              <w:t>3222 Phoenixville Pike, Malvern, PA</w:t>
            </w:r>
          </w:p>
        </w:tc>
        <w:tc>
          <w:tcPr>
            <w:tcW w:w="2240" w:type="dxa"/>
            <w:vAlign w:val="bottom"/>
          </w:tcPr>
          <w:p>
            <w:pPr>
              <w:jc w:val="right"/>
              <w:ind w:right="739"/>
              <w:spacing w:after="0"/>
              <w:rPr>
                <w:sz w:val="20"/>
                <w:szCs w:val="20"/>
                <w:color w:val="auto"/>
              </w:rPr>
            </w:pPr>
            <w:r>
              <w:rPr>
                <w:rFonts w:ascii="Arial" w:cs="Arial" w:eastAsia="Arial" w:hAnsi="Arial"/>
                <w:sz w:val="18"/>
                <w:szCs w:val="18"/>
                <w:b w:val="1"/>
                <w:bCs w:val="1"/>
                <w:color w:val="auto"/>
              </w:rPr>
              <w:t>19355</w:t>
            </w:r>
          </w:p>
        </w:tc>
      </w:tr>
      <w:tr>
        <w:trPr>
          <w:trHeight w:val="182"/>
        </w:trPr>
        <w:tc>
          <w:tcPr>
            <w:tcW w:w="5920" w:type="dxa"/>
            <w:vAlign w:val="bottom"/>
          </w:tcPr>
          <w:p>
            <w:pPr>
              <w:jc w:val="center"/>
              <w:ind w:right="3040"/>
              <w:spacing w:after="0"/>
              <w:rPr>
                <w:sz w:val="20"/>
                <w:szCs w:val="20"/>
                <w:color w:val="auto"/>
              </w:rPr>
            </w:pPr>
            <w:r>
              <w:rPr>
                <w:rFonts w:ascii="Arial" w:cs="Arial" w:eastAsia="Arial" w:hAnsi="Arial"/>
                <w:sz w:val="14"/>
                <w:szCs w:val="14"/>
                <w:color w:val="auto"/>
                <w:w w:val="95"/>
              </w:rPr>
              <w:t>(Address of principal executive offices)</w:t>
            </w:r>
          </w:p>
        </w:tc>
        <w:tc>
          <w:tcPr>
            <w:tcW w:w="2240" w:type="dxa"/>
            <w:vAlign w:val="bottom"/>
          </w:tcPr>
          <w:p>
            <w:pPr>
              <w:jc w:val="center"/>
              <w:ind w:left="59"/>
              <w:spacing w:after="0"/>
              <w:rPr>
                <w:sz w:val="20"/>
                <w:szCs w:val="20"/>
                <w:color w:val="auto"/>
              </w:rPr>
            </w:pPr>
            <w:r>
              <w:rPr>
                <w:rFonts w:ascii="Arial" w:cs="Arial" w:eastAsia="Arial" w:hAnsi="Arial"/>
                <w:sz w:val="14"/>
                <w:szCs w:val="14"/>
                <w:color w:val="auto"/>
                <w:w w:val="93"/>
              </w:rPr>
              <w:t>(Zip Code)</w:t>
            </w:r>
          </w:p>
        </w:tc>
      </w:tr>
      <w:tr>
        <w:trPr>
          <w:trHeight w:val="290"/>
        </w:trPr>
        <w:tc>
          <w:tcPr>
            <w:tcW w:w="5920" w:type="dxa"/>
            <w:vAlign w:val="bottom"/>
          </w:tcPr>
          <w:p>
            <w:pPr>
              <w:jc w:val="right"/>
              <w:ind w:right="1020"/>
              <w:spacing w:after="0"/>
              <w:rPr>
                <w:sz w:val="20"/>
                <w:szCs w:val="20"/>
                <w:color w:val="auto"/>
              </w:rPr>
            </w:pPr>
            <w:r>
              <w:rPr>
                <w:rFonts w:ascii="Arial" w:cs="Arial" w:eastAsia="Arial" w:hAnsi="Arial"/>
                <w:sz w:val="18"/>
                <w:szCs w:val="18"/>
                <w:b w:val="1"/>
                <w:bCs w:val="1"/>
                <w:color w:val="auto"/>
              </w:rPr>
              <w:t>(610) 640-4202</w:t>
            </w:r>
          </w:p>
        </w:tc>
        <w:tc>
          <w:tcPr>
            <w:tcW w:w="2240" w:type="dxa"/>
            <w:vAlign w:val="bottom"/>
          </w:tcPr>
          <w:p>
            <w:pPr>
              <w:spacing w:after="0"/>
              <w:rPr>
                <w:sz w:val="24"/>
                <w:szCs w:val="24"/>
                <w:color w:val="auto"/>
              </w:rPr>
            </w:pPr>
          </w:p>
        </w:tc>
      </w:tr>
      <w:tr>
        <w:trPr>
          <w:trHeight w:val="182"/>
        </w:trPr>
        <w:tc>
          <w:tcPr>
            <w:tcW w:w="5920" w:type="dxa"/>
            <w:vAlign w:val="bottom"/>
          </w:tcPr>
          <w:p>
            <w:pPr>
              <w:jc w:val="center"/>
              <w:ind w:left="2520"/>
              <w:spacing w:after="0"/>
              <w:rPr>
                <w:sz w:val="20"/>
                <w:szCs w:val="20"/>
                <w:color w:val="auto"/>
              </w:rPr>
            </w:pPr>
            <w:r>
              <w:rPr>
                <w:rFonts w:ascii="Arial" w:cs="Arial" w:eastAsia="Arial" w:hAnsi="Arial"/>
                <w:sz w:val="14"/>
                <w:szCs w:val="14"/>
                <w:color w:val="auto"/>
                <w:w w:val="92"/>
              </w:rPr>
              <w:t>(Registrant’s telephone number, including area code)</w:t>
            </w:r>
          </w:p>
        </w:tc>
        <w:tc>
          <w:tcPr>
            <w:tcW w:w="2240" w:type="dxa"/>
            <w:vAlign w:val="bottom"/>
          </w:tcPr>
          <w:p>
            <w:pPr>
              <w:spacing w:after="0"/>
              <w:rPr>
                <w:sz w:val="15"/>
                <w:szCs w:val="15"/>
                <w:color w:val="auto"/>
              </w:rPr>
            </w:pPr>
          </w:p>
        </w:tc>
      </w:tr>
    </w:tbl>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56515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6" w:lineRule="exact"/>
        <w:rPr>
          <w:sz w:val="24"/>
          <w:szCs w:val="24"/>
          <w:color w:val="auto"/>
        </w:rPr>
      </w:pPr>
    </w:p>
    <w:p>
      <w:pPr>
        <w:ind w:right="44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73" w:lineRule="exact"/>
        <w:rPr>
          <w:sz w:val="24"/>
          <w:szCs w:val="24"/>
          <w:color w:val="auto"/>
        </w:rPr>
      </w:pPr>
    </w:p>
    <w:p>
      <w:pPr>
        <w:ind w:right="500"/>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 ]</w:t>
      </w:r>
    </w:p>
    <w:p>
      <w:pPr>
        <w:spacing w:after="0" w:line="16"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560" w:type="dxa"/>
            <w:vAlign w:val="bottom"/>
          </w:tcPr>
          <w:p>
            <w:pPr>
              <w:ind w:left="340"/>
              <w:spacing w:after="0"/>
              <w:rPr>
                <w:sz w:val="20"/>
                <w:szCs w:val="20"/>
                <w:color w:val="auto"/>
              </w:rPr>
            </w:pPr>
            <w:r>
              <w:rPr>
                <w:rFonts w:ascii="Arial" w:cs="Arial" w:eastAsia="Arial" w:hAnsi="Arial"/>
                <w:sz w:val="18"/>
                <w:szCs w:val="18"/>
                <w:color w:val="auto"/>
              </w:rPr>
              <w:t>[  ]</w:t>
            </w:r>
          </w:p>
        </w:tc>
        <w:tc>
          <w:tcPr>
            <w:tcW w:w="5240" w:type="dxa"/>
            <w:vAlign w:val="bottom"/>
          </w:tcPr>
          <w:p>
            <w:pPr>
              <w:ind w:left="294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3560" w:type="dxa"/>
            <w:vAlign w:val="bottom"/>
          </w:tcPr>
          <w:p>
            <w:pPr>
              <w:ind w:left="340"/>
              <w:spacing w:after="0"/>
              <w:rPr>
                <w:sz w:val="20"/>
                <w:szCs w:val="20"/>
                <w:color w:val="auto"/>
              </w:rPr>
            </w:pPr>
            <w:r>
              <w:rPr>
                <w:rFonts w:ascii="Arial" w:cs="Arial" w:eastAsia="Arial" w:hAnsi="Arial"/>
                <w:sz w:val="18"/>
                <w:szCs w:val="18"/>
                <w:color w:val="auto"/>
              </w:rPr>
              <w:t>[X]</w:t>
            </w:r>
          </w:p>
        </w:tc>
        <w:tc>
          <w:tcPr>
            <w:tcW w:w="5240" w:type="dxa"/>
            <w:vAlign w:val="bottom"/>
          </w:tcPr>
          <w:p>
            <w:pPr>
              <w:ind w:left="294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9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5240" w:type="dxa"/>
            <w:vAlign w:val="bottom"/>
          </w:tcPr>
          <w:p>
            <w:pPr>
              <w:ind w:left="2940"/>
              <w:spacing w:after="0"/>
              <w:rPr>
                <w:sz w:val="20"/>
                <w:szCs w:val="20"/>
                <w:color w:val="auto"/>
              </w:rPr>
            </w:pPr>
            <w:r>
              <w:rPr>
                <w:rFonts w:ascii="Arial" w:cs="Arial" w:eastAsia="Arial" w:hAnsi="Arial"/>
                <w:sz w:val="18"/>
                <w:szCs w:val="18"/>
                <w:color w:val="auto"/>
              </w:rPr>
              <w:t>Emerging growth company</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[X]</w:t>
            </w:r>
          </w:p>
        </w:tc>
      </w:tr>
    </w:tbl>
    <w:p>
      <w:pPr>
        <w:spacing w:after="0" w:line="107"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62" w:lineRule="exact"/>
        <w:rPr>
          <w:sz w:val="24"/>
          <w:szCs w:val="24"/>
          <w:color w:val="auto"/>
        </w:rPr>
      </w:pPr>
    </w:p>
    <w:p>
      <w:pPr>
        <w:ind w:right="1860"/>
        <w:spacing w:after="0" w:line="402"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 There were 17,579,491 shares of the registrant’s common stock outstanding as of October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173355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00" w:right="27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NEURONETICS, INC.</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 for the quarterly period ended September 30, 2018</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0" w:type="dxa"/>
            <w:vAlign w:val="bottom"/>
            <w:gridSpan w:val="12"/>
            <w:vMerge w:val="restart"/>
          </w:tcPr>
          <w:p>
            <w:pPr>
              <w:jc w:val="center"/>
              <w:ind w:right="3500"/>
              <w:spacing w:after="0"/>
              <w:rPr>
                <w:sz w:val="20"/>
                <w:szCs w:val="20"/>
                <w:color w:val="auto"/>
              </w:rPr>
            </w:pPr>
            <w:r>
              <w:rPr>
                <w:rFonts w:ascii="Arial" w:cs="Arial" w:eastAsia="Arial" w:hAnsi="Arial"/>
                <w:sz w:val="18"/>
                <w:szCs w:val="18"/>
                <w:b w:val="1"/>
                <w:bCs w:val="1"/>
                <w:color w:val="auto"/>
              </w:rPr>
              <w:t>PART I – FINANCIAL INFORMATION</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0" w:type="dxa"/>
            <w:vAlign w:val="bottom"/>
            <w:gridSpan w:val="12"/>
            <w:vMerge w:val="continue"/>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20" w:type="dxa"/>
            <w:vAlign w:val="bottom"/>
          </w:tcPr>
          <w:p>
            <w:pPr>
              <w:spacing w:after="0" w:line="194" w:lineRule="exact"/>
              <w:rPr>
                <w:sz w:val="20"/>
                <w:szCs w:val="20"/>
                <w:color w:val="auto"/>
              </w:rPr>
            </w:pPr>
            <w:r>
              <w:rPr>
                <w:rFonts w:ascii="Arial" w:cs="Arial" w:eastAsia="Arial" w:hAnsi="Arial"/>
                <w:sz w:val="18"/>
                <w:szCs w:val="18"/>
                <w:b w:val="1"/>
                <w:bCs w:val="1"/>
                <w:color w:val="auto"/>
              </w:rPr>
              <w:t>Item 1.</w:t>
            </w:r>
          </w:p>
        </w:tc>
        <w:tc>
          <w:tcPr>
            <w:tcW w:w="440" w:type="dxa"/>
            <w:vAlign w:val="bottom"/>
          </w:tcPr>
          <w:p>
            <w:pPr>
              <w:spacing w:after="0"/>
              <w:rPr>
                <w:sz w:val="16"/>
                <w:szCs w:val="16"/>
                <w:color w:val="auto"/>
              </w:rPr>
            </w:pPr>
          </w:p>
        </w:tc>
        <w:tc>
          <w:tcPr>
            <w:tcW w:w="8960" w:type="dxa"/>
            <w:vAlign w:val="bottom"/>
            <w:gridSpan w:val="21"/>
          </w:tcPr>
          <w:p>
            <w:pPr>
              <w:spacing w:after="0" w:line="194"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w:t>
              </w:r>
            </w:hyperlink>
          </w:p>
        </w:tc>
        <w:tc>
          <w:tcPr>
            <w:tcW w:w="92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76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Balance Sheets as of September 30, 2018 and December 31, 2017</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78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Statements of Operations for the Three and Nine Months ended September 30, 2018 and 2017</w:t>
              </w:r>
            </w:hyperlink>
          </w:p>
        </w:tc>
        <w:tc>
          <w:tcPr>
            <w:tcW w:w="1980" w:type="dxa"/>
            <w:vAlign w:val="bottom"/>
            <w:gridSpan w:val="2"/>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36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Statement of Changes in Convertible Preferred Stock and Stockholders’ Equity (Deficit) for the Nine Months ended</w:t>
              </w:r>
            </w:hyperlink>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4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September 30, 2018</w:t>
              </w:r>
            </w:hyperlink>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76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Statements of Cash Flows for the Nine Months ended September 30, 2018 and 2017</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Notes to Interim Financial Statements</w:t>
              </w:r>
            </w:hyperlink>
          </w:p>
        </w:tc>
        <w:tc>
          <w:tcPr>
            <w:tcW w:w="3320" w:type="dxa"/>
            <w:vAlign w:val="bottom"/>
            <w:tcBorders>
              <w:top w:val="single" w:sz="8" w:color="0000EE"/>
            </w:tcBorders>
            <w:gridSpan w:val="6"/>
          </w:tcPr>
          <w:p>
            <w:pPr>
              <w:spacing w:after="0"/>
              <w:rPr>
                <w:sz w:val="24"/>
                <w:szCs w:val="24"/>
                <w:color w:val="auto"/>
              </w:rPr>
            </w:pPr>
          </w:p>
        </w:tc>
        <w:tc>
          <w:tcPr>
            <w:tcW w:w="2700" w:type="dxa"/>
            <w:vAlign w:val="bottom"/>
            <w:gridSpan w:val="4"/>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2.</w:t>
            </w:r>
          </w:p>
        </w:tc>
        <w:tc>
          <w:tcPr>
            <w:tcW w:w="440" w:type="dxa"/>
            <w:vAlign w:val="bottom"/>
          </w:tcPr>
          <w:p>
            <w:pPr>
              <w:spacing w:after="0"/>
              <w:rPr>
                <w:sz w:val="24"/>
                <w:szCs w:val="24"/>
                <w:color w:val="auto"/>
              </w:rPr>
            </w:pPr>
          </w:p>
        </w:tc>
        <w:tc>
          <w:tcPr>
            <w:tcW w:w="6880" w:type="dxa"/>
            <w:vAlign w:val="bottom"/>
            <w:tcBorders>
              <w:bottom w:val="single" w:sz="8" w:color="0000EE"/>
            </w:tcBorders>
            <w:gridSpan w:val="18"/>
          </w:tcPr>
          <w:p>
            <w:pPr>
              <w:spacing w:after="0"/>
              <w:rPr>
                <w:rFonts w:ascii="Arial" w:cs="Arial" w:eastAsia="Arial" w:hAnsi="Arial"/>
                <w:sz w:val="18"/>
                <w:szCs w:val="18"/>
                <w:b w:val="1"/>
                <w:bCs w:val="1"/>
                <w:color w:val="0000EE"/>
                <w:w w:val="89"/>
              </w:rPr>
            </w:pPr>
            <w:hyperlink w:anchor="page18">
              <w:r>
                <w:rPr>
                  <w:rFonts w:ascii="Arial" w:cs="Arial" w:eastAsia="Arial" w:hAnsi="Arial"/>
                  <w:sz w:val="18"/>
                  <w:szCs w:val="18"/>
                  <w:b w:val="1"/>
                  <w:bCs w:val="1"/>
                  <w:color w:val="0000EE"/>
                  <w:w w:val="89"/>
                </w:rPr>
                <w:t>Management’s Discussion and Analysis of Financial Condition and Results of Operations.</w:t>
              </w:r>
            </w:hyperlink>
          </w:p>
        </w:tc>
        <w:tc>
          <w:tcPr>
            <w:tcW w:w="2080" w:type="dxa"/>
            <w:vAlign w:val="bottom"/>
            <w:gridSpan w:val="3"/>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1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3.</w:t>
            </w:r>
          </w:p>
        </w:tc>
        <w:tc>
          <w:tcPr>
            <w:tcW w:w="440" w:type="dxa"/>
            <w:vAlign w:val="bottom"/>
          </w:tcPr>
          <w:p>
            <w:pPr>
              <w:spacing w:after="0"/>
              <w:rPr>
                <w:sz w:val="24"/>
                <w:szCs w:val="24"/>
                <w:color w:val="auto"/>
              </w:rPr>
            </w:pPr>
          </w:p>
        </w:tc>
        <w:tc>
          <w:tcPr>
            <w:tcW w:w="8960" w:type="dxa"/>
            <w:vAlign w:val="bottom"/>
            <w:gridSpan w:val="21"/>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Quantitative and Qualitative Disclosures About Market Risk.</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1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4.</w:t>
            </w:r>
          </w:p>
        </w:tc>
        <w:tc>
          <w:tcPr>
            <w:tcW w:w="440" w:type="dxa"/>
            <w:vAlign w:val="bottom"/>
          </w:tcPr>
          <w:p>
            <w:pPr>
              <w:spacing w:after="0"/>
              <w:rPr>
                <w:sz w:val="24"/>
                <w:szCs w:val="24"/>
                <w:color w:val="auto"/>
              </w:rPr>
            </w:pPr>
          </w:p>
        </w:tc>
        <w:tc>
          <w:tcPr>
            <w:tcW w:w="4700" w:type="dxa"/>
            <w:vAlign w:val="bottom"/>
            <w:tcBorders>
              <w:top w:val="single" w:sz="8" w:color="0000EE"/>
            </w:tcBorders>
            <w:gridSpan w:val="15"/>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Controls and Procedures.</w:t>
              </w:r>
            </w:hyperlink>
          </w:p>
        </w:tc>
        <w:tc>
          <w:tcPr>
            <w:tcW w:w="4260" w:type="dxa"/>
            <w:vAlign w:val="bottom"/>
            <w:gridSpan w:val="6"/>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58"/>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000" w:type="dxa"/>
            <w:vAlign w:val="bottom"/>
            <w:gridSpan w:val="12"/>
          </w:tcPr>
          <w:p>
            <w:pPr>
              <w:jc w:val="center"/>
              <w:ind w:right="3500"/>
              <w:spacing w:after="0"/>
              <w:rPr>
                <w:sz w:val="20"/>
                <w:szCs w:val="20"/>
                <w:color w:val="auto"/>
              </w:rPr>
            </w:pPr>
            <w:r>
              <w:rPr>
                <w:rFonts w:ascii="Arial" w:cs="Arial" w:eastAsia="Arial" w:hAnsi="Arial"/>
                <w:sz w:val="18"/>
                <w:szCs w:val="18"/>
                <w:b w:val="1"/>
                <w:bCs w:val="1"/>
                <w:color w:val="auto"/>
              </w:rPr>
              <w:t>PART II – OTHER INFORMATION</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440" w:type="dxa"/>
            <w:vAlign w:val="bottom"/>
          </w:tcPr>
          <w:p>
            <w:pPr>
              <w:spacing w:after="0"/>
              <w:rPr>
                <w:sz w:val="24"/>
                <w:szCs w:val="24"/>
                <w:color w:val="auto"/>
              </w:rPr>
            </w:pPr>
          </w:p>
        </w:tc>
        <w:tc>
          <w:tcPr>
            <w:tcW w:w="8960" w:type="dxa"/>
            <w:vAlign w:val="bottom"/>
            <w:gridSpan w:val="21"/>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Legal Proceedings.</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1A.</w:t>
            </w:r>
          </w:p>
        </w:tc>
        <w:tc>
          <w:tcPr>
            <w:tcW w:w="440" w:type="dxa"/>
            <w:vAlign w:val="bottom"/>
          </w:tcPr>
          <w:p>
            <w:pPr>
              <w:spacing w:after="0"/>
              <w:rPr>
                <w:sz w:val="24"/>
                <w:szCs w:val="24"/>
                <w:color w:val="auto"/>
              </w:rPr>
            </w:pPr>
          </w:p>
        </w:tc>
        <w:tc>
          <w:tcPr>
            <w:tcW w:w="102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88"/>
              </w:rPr>
            </w:pPr>
            <w:hyperlink w:anchor="page31">
              <w:r>
                <w:rPr>
                  <w:rFonts w:ascii="Arial" w:cs="Arial" w:eastAsia="Arial" w:hAnsi="Arial"/>
                  <w:sz w:val="18"/>
                  <w:szCs w:val="18"/>
                  <w:b w:val="1"/>
                  <w:bCs w:val="1"/>
                  <w:color w:val="0000EE"/>
                  <w:w w:val="88"/>
                </w:rPr>
                <w:t>Risk Factors.</w:t>
              </w:r>
            </w:hyperlink>
          </w:p>
        </w:tc>
        <w:tc>
          <w:tcPr>
            <w:tcW w:w="420" w:type="dxa"/>
            <w:vAlign w:val="bottom"/>
            <w:tcBorders>
              <w:top w:val="single" w:sz="8" w:color="0000EE"/>
            </w:tcBorders>
          </w:tcPr>
          <w:p>
            <w:pPr>
              <w:spacing w:after="0"/>
              <w:rPr>
                <w:sz w:val="24"/>
                <w:szCs w:val="24"/>
                <w:color w:val="auto"/>
              </w:rPr>
            </w:pPr>
          </w:p>
        </w:tc>
        <w:tc>
          <w:tcPr>
            <w:tcW w:w="7520" w:type="dxa"/>
            <w:vAlign w:val="bottom"/>
            <w:gridSpan w:val="16"/>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2.</w:t>
            </w:r>
          </w:p>
        </w:tc>
        <w:tc>
          <w:tcPr>
            <w:tcW w:w="440" w:type="dxa"/>
            <w:vAlign w:val="bottom"/>
          </w:tcPr>
          <w:p>
            <w:pPr>
              <w:spacing w:after="0"/>
              <w:rPr>
                <w:sz w:val="24"/>
                <w:szCs w:val="24"/>
                <w:color w:val="auto"/>
              </w:rPr>
            </w:pPr>
          </w:p>
        </w:tc>
        <w:tc>
          <w:tcPr>
            <w:tcW w:w="4620" w:type="dxa"/>
            <w:vAlign w:val="bottom"/>
            <w:tcBorders>
              <w:bottom w:val="single" w:sz="8" w:color="0000EE"/>
            </w:tcBorders>
            <w:gridSpan w:val="14"/>
          </w:tcPr>
          <w:p>
            <w:pPr>
              <w:spacing w:after="0"/>
              <w:rPr>
                <w:rFonts w:ascii="Arial" w:cs="Arial" w:eastAsia="Arial" w:hAnsi="Arial"/>
                <w:sz w:val="18"/>
                <w:szCs w:val="18"/>
                <w:b w:val="1"/>
                <w:bCs w:val="1"/>
                <w:color w:val="0000EE"/>
                <w:w w:val="87"/>
              </w:rPr>
            </w:pPr>
            <w:hyperlink w:anchor="page31">
              <w:r>
                <w:rPr>
                  <w:rFonts w:ascii="Arial" w:cs="Arial" w:eastAsia="Arial" w:hAnsi="Arial"/>
                  <w:sz w:val="18"/>
                  <w:szCs w:val="18"/>
                  <w:b w:val="1"/>
                  <w:bCs w:val="1"/>
                  <w:color w:val="0000EE"/>
                  <w:w w:val="87"/>
                </w:rPr>
                <w:t>Unregistered Sales of Equity Securities and Use of Proceeds.</w:t>
              </w:r>
            </w:hyperlink>
          </w:p>
        </w:tc>
        <w:tc>
          <w:tcPr>
            <w:tcW w:w="4340" w:type="dxa"/>
            <w:vAlign w:val="bottom"/>
            <w:gridSpan w:val="7"/>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3.</w:t>
            </w:r>
          </w:p>
        </w:tc>
        <w:tc>
          <w:tcPr>
            <w:tcW w:w="440" w:type="dxa"/>
            <w:vAlign w:val="bottom"/>
          </w:tcPr>
          <w:p>
            <w:pPr>
              <w:spacing w:after="0"/>
              <w:rPr>
                <w:sz w:val="24"/>
                <w:szCs w:val="24"/>
                <w:color w:val="auto"/>
              </w:rPr>
            </w:pPr>
          </w:p>
        </w:tc>
        <w:tc>
          <w:tcPr>
            <w:tcW w:w="8960" w:type="dxa"/>
            <w:vAlign w:val="bottom"/>
            <w:gridSpan w:val="21"/>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Defaults Upon Senior Securities.</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760" w:type="dxa"/>
            <w:vAlign w:val="bottom"/>
            <w:gridSpan w:val="8"/>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4.</w:t>
            </w:r>
          </w:p>
        </w:tc>
        <w:tc>
          <w:tcPr>
            <w:tcW w:w="440" w:type="dxa"/>
            <w:vAlign w:val="bottom"/>
          </w:tcPr>
          <w:p>
            <w:pPr>
              <w:spacing w:after="0"/>
              <w:rPr>
                <w:sz w:val="24"/>
                <w:szCs w:val="24"/>
                <w:color w:val="auto"/>
              </w:rPr>
            </w:pPr>
          </w:p>
        </w:tc>
        <w:tc>
          <w:tcPr>
            <w:tcW w:w="8960" w:type="dxa"/>
            <w:vAlign w:val="bottom"/>
            <w:gridSpan w:val="21"/>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Mine Safety Disclosures.</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5.</w:t>
            </w:r>
          </w:p>
        </w:tc>
        <w:tc>
          <w:tcPr>
            <w:tcW w:w="440" w:type="dxa"/>
            <w:vAlign w:val="bottom"/>
          </w:tcPr>
          <w:p>
            <w:pPr>
              <w:spacing w:after="0"/>
              <w:rPr>
                <w:sz w:val="24"/>
                <w:szCs w:val="24"/>
                <w:color w:val="auto"/>
              </w:rPr>
            </w:pPr>
          </w:p>
        </w:tc>
        <w:tc>
          <w:tcPr>
            <w:tcW w:w="186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Other Information.</w:t>
              </w:r>
            </w:hyperlink>
          </w:p>
        </w:tc>
        <w:tc>
          <w:tcPr>
            <w:tcW w:w="7100" w:type="dxa"/>
            <w:vAlign w:val="bottom"/>
            <w:gridSpan w:val="13"/>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6.</w:t>
            </w:r>
          </w:p>
        </w:tc>
        <w:tc>
          <w:tcPr>
            <w:tcW w:w="440" w:type="dxa"/>
            <w:vAlign w:val="bottom"/>
          </w:tcPr>
          <w:p>
            <w:pPr>
              <w:spacing w:after="0"/>
              <w:rPr>
                <w:sz w:val="24"/>
                <w:szCs w:val="24"/>
                <w:color w:val="auto"/>
              </w:rPr>
            </w:pPr>
          </w:p>
        </w:tc>
        <w:tc>
          <w:tcPr>
            <w:tcW w:w="148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Exhibits.</w:t>
              </w:r>
            </w:hyperlink>
          </w:p>
        </w:tc>
        <w:tc>
          <w:tcPr>
            <w:tcW w:w="7480" w:type="dxa"/>
            <w:vAlign w:val="bottom"/>
            <w:gridSpan w:val="15"/>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18"/>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60" w:type="dxa"/>
            <w:vAlign w:val="bottom"/>
            <w:gridSpan w:val="9"/>
          </w:tcPr>
          <w:p>
            <w:pPr>
              <w:jc w:val="right"/>
              <w:ind w:right="4760"/>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SIGNATURES</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885"/>
        </w:trPr>
        <w:tc>
          <w:tcPr>
            <w:tcW w:w="1120" w:type="dxa"/>
            <w:vAlign w:val="bottom"/>
          </w:tcPr>
          <w:p>
            <w:pPr>
              <w:spacing w:after="0"/>
              <w:rPr>
                <w:sz w:val="24"/>
                <w:szCs w:val="24"/>
                <w:color w:val="auto"/>
              </w:rPr>
            </w:pPr>
          </w:p>
        </w:tc>
        <w:tc>
          <w:tcPr>
            <w:tcW w:w="3540" w:type="dxa"/>
            <w:vAlign w:val="bottom"/>
            <w:gridSpan w:val="13"/>
          </w:tcPr>
          <w:p>
            <w:pPr>
              <w:spacing w:after="0"/>
              <w:rPr>
                <w:sz w:val="24"/>
                <w:szCs w:val="24"/>
                <w:color w:val="auto"/>
              </w:rPr>
            </w:pPr>
          </w:p>
        </w:tc>
        <w:tc>
          <w:tcPr>
            <w:tcW w:w="1100" w:type="dxa"/>
            <w:vAlign w:val="bottom"/>
            <w:tcBorders>
              <w:top w:val="single" w:sz="8" w:color="0000EE"/>
            </w:tcBorders>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40" w:type="dxa"/>
            <w:vAlign w:val="bottom"/>
            <w:gridSpan w:val="2"/>
          </w:tcPr>
          <w:p>
            <w:pPr>
              <w:jc w:val="center"/>
              <w:ind w:left="2710"/>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684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40" w:type="dxa"/>
            <w:vAlign w:val="bottom"/>
            <w:gridSpan w:val="2"/>
          </w:tcPr>
          <w:p>
            <w:pPr>
              <w:jc w:val="center"/>
              <w:ind w:left="2690"/>
              <w:spacing w:after="0"/>
              <w:rPr>
                <w:sz w:val="20"/>
                <w:szCs w:val="20"/>
                <w:color w:val="auto"/>
              </w:rPr>
            </w:pPr>
            <w:r>
              <w:rPr>
                <w:rFonts w:ascii="Arial" w:cs="Arial" w:eastAsia="Arial" w:hAnsi="Arial"/>
                <w:sz w:val="18"/>
                <w:szCs w:val="18"/>
                <w:b w:val="1"/>
                <w:bCs w:val="1"/>
                <w:color w:val="auto"/>
              </w:rPr>
              <w:t>NEURONETICS, INC.</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40" w:type="dxa"/>
            <w:vAlign w:val="bottom"/>
            <w:gridSpan w:val="2"/>
          </w:tcPr>
          <w:p>
            <w:pPr>
              <w:jc w:val="center"/>
              <w:ind w:left="2690"/>
              <w:spacing w:after="0"/>
              <w:rPr>
                <w:sz w:val="20"/>
                <w:szCs w:val="20"/>
                <w:color w:val="auto"/>
              </w:rPr>
            </w:pPr>
            <w:r>
              <w:rPr>
                <w:rFonts w:ascii="Arial" w:cs="Arial" w:eastAsia="Arial" w:hAnsi="Arial"/>
                <w:sz w:val="18"/>
                <w:szCs w:val="18"/>
                <w:b w:val="1"/>
                <w:bCs w:val="1"/>
                <w:color w:val="auto"/>
                <w:w w:val="85"/>
              </w:rPr>
              <w:t>Balance Sheets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40" w:type="dxa"/>
            <w:vAlign w:val="bottom"/>
            <w:gridSpan w:val="2"/>
          </w:tcPr>
          <w:p>
            <w:pPr>
              <w:jc w:val="center"/>
              <w:ind w:left="2710"/>
              <w:spacing w:after="0"/>
              <w:rPr>
                <w:sz w:val="20"/>
                <w:szCs w:val="20"/>
                <w:color w:val="auto"/>
              </w:rPr>
            </w:pPr>
            <w:r>
              <w:rPr>
                <w:rFonts w:ascii="Arial" w:cs="Arial" w:eastAsia="Arial" w:hAnsi="Arial"/>
                <w:sz w:val="18"/>
                <w:szCs w:val="18"/>
                <w:b w:val="1"/>
                <w:bCs w:val="1"/>
                <w:color w:val="auto"/>
                <w:w w:val="89"/>
              </w:rPr>
              <w:t>(Unaudited; In thousands, except per share data)</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Borders>
              <w:bottom w:val="single" w:sz="8" w:color="CFF0FC"/>
            </w:tcBorders>
          </w:tcPr>
          <w:p>
            <w:pPr>
              <w:spacing w:after="0"/>
              <w:rPr>
                <w:sz w:val="14"/>
                <w:szCs w:val="14"/>
                <w:color w:val="auto"/>
              </w:rPr>
            </w:pPr>
          </w:p>
        </w:tc>
        <w:tc>
          <w:tcPr>
            <w:tcW w:w="420" w:type="dxa"/>
            <w:vAlign w:val="bottom"/>
            <w:tcBorders>
              <w:bottom w:val="single" w:sz="8" w:color="CFF0FC"/>
            </w:tcBorders>
          </w:tcPr>
          <w:p>
            <w:pPr>
              <w:spacing w:after="0"/>
              <w:rPr>
                <w:sz w:val="14"/>
                <w:szCs w:val="14"/>
                <w:color w:val="auto"/>
              </w:rPr>
            </w:pPr>
          </w:p>
        </w:tc>
        <w:tc>
          <w:tcPr>
            <w:tcW w:w="4820" w:type="dxa"/>
            <w:vAlign w:val="bottom"/>
            <w:tcBorders>
              <w:bottom w:val="single" w:sz="8" w:color="CFF0FC"/>
            </w:tcBorders>
          </w:tcPr>
          <w:p>
            <w:pPr>
              <w:spacing w:after="0"/>
              <w:rPr>
                <w:sz w:val="14"/>
                <w:szCs w:val="14"/>
                <w:color w:val="auto"/>
              </w:rPr>
            </w:pPr>
          </w:p>
        </w:tc>
        <w:tc>
          <w:tcPr>
            <w:tcW w:w="20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80" w:type="dxa"/>
            <w:vAlign w:val="bottom"/>
            <w:gridSpan w:val="2"/>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Assets</w:t>
            </w:r>
          </w:p>
        </w:tc>
        <w:tc>
          <w:tcPr>
            <w:tcW w:w="482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4820" w:type="dxa"/>
            <w:vAlign w:val="bottom"/>
            <w:tcBorders>
              <w:top w:val="single" w:sz="8" w:color="CFF0FC"/>
            </w:tcBorders>
            <w:shd w:val="clear" w:color="auto" w:fill="CFF0FC"/>
          </w:tcPr>
          <w:p>
            <w:pPr>
              <w:spacing w:after="0" w:line="20" w:lineRule="exact"/>
              <w:rPr>
                <w:sz w:val="1"/>
                <w:szCs w:val="1"/>
                <w:color w:val="auto"/>
              </w:rPr>
            </w:pPr>
          </w:p>
        </w:tc>
        <w:tc>
          <w:tcPr>
            <w:tcW w:w="20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2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106,760</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tcPr>
          <w:p>
            <w:pPr>
              <w:ind w:left="24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Borders>
              <w:bottom w:val="single" w:sz="8" w:color="CFF0FC"/>
            </w:tcBorders>
            <w:gridSpan w:val="4"/>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116,739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gridSpan w:val="5"/>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84"/>
              </w:rPr>
              <w:t>Other assets</w:t>
            </w:r>
          </w:p>
        </w:tc>
        <w:tc>
          <w:tcPr>
            <w:tcW w:w="482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0" w:type="dxa"/>
            <w:vAlign w:val="bottom"/>
            <w:tcBorders>
              <w:bottom w:val="single" w:sz="8" w:color="CFF0FC"/>
            </w:tcBorders>
          </w:tcPr>
          <w:p>
            <w:pPr>
              <w:spacing w:after="0"/>
              <w:rPr>
                <w:sz w:val="22"/>
                <w:szCs w:val="22"/>
                <w:color w:val="auto"/>
              </w:rPr>
            </w:pPr>
          </w:p>
        </w:tc>
        <w:tc>
          <w:tcPr>
            <w:tcW w:w="7260" w:type="dxa"/>
            <w:vAlign w:val="bottom"/>
            <w:tcBorders>
              <w:bottom w:val="single" w:sz="8" w:color="CFF0FC"/>
            </w:tcBorders>
            <w:gridSpan w:val="3"/>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118,979</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38,938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720" w:type="dxa"/>
            <w:vAlign w:val="bottom"/>
            <w:gridSpan w:val="4"/>
            <w:shd w:val="clear" w:color="auto" w:fill="CFF0FC"/>
          </w:tcPr>
          <w:p>
            <w:pPr>
              <w:spacing w:after="0" w:line="170" w:lineRule="exact"/>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Current liabilities:</w:t>
            </w:r>
          </w:p>
        </w:tc>
        <w:tc>
          <w:tcPr>
            <w:tcW w:w="20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36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36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2,102</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tcPr>
          <w:p>
            <w:pPr>
              <w:ind w:left="24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Borders>
              <w:bottom w:val="single" w:sz="8" w:color="CFF0FC"/>
            </w:tcBorders>
            <w:gridSpan w:val="4"/>
          </w:tcPr>
          <w:p>
            <w:pPr>
              <w:ind w:left="24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15,298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gridSpan w:val="5"/>
          </w:tcPr>
          <w:p>
            <w:pPr>
              <w:spacing w:after="0"/>
              <w:rPr>
                <w:sz w:val="20"/>
                <w:szCs w:val="20"/>
                <w:color w:val="auto"/>
              </w:rPr>
            </w:pPr>
            <w:r>
              <w:rPr>
                <w:rFonts w:ascii="Arial" w:cs="Arial" w:eastAsia="Arial" w:hAnsi="Arial"/>
                <w:sz w:val="18"/>
                <w:szCs w:val="18"/>
                <w:color w:val="auto"/>
              </w:rPr>
              <w:t>Long-term debt, net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25,198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29,556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tcPr>
          <w:p>
            <w:pPr>
              <w:spacing w:after="0"/>
              <w:rPr>
                <w:sz w:val="20"/>
                <w:szCs w:val="20"/>
                <w:color w:val="auto"/>
              </w:rPr>
            </w:pPr>
            <w:r>
              <w:rPr>
                <w:rFonts w:ascii="Arial" w:cs="Arial" w:eastAsia="Arial" w:hAnsi="Arial"/>
                <w:sz w:val="18"/>
                <w:szCs w:val="18"/>
                <w:color w:val="auto"/>
              </w:rPr>
              <w:t>Deferred rent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Convertible preferred stock warrant liability</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7260" w:type="dxa"/>
            <w:vAlign w:val="bottom"/>
            <w:tcBorders>
              <w:bottom w:val="single" w:sz="8" w:color="CFF0FC"/>
            </w:tcBorders>
            <w:gridSpan w:val="3"/>
          </w:tcPr>
          <w:p>
            <w:pPr>
              <w:ind w:left="2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42,631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Commitments and contingencies (Note 14)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20" w:type="dxa"/>
            <w:vAlign w:val="bottom"/>
            <w:gridSpan w:val="4"/>
          </w:tcPr>
          <w:p>
            <w:pPr>
              <w:spacing w:after="0"/>
              <w:rPr>
                <w:sz w:val="20"/>
                <w:szCs w:val="20"/>
                <w:color w:val="auto"/>
              </w:rPr>
            </w:pPr>
            <w:r>
              <w:rPr>
                <w:rFonts w:ascii="Arial" w:cs="Arial" w:eastAsia="Arial" w:hAnsi="Arial"/>
                <w:sz w:val="18"/>
                <w:szCs w:val="18"/>
                <w:color w:val="auto"/>
              </w:rPr>
              <w:t>Convertible preferred stock, $0.01 par value: 308,593 shares previously authorized prior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4"/>
          </w:tcPr>
          <w:p>
            <w:pPr>
              <w:ind w:left="220"/>
              <w:spacing w:after="0"/>
              <w:rPr>
                <w:sz w:val="20"/>
                <w:szCs w:val="20"/>
                <w:color w:val="auto"/>
              </w:rPr>
            </w:pPr>
            <w:r>
              <w:rPr>
                <w:rFonts w:ascii="Arial" w:cs="Arial" w:eastAsia="Arial" w:hAnsi="Arial"/>
                <w:sz w:val="18"/>
                <w:szCs w:val="18"/>
                <w:color w:val="auto"/>
              </w:rPr>
              <w:t>to initial public offering, issuable in series; no and 304,958 shares issued and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4"/>
          </w:tcPr>
          <w:p>
            <w:pPr>
              <w:ind w:left="220"/>
              <w:spacing w:after="0"/>
              <w:rPr>
                <w:sz w:val="20"/>
                <w:szCs w:val="20"/>
                <w:color w:val="auto"/>
              </w:rPr>
            </w:pPr>
            <w:r>
              <w:rPr>
                <w:rFonts w:ascii="Arial" w:cs="Arial" w:eastAsia="Arial" w:hAnsi="Arial"/>
                <w:sz w:val="18"/>
                <w:szCs w:val="18"/>
                <w:color w:val="auto"/>
              </w:rPr>
              <w:t>outstanding at September 30, 2018 and December 31, 2017, respectively;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Borders>
              <w:bottom w:val="single" w:sz="8" w:color="CFF0FC"/>
            </w:tcBorders>
            <w:gridSpan w:val="4"/>
          </w:tcPr>
          <w:p>
            <w:pPr>
              <w:ind w:left="220"/>
              <w:spacing w:after="0"/>
              <w:rPr>
                <w:sz w:val="20"/>
                <w:szCs w:val="20"/>
                <w:color w:val="auto"/>
              </w:rPr>
            </w:pPr>
            <w:r>
              <w:rPr>
                <w:rFonts w:ascii="Arial" w:cs="Arial" w:eastAsia="Arial" w:hAnsi="Arial"/>
                <w:sz w:val="18"/>
                <w:szCs w:val="18"/>
                <w:color w:val="auto"/>
              </w:rPr>
              <w:t>no liquidation value at September 30, 2018</w:t>
            </w: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187,136</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Stockholders’ Equity (Deficit):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20" w:type="dxa"/>
            <w:vAlign w:val="bottom"/>
            <w:gridSpan w:val="4"/>
          </w:tcPr>
          <w:p>
            <w:pPr>
              <w:ind w:left="240"/>
              <w:spacing w:after="0"/>
              <w:rPr>
                <w:sz w:val="20"/>
                <w:szCs w:val="20"/>
                <w:color w:val="auto"/>
              </w:rPr>
            </w:pPr>
            <w:r>
              <w:rPr>
                <w:rFonts w:ascii="Arial" w:cs="Arial" w:eastAsia="Arial" w:hAnsi="Arial"/>
                <w:sz w:val="18"/>
                <w:szCs w:val="18"/>
                <w:color w:val="auto"/>
              </w:rPr>
              <w:t>Preferred stock, $0.01 par value: 10,000 shares authorized; no shares issued or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gridSpan w:val="4"/>
          </w:tcPr>
          <w:p>
            <w:pPr>
              <w:ind w:left="360"/>
              <w:spacing w:after="0"/>
              <w:rPr>
                <w:sz w:val="20"/>
                <w:szCs w:val="20"/>
                <w:color w:val="auto"/>
              </w:rPr>
            </w:pPr>
            <w:r>
              <w:rPr>
                <w:rFonts w:ascii="Arial" w:cs="Arial" w:eastAsia="Arial" w:hAnsi="Arial"/>
                <w:sz w:val="18"/>
                <w:szCs w:val="18"/>
                <w:color w:val="auto"/>
              </w:rPr>
              <w:t>outstanding at September 30, 2018 and December 31, 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2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Common stock, $0.01 par value: 200,000 shares authorized; 17,579 and 231 shares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gridSpan w:val="4"/>
            <w:shd w:val="clear" w:color="auto" w:fill="CFF0FC"/>
          </w:tcPr>
          <w:p>
            <w:pPr>
              <w:ind w:left="360"/>
              <w:spacing w:after="0"/>
              <w:rPr>
                <w:sz w:val="20"/>
                <w:szCs w:val="20"/>
                <w:color w:val="auto"/>
              </w:rPr>
            </w:pPr>
            <w:r>
              <w:rPr>
                <w:rFonts w:ascii="Arial" w:cs="Arial" w:eastAsia="Arial" w:hAnsi="Arial"/>
                <w:sz w:val="18"/>
                <w:szCs w:val="18"/>
                <w:color w:val="auto"/>
              </w:rPr>
              <w:t>issued and outstanding at September 30, 2018 and December 31, 2017, respectively</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tcPr>
          <w:p>
            <w:pPr>
              <w:ind w:left="24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291,072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(214,900)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(196,946)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7260" w:type="dxa"/>
            <w:vAlign w:val="bottom"/>
            <w:tcBorders>
              <w:bottom w:val="single" w:sz="8" w:color="CFF0FC"/>
            </w:tcBorders>
            <w:gridSpan w:val="3"/>
          </w:tcPr>
          <w:p>
            <w:pPr>
              <w:ind w:left="20"/>
              <w:spacing w:after="0"/>
              <w:rPr>
                <w:sz w:val="20"/>
                <w:szCs w:val="20"/>
                <w:color w:val="auto"/>
              </w:rPr>
            </w:pPr>
            <w:r>
              <w:rPr>
                <w:rFonts w:ascii="Arial" w:cs="Arial" w:eastAsia="Arial" w:hAnsi="Arial"/>
                <w:sz w:val="18"/>
                <w:szCs w:val="18"/>
                <w:color w:val="auto"/>
              </w:rPr>
              <w:t>Total Stockholders' Equity (Deficit)</w:t>
            </w: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76,348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(192,652)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72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118,979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38,938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ind w:left="482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37,141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10,703</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28,405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27,616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3,238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8,952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2,125</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1,843</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15,035</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42,578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31,025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(4,332)</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(2,810)</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(14,173)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Other expense (income), net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(299)</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(17,954)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Net loss per share of common stock outstanding, basic and diluted</w:t>
            </w: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FF0FC"/>
            </w:tcBorders>
            <w:vMerge w:val="continue"/>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240" w:type="dxa"/>
            <w:vAlign w:val="bottom"/>
            <w:tcBorders>
              <w:bottom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(19.35)</w:t>
            </w:r>
          </w:p>
        </w:tc>
        <w:tc>
          <w:tcPr>
            <w:tcW w:w="2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17,382</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482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Statement of Changes in Convertible Preferred Stock and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940" w:type="dxa"/>
            <w:vAlign w:val="bottom"/>
            <w:tcBorders>
              <w:right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1820" w:type="dxa"/>
            <w:vAlign w:val="bottom"/>
            <w:gridSpan w:val="4"/>
            <w:vMerge w:val="restart"/>
          </w:tcPr>
          <w:p>
            <w:pPr>
              <w:jc w:val="right"/>
              <w:ind w:right="351"/>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940" w:type="dxa"/>
            <w:vAlign w:val="bottom"/>
            <w:tcBorders>
              <w:right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tcPr>
          <w:p>
            <w:pPr>
              <w:spacing w:after="0"/>
              <w:rPr>
                <w:sz w:val="14"/>
                <w:szCs w:val="14"/>
                <w:color w:val="auto"/>
              </w:rPr>
            </w:pPr>
          </w:p>
        </w:tc>
        <w:tc>
          <w:tcPr>
            <w:tcW w:w="182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Paid-in</w:t>
            </w:r>
          </w:p>
        </w:tc>
        <w:tc>
          <w:tcPr>
            <w:tcW w:w="10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56"/>
        </w:trPr>
        <w:tc>
          <w:tcPr>
            <w:tcW w:w="4280" w:type="dxa"/>
            <w:vAlign w:val="bottom"/>
          </w:tcPr>
          <w:p>
            <w:pPr>
              <w:spacing w:after="0"/>
              <w:rPr>
                <w:sz w:val="13"/>
                <w:szCs w:val="13"/>
                <w:color w:val="auto"/>
              </w:rPr>
            </w:pPr>
          </w:p>
        </w:tc>
        <w:tc>
          <w:tcPr>
            <w:tcW w:w="1000" w:type="dxa"/>
            <w:vAlign w:val="bottom"/>
            <w:tcBorders>
              <w:top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top w:val="single" w:sz="8" w:color="auto"/>
            </w:tcBorders>
            <w:gridSpan w:val="2"/>
          </w:tcPr>
          <w:p>
            <w:pPr>
              <w:ind w:left="18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4"/>
              </w:rPr>
              <w:t>Capital</w:t>
            </w:r>
          </w:p>
        </w:tc>
        <w:tc>
          <w:tcPr>
            <w:tcW w:w="10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Deficit</w:t>
            </w:r>
          </w:p>
        </w:tc>
        <w:tc>
          <w:tcPr>
            <w:tcW w:w="104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304,958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187,136</w:t>
            </w: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4,292</w:t>
            </w: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(196,946)</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(192,652)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60"/>
              <w:spacing w:after="0"/>
              <w:rPr>
                <w:sz w:val="20"/>
                <w:szCs w:val="20"/>
                <w:color w:val="auto"/>
              </w:rPr>
            </w:pPr>
            <w:r>
              <w:rPr>
                <w:rFonts w:ascii="Arial" w:cs="Arial" w:eastAsia="Arial" w:hAnsi="Arial"/>
                <w:sz w:val="18"/>
                <w:szCs w:val="18"/>
                <w:color w:val="auto"/>
              </w:rPr>
              <w:t>Exercises of stock options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(5,497)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(5,497)</w:t>
            </w:r>
          </w:p>
        </w:tc>
        <w:tc>
          <w:tcPr>
            <w:tcW w:w="0" w:type="dxa"/>
            <w:vAlign w:val="bottom"/>
          </w:tcPr>
          <w:p>
            <w:pPr>
              <w:spacing w:after="0"/>
              <w:rPr>
                <w:sz w:val="1"/>
                <w:szCs w:val="1"/>
                <w:color w:val="auto"/>
              </w:rPr>
            </w:pP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2018</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304,958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187,136</w:t>
            </w: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4,466</w:t>
            </w: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(202,443)</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(197,974)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60"/>
              <w:spacing w:after="0"/>
              <w:rPr>
                <w:sz w:val="20"/>
                <w:szCs w:val="20"/>
                <w:color w:val="auto"/>
              </w:rPr>
            </w:pPr>
            <w:r>
              <w:rPr>
                <w:rFonts w:ascii="Arial" w:cs="Arial" w:eastAsia="Arial" w:hAnsi="Arial"/>
                <w:sz w:val="18"/>
                <w:szCs w:val="18"/>
                <w:color w:val="auto"/>
              </w:rPr>
              <w:t>Exercises of stock options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(7,496)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(7,496)</w:t>
            </w:r>
          </w:p>
        </w:tc>
        <w:tc>
          <w:tcPr>
            <w:tcW w:w="0" w:type="dxa"/>
            <w:vAlign w:val="bottom"/>
          </w:tcPr>
          <w:p>
            <w:pPr>
              <w:spacing w:after="0"/>
              <w:rPr>
                <w:sz w:val="1"/>
                <w:szCs w:val="1"/>
                <w:color w:val="auto"/>
              </w:rPr>
            </w:pP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2018</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304,958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187,136</w:t>
            </w: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4,665</w:t>
            </w: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(209,939)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(205,271)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80" w:type="dxa"/>
            <w:vAlign w:val="bottom"/>
          </w:tcPr>
          <w:p>
            <w:pPr>
              <w:ind w:left="260"/>
              <w:spacing w:after="0"/>
              <w:rPr>
                <w:sz w:val="20"/>
                <w:szCs w:val="20"/>
                <w:color w:val="auto"/>
              </w:rPr>
            </w:pPr>
            <w:r>
              <w:rPr>
                <w:rFonts w:ascii="Arial" w:cs="Arial" w:eastAsia="Arial" w:hAnsi="Arial"/>
                <w:sz w:val="18"/>
                <w:szCs w:val="18"/>
                <w:color w:val="auto"/>
              </w:rPr>
              <w:t>Conversion of convertible preferred stock</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380"/>
              <w:spacing w:after="0"/>
              <w:rPr>
                <w:sz w:val="20"/>
                <w:szCs w:val="20"/>
                <w:color w:val="auto"/>
              </w:rPr>
            </w:pPr>
            <w:r>
              <w:rPr>
                <w:rFonts w:ascii="Arial" w:cs="Arial" w:eastAsia="Arial" w:hAnsi="Arial"/>
                <w:sz w:val="18"/>
                <w:szCs w:val="18"/>
                <w:color w:val="auto"/>
              </w:rPr>
              <w:t>into common stock</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(304,958)</w:t>
            </w:r>
          </w:p>
        </w:tc>
        <w:tc>
          <w:tcPr>
            <w:tcW w:w="12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3"/>
              </w:rPr>
              <w:t>(187,136)</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10,994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187,027</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187,136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Conversion of convertible preferred stock</w:t>
            </w: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warrants into common stock warrants</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80" w:type="dxa"/>
            <w:vAlign w:val="bottom"/>
          </w:tcPr>
          <w:p>
            <w:pPr>
              <w:ind w:left="260"/>
              <w:spacing w:after="0"/>
              <w:rPr>
                <w:sz w:val="20"/>
                <w:szCs w:val="20"/>
                <w:color w:val="auto"/>
              </w:rPr>
            </w:pPr>
            <w:r>
              <w:rPr>
                <w:rFonts w:ascii="Arial" w:cs="Arial" w:eastAsia="Arial" w:hAnsi="Arial"/>
                <w:sz w:val="18"/>
                <w:szCs w:val="18"/>
                <w:color w:val="auto"/>
              </w:rPr>
              <w:t>Issuance of common stock in initial public</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380"/>
              <w:spacing w:after="0"/>
              <w:rPr>
                <w:sz w:val="20"/>
                <w:szCs w:val="20"/>
                <w:color w:val="auto"/>
              </w:rPr>
            </w:pPr>
            <w:r>
              <w:rPr>
                <w:rFonts w:ascii="Arial" w:cs="Arial" w:eastAsia="Arial" w:hAnsi="Arial"/>
                <w:sz w:val="18"/>
                <w:szCs w:val="18"/>
                <w:color w:val="auto"/>
              </w:rPr>
              <w:t>offering, net of issuance costs of $3,465</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6,325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96,471</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96,535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Exercises of stock options</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60"/>
              <w:spacing w:after="0"/>
              <w:rPr>
                <w:sz w:val="20"/>
                <w:szCs w:val="20"/>
                <w:color w:val="auto"/>
              </w:rPr>
            </w:pPr>
            <w:r>
              <w:rPr>
                <w:rFonts w:ascii="Arial" w:cs="Arial" w:eastAsia="Arial" w:hAnsi="Arial"/>
                <w:sz w:val="18"/>
                <w:szCs w:val="18"/>
                <w:color w:val="auto"/>
              </w:rPr>
              <w:t>Share-based compensation expense</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1,028</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(4,961)</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(4,961)</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Balance at September 30, 2018</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17,579</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291,072</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(214,900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(Unaudited;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8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82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(17,954)</w:t>
            </w:r>
          </w:p>
        </w:tc>
        <w:tc>
          <w:tcPr>
            <w:tcW w:w="110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(11,135)</w:t>
            </w: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Share-based compensation</w:t>
            </w:r>
          </w:p>
        </w:tc>
        <w:tc>
          <w:tcPr>
            <w:tcW w:w="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500"/>
              <w:spacing w:after="0"/>
              <w:rPr>
                <w:sz w:val="20"/>
                <w:szCs w:val="20"/>
                <w:color w:val="auto"/>
              </w:rPr>
            </w:pPr>
            <w:r>
              <w:rPr>
                <w:rFonts w:ascii="Arial" w:cs="Arial" w:eastAsia="Arial" w:hAnsi="Arial"/>
                <w:sz w:val="18"/>
                <w:szCs w:val="18"/>
                <w:color w:val="auto"/>
              </w:rPr>
              <w:t>Non-cash interest expense</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fair value of convertible preferred stock warrant liability</w:t>
            </w:r>
          </w:p>
        </w:tc>
        <w:tc>
          <w:tcPr>
            <w:tcW w:w="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7000" w:type="dxa"/>
            <w:vAlign w:val="bottom"/>
          </w:tcPr>
          <w:p>
            <w:pPr>
              <w:ind w:left="500"/>
              <w:spacing w:after="0"/>
              <w:rPr>
                <w:sz w:val="20"/>
                <w:szCs w:val="20"/>
                <w:color w:val="auto"/>
              </w:rPr>
            </w:pPr>
            <w:r>
              <w:rPr>
                <w:rFonts w:ascii="Arial" w:cs="Arial" w:eastAsia="Arial" w:hAnsi="Arial"/>
                <w:sz w:val="18"/>
                <w:szCs w:val="18"/>
                <w:color w:val="auto"/>
              </w:rPr>
              <w:t>Cost of rental units purchased by customers</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certain assets and liabilities:</w:t>
            </w:r>
          </w:p>
        </w:tc>
        <w:tc>
          <w:tcPr>
            <w:tcW w:w="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740"/>
              <w:spacing w:after="0"/>
              <w:rPr>
                <w:sz w:val="20"/>
                <w:szCs w:val="20"/>
                <w:color w:val="auto"/>
              </w:rPr>
            </w:pPr>
            <w:r>
              <w:rPr>
                <w:rFonts w:ascii="Arial" w:cs="Arial" w:eastAsia="Arial" w:hAnsi="Arial"/>
                <w:sz w:val="18"/>
                <w:szCs w:val="18"/>
                <w:color w:val="auto"/>
              </w:rPr>
              <w:t>Accounts receivable, net</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Inventory</w:t>
            </w:r>
          </w:p>
        </w:tc>
        <w:tc>
          <w:tcPr>
            <w:tcW w:w="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(767)</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30"/>
        </w:trPr>
        <w:tc>
          <w:tcPr>
            <w:tcW w:w="7000" w:type="dxa"/>
            <w:vAlign w:val="bottom"/>
          </w:tcPr>
          <w:p>
            <w:pPr>
              <w:ind w:left="740"/>
              <w:spacing w:after="0"/>
              <w:rPr>
                <w:sz w:val="20"/>
                <w:szCs w:val="20"/>
                <w:color w:val="auto"/>
              </w:rPr>
            </w:pPr>
            <w:r>
              <w:rPr>
                <w:rFonts w:ascii="Arial" w:cs="Arial" w:eastAsia="Arial" w:hAnsi="Arial"/>
                <w:sz w:val="18"/>
                <w:szCs w:val="18"/>
                <w:color w:val="auto"/>
              </w:rPr>
              <w:t>Prepaid expenses and other assets</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(594)</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30"/>
        </w:trPr>
        <w:tc>
          <w:tcPr>
            <w:tcW w:w="7000" w:type="dxa"/>
            <w:vAlign w:val="bottom"/>
          </w:tcPr>
          <w:p>
            <w:pPr>
              <w:ind w:left="740"/>
              <w:spacing w:after="0"/>
              <w:rPr>
                <w:sz w:val="20"/>
                <w:szCs w:val="20"/>
                <w:color w:val="auto"/>
              </w:rPr>
            </w:pPr>
            <w:r>
              <w:rPr>
                <w:rFonts w:ascii="Arial" w:cs="Arial" w:eastAsia="Arial" w:hAnsi="Arial"/>
                <w:sz w:val="18"/>
                <w:szCs w:val="18"/>
                <w:color w:val="auto"/>
              </w:rPr>
              <w:t>Accrued expenses</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(1,461)</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revenue</w:t>
            </w:r>
          </w:p>
        </w:tc>
        <w:tc>
          <w:tcPr>
            <w:tcW w:w="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7000" w:type="dxa"/>
            <w:vAlign w:val="bottom"/>
          </w:tcPr>
          <w:p>
            <w:pPr>
              <w:ind w:left="740"/>
              <w:spacing w:after="0"/>
              <w:rPr>
                <w:sz w:val="20"/>
                <w:szCs w:val="20"/>
                <w:color w:val="auto"/>
              </w:rPr>
            </w:pPr>
            <w:r>
              <w:rPr>
                <w:rFonts w:ascii="Arial" w:cs="Arial" w:eastAsia="Arial" w:hAnsi="Arial"/>
                <w:sz w:val="18"/>
                <w:szCs w:val="18"/>
                <w:color w:val="auto"/>
              </w:rPr>
              <w:t>Deferred rent</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700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8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(18,315)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(11,412)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 and capitalized software</w:t>
            </w:r>
          </w:p>
        </w:tc>
        <w:tc>
          <w:tcPr>
            <w:tcW w:w="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in initial public offering</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99,998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of public offering costs</w:t>
            </w:r>
          </w:p>
        </w:tc>
        <w:tc>
          <w:tcPr>
            <w:tcW w:w="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(3,465)</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Proceeds from exercises of stock options</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Series G convertible preferred stock, net</w:t>
            </w:r>
          </w:p>
        </w:tc>
        <w:tc>
          <w:tcPr>
            <w:tcW w:w="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Borrowings under credit facilities</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of debt issuance costs</w:t>
            </w:r>
          </w:p>
        </w:tc>
        <w:tc>
          <w:tcPr>
            <w:tcW w:w="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Provided by Financing Activities</w:t>
            </w:r>
          </w:p>
        </w:tc>
        <w:tc>
          <w:tcPr>
            <w:tcW w:w="86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96,578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18,840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Net Increase in Cash and Cash Equivalents</w:t>
            </w:r>
          </w:p>
        </w:tc>
        <w:tc>
          <w:tcPr>
            <w:tcW w:w="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77,613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Cash and Cash Equivalents, Beginning of Period</w:t>
            </w:r>
          </w:p>
        </w:tc>
        <w:tc>
          <w:tcPr>
            <w:tcW w:w="8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Cash and Cash Equivalents, End of Period</w:t>
            </w:r>
          </w:p>
        </w:tc>
        <w:tc>
          <w:tcPr>
            <w:tcW w:w="8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106,760</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24,149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interest</w:t>
            </w:r>
          </w:p>
        </w:tc>
        <w:tc>
          <w:tcPr>
            <w:tcW w:w="1820" w:type="dxa"/>
            <w:vAlign w:val="bottom"/>
            <w:gridSpan w:val="2"/>
            <w:shd w:val="clear" w:color="auto" w:fill="CFF0FC"/>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25"/>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Transfer of inventory to property and equipment</w:t>
            </w:r>
          </w:p>
        </w:tc>
        <w:tc>
          <w:tcPr>
            <w:tcW w:w="182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19"/>
                <w:szCs w:val="19"/>
                <w:color w:val="auto"/>
              </w:rPr>
            </w:pPr>
          </w:p>
        </w:tc>
        <w:tc>
          <w:tcPr>
            <w:tcW w:w="110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00" w:type="dxa"/>
            <w:vAlign w:val="bottom"/>
          </w:tcPr>
          <w:p>
            <w:pPr>
              <w:ind w:left="260"/>
              <w:spacing w:after="0"/>
              <w:rPr>
                <w:sz w:val="20"/>
                <w:szCs w:val="20"/>
                <w:color w:val="auto"/>
              </w:rPr>
            </w:pPr>
            <w:r>
              <w:rPr>
                <w:rFonts w:ascii="Arial" w:cs="Arial" w:eastAsia="Arial" w:hAnsi="Arial"/>
                <w:sz w:val="18"/>
                <w:szCs w:val="18"/>
                <w:color w:val="auto"/>
              </w:rPr>
              <w:t>Allocation of proceeds from debt financing to convertible preferred stock warrant</w:t>
            </w: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380"/>
              <w:spacing w:after="0"/>
              <w:rPr>
                <w:sz w:val="20"/>
                <w:szCs w:val="20"/>
                <w:color w:val="auto"/>
              </w:rPr>
            </w:pPr>
            <w:r>
              <w:rPr>
                <w:rFonts w:ascii="Arial" w:cs="Arial" w:eastAsia="Arial" w:hAnsi="Arial"/>
                <w:sz w:val="18"/>
                <w:szCs w:val="18"/>
                <w:color w:val="auto"/>
              </w:rPr>
              <w:t>liability</w:t>
            </w:r>
          </w:p>
        </w:tc>
        <w:tc>
          <w:tcPr>
            <w:tcW w:w="182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Conversion of convertible preferred stock into common stock</w:t>
            </w:r>
          </w:p>
        </w:tc>
        <w:tc>
          <w:tcPr>
            <w:tcW w:w="1820" w:type="dxa"/>
            <w:vAlign w:val="bottom"/>
            <w:gridSpan w:val="2"/>
            <w:shd w:val="clear" w:color="auto" w:fill="CFF0FC"/>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187,136</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25"/>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Conversion of convertible preferred stock warrants into common stock warrants</w:t>
            </w:r>
          </w:p>
        </w:tc>
        <w:tc>
          <w:tcPr>
            <w:tcW w:w="182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1,874</w:t>
            </w:r>
          </w:p>
        </w:tc>
        <w:tc>
          <w:tcPr>
            <w:tcW w:w="160" w:type="dxa"/>
            <w:vAlign w:val="bottom"/>
          </w:tcPr>
          <w:p>
            <w:pPr>
              <w:spacing w:after="0"/>
              <w:rPr>
                <w:sz w:val="20"/>
                <w:szCs w:val="20"/>
                <w:color w:val="auto"/>
              </w:rPr>
            </w:pPr>
          </w:p>
        </w:tc>
        <w:tc>
          <w:tcPr>
            <w:tcW w:w="110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8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Neuronetics, Inc., or the Company, is a commercial stage medical technology company focused on designing, developing and marketing products that improve the quality of life for patients who suffer from psychiatric disorders. The Company’s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was cleared in 2008 by the United States Food and Drug Administration, or the FDA, to treat adult patients with major depressive disorder, or MDD, who have failed to achieve satisfactory improvement from prior antidepressant medication in the current episode. The Company intends to continue to pursue development of its NeuroStar Advanced Therapy System for additional indications.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8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July 2, 2018, the Company closed its initial public offering, or IPO, in which the Company issued and sold 6.325 million shares of its common stock, which included shares sold pursuant to an option granted to the underwriters to purchase additional shares at a public offering price of $17.00 per share. The Company received net proceeds of $96.5 million after deducting underwriting discounts, commissions and other offering expenses paid by the Company. The Company’s common stock is listed on the Nasdaq Global Market under the trading symbol “STIM.” In addition, immediately prior to the closing of the IPO on July 2, 2018, (i) all of the Company’s outstanding shares of convertible preferred stock converted into an aggregate 11.0 million shares of common stock;</w:t>
      </w:r>
    </w:p>
    <w:p>
      <w:pPr>
        <w:spacing w:after="0" w:line="2" w:lineRule="exact"/>
        <w:rPr>
          <w:sz w:val="20"/>
          <w:szCs w:val="20"/>
          <w:color w:val="auto"/>
        </w:rPr>
      </w:pPr>
    </w:p>
    <w:p>
      <w:pPr>
        <w:ind w:right="80" w:firstLine="8"/>
        <w:spacing w:after="0" w:line="254" w:lineRule="auto"/>
        <w:tabs>
          <w:tab w:leader="none" w:pos="265"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of the Company’s outstanding warrants to purchase convertible preferred stock converted into warrants to purchase common stock; and (iii) the Company filed an amended and restated certificate of incorporation to, among other things, decrease the number of shares of common stock, $0.01 par value per share, authorized for issuance to 200.0 million and to authorize the board of directors to issue up to 10.0 million shares of “blank check” preferred stock, $0.01 par value per share.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September 30, 2018, the Company had cash and cash equivalents of $106.8 million and an accumulated deficit of $214.9 million. The Company incurred negative cash flows from operating activities of $11.1 million for the year ended December 31, 2017 and $18.3 million for the nine months ended September 30, 2018. The Company has incurred operating losses since its inception, and management anticipates that its operating losses will continue in the near term as the Company seeks to expand its sales and marketing initiatives to support its growth into existing and new markets and invest in additional research and development activities. The Company’s primary sources of capital to date have been proceeds from its IPO, private placements of its convertible preferred securities, borrowings under its credit facilities and revenues from sales of its products. As of September 30, 2018, the Company had $30.0 million of borrowings outstanding under its credit facility, which matures in March 2022. Management believes that the Company’s cash and cash equivalents as of September 30, 2018 and anticipated revenues from sales of its products are sufficient to fund the Company’s operations for at least the next 24 months after September 30, 2018.</w:t>
      </w:r>
    </w:p>
    <w:p>
      <w:pPr>
        <w:spacing w:after="0" w:line="139"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81" w:lineRule="exact"/>
        <w:rPr>
          <w:sz w:val="20"/>
          <w:szCs w:val="20"/>
          <w:color w:val="auto"/>
        </w:rPr>
      </w:pPr>
    </w:p>
    <w:p>
      <w:pPr>
        <w:jc w:val="both"/>
        <w:ind w:right="500"/>
        <w:spacing w:after="0" w:line="286" w:lineRule="auto"/>
        <w:rPr>
          <w:sz w:val="20"/>
          <w:szCs w:val="20"/>
          <w:color w:val="auto"/>
        </w:rPr>
      </w:pPr>
      <w:r>
        <w:rPr>
          <w:rFonts w:ascii="Arial" w:cs="Arial" w:eastAsia="Arial" w:hAnsi="Arial"/>
          <w:sz w:val="17"/>
          <w:szCs w:val="17"/>
          <w:color w:val="auto"/>
        </w:rPr>
        <w:t>The accompanying financial statements have been prepared in accordance with United States generally accepted accounting principles, or GAAP. Any reference in these notes to applicable guidance is meant to refer to GAAP as found in the Accounting Standards Codification, or ASC, and Accounting Standards Updates, or ASUs, promulgated by the Financial Accounting Standards Board, or FASB.</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Financial Statements</w:t>
      </w:r>
    </w:p>
    <w:p>
      <w:pPr>
        <w:spacing w:after="0" w:line="8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accompanying unaudited interim financial statements have been prepared from the books and records of the Company in accordance with GAAP for interim financial information and Rule 10-01 of Regulation S-X promulgated by the United States Securities and Exchange Commission, or SEC, which permit reduced disclosures for interim periods. All adjustments, consisting only of normal recurring adjustments, necessary for a fair presentation of the accompanying balance sheets and statements of operations, changes in convertible preferred stock and stockholders’ deficit and cash flows have been made. Although these interim financial statements do not include all of the information and footnotes required for complete annual financial statements, management believes the disclosures are adequate to make the information presented not misleading. Unaudited interim results of operations and cash flows for the three and nine months ended September 30, 2018 are not necessarily indicative of the results that may be expected for the full year. Unaudited interim financial statements and footnotes should be read in conjunction with the audited financial statements and footnotes included in the Company’s IPO prospectus filed with the SEC on June 29, 2018, wherein a more complete discussion of significant accounting policies and certain other information can be found.</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Use of Estimates</w:t>
      </w:r>
    </w:p>
    <w:p>
      <w:pPr>
        <w:spacing w:after="0" w:line="8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preparation of financial statements in accordance with GAAP and the rules and regulations of the SEC requires the use of estimates and assumptions, based on judgments considered reasonable, which affect the reported amounts of assets and liabilities and disclosure of contingent assets and liabilities at the date of the financial statements and the reported amounts of revenues and expenses during the reporting period. The Company bases its estimates and assumptions on historical experience, known trends and events and various other factors that management believes to be reasonable under the circumstances, the results of which form the basis for making judgments about the carrying value of assets and liabilities that are not readily apparent from other sources. Although management believes its estimates and assumptions are reasonable when made, they are based upon information available at the time they are made. Management evaluates the estimates and assumptions on an ongoing basis and, if necessary, makes adjustments. Due to the risks and uncertainties involved in the Company’s business and evolving market conditions, and given the subjective element of the estimates and assumptions made, actual results may differ from estimated results. The most significant estimates and judgments impact share-based compensation, product warranty accruals and the net realizable value of inventory.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Recapitalization</w:t>
      </w:r>
    </w:p>
    <w:p>
      <w:pPr>
        <w:spacing w:after="0" w:line="94"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The Company effected a 0.0345-for-1 reverse split of its common stock on June 14, 2018. The reverse split combined each approximately 29 shares of the Company’s issued and outstanding common stock into one share of common stock and correspondingly adjusted the conversion price of its outstanding convertible preferred stock. No fractional shares were issued in connection with the reverse split. Any fractional share resulting from the reverse split was rounded down to the nearest whole share, and in lieu of any fractional share, the Company paid in cash to the holders of such fractional shares an amount equal to the fair market value, as determined by the board of directors, of such fractional shares. All share, per share and related information presented in these interim financial statements and the related notes thereto have been retroactively adjusted, where applicable, to reflect the reverse stock split.</w:t>
      </w:r>
    </w:p>
    <w:p>
      <w:pPr>
        <w:spacing w:after="0" w:line="107"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Company’s complete summary of significant accounting policies can be found in “Note 3. Summary of Significant Accounting Policies” in the audited financial statements included in the Company’s IPO prospectus filed with the SEC on June 29, 2018.</w:t>
      </w:r>
    </w:p>
    <w:p>
      <w:pPr>
        <w:spacing w:after="0" w:line="112" w:lineRule="exact"/>
        <w:rPr>
          <w:sz w:val="20"/>
          <w:szCs w:val="20"/>
          <w:color w:val="auto"/>
        </w:rPr>
      </w:pPr>
    </w:p>
    <w:p>
      <w:pPr>
        <w:ind w:right="7120" w:firstLine="8"/>
        <w:spacing w:after="0" w:line="338" w:lineRule="auto"/>
        <w:tabs>
          <w:tab w:leader="none" w:pos="378"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 JOBS Act Accounting Election</w:t>
      </w:r>
    </w:p>
    <w:p>
      <w:pPr>
        <w:spacing w:after="0" w:line="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interim financial statements may not be comparable to companies that comply with the new or revised accounting pronouncements as of public company effective dates.</w:t>
      </w:r>
    </w:p>
    <w:p>
      <w:pPr>
        <w:spacing w:after="0" w:line="11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(Topic 606)</w:t>
      </w:r>
      <w:r>
        <w:rPr>
          <w:rFonts w:ascii="Arial" w:cs="Arial" w:eastAsia="Arial" w:hAnsi="Arial"/>
          <w:sz w:val="16"/>
          <w:szCs w:val="16"/>
          <w:color w:val="auto"/>
        </w:rPr>
        <w:t>, regarding the accounting for and disclosures of revenue recognition, with an effective date for public companies of annual and interim periods beginning after December 15, 2016. In July 2015, the FASB issued ASU 2015-14, “</w:t>
      </w:r>
      <w:r>
        <w:rPr>
          <w:rFonts w:ascii="Arial" w:cs="Arial" w:eastAsia="Arial" w:hAnsi="Arial"/>
          <w:sz w:val="16"/>
          <w:szCs w:val="16"/>
          <w:i w:val="1"/>
          <w:iCs w:val="1"/>
          <w:color w:val="auto"/>
        </w:rPr>
        <w:t>Revenue from Contracts with Customers (Topic 606): Deferral of the Effective Date</w:t>
      </w:r>
      <w:r>
        <w:rPr>
          <w:rFonts w:ascii="Arial" w:cs="Arial" w:eastAsia="Arial" w:hAnsi="Arial"/>
          <w:sz w:val="16"/>
          <w:szCs w:val="16"/>
          <w:color w:val="auto"/>
        </w:rPr>
        <w:t>,” which deferred the effective date of the previously issued revenue recognition guidance by one year. This guidance is effective for public companies for annual and interim periods beginning after December 15, 2017. For all other entities, including emerging growth companies, this standard is effective for annual reporting periods beginning after December 15, 2018, and interim periods with annual periods beginning after December 15, 2019. Early adoption is permitted. This update provides a single comprehensive model for accounting for revenue from contracts with customers. The model requires that revenue recognized reflects the actual consideration to which the entity expects to be entitled in exchange for the goods or services defined in the contract, including in situations with multiple performance obligations. In April 2016 and May 2016, the FASB issued ASU 2016-10, “</w:t>
      </w:r>
      <w:r>
        <w:rPr>
          <w:rFonts w:ascii="Arial" w:cs="Arial" w:eastAsia="Arial" w:hAnsi="Arial"/>
          <w:sz w:val="16"/>
          <w:szCs w:val="16"/>
          <w:i w:val="1"/>
          <w:iCs w:val="1"/>
          <w:color w:val="auto"/>
        </w:rPr>
        <w:t>Revenue from Contracts with Customers (Topic 606): Identifying Performance</w:t>
      </w:r>
      <w:r>
        <w:rPr>
          <w:rFonts w:ascii="Arial" w:cs="Arial" w:eastAsia="Arial" w:hAnsi="Arial"/>
          <w:sz w:val="16"/>
          <w:szCs w:val="16"/>
          <w:color w:val="auto"/>
        </w:rPr>
        <w:t xml:space="preserve"> </w:t>
      </w:r>
      <w:r>
        <w:rPr>
          <w:rFonts w:ascii="Arial" w:cs="Arial" w:eastAsia="Arial" w:hAnsi="Arial"/>
          <w:sz w:val="16"/>
          <w:szCs w:val="16"/>
          <w:i w:val="1"/>
          <w:iCs w:val="1"/>
          <w:color w:val="auto"/>
        </w:rPr>
        <w:t>Obligations and Licensing</w:t>
      </w:r>
      <w:r>
        <w:rPr>
          <w:rFonts w:ascii="Arial" w:cs="Arial" w:eastAsia="Arial" w:hAnsi="Arial"/>
          <w:sz w:val="16"/>
          <w:szCs w:val="16"/>
          <w:color w:val="auto"/>
        </w:rPr>
        <w:t>” and ASU 2016-12, “</w:t>
      </w:r>
      <w:r>
        <w:rPr>
          <w:rFonts w:ascii="Arial" w:cs="Arial" w:eastAsia="Arial" w:hAnsi="Arial"/>
          <w:sz w:val="16"/>
          <w:szCs w:val="16"/>
          <w:i w:val="1"/>
          <w:iCs w:val="1"/>
          <w:color w:val="auto"/>
        </w:rPr>
        <w:t>Revenue from Contracts with Customers (Topic 606): Narrow-Scope Improvements and Practical Expedients</w:t>
      </w:r>
      <w:r>
        <w:rPr>
          <w:rFonts w:ascii="Arial" w:cs="Arial" w:eastAsia="Arial" w:hAnsi="Arial"/>
          <w:sz w:val="16"/>
          <w:szCs w:val="16"/>
          <w:color w:val="auto"/>
        </w:rPr>
        <w:t>,” respectively. Both of these updates provide improvements and clarification to the previously issued revenue recognition guidance. The new</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 can be adopted using one of two methods: the full retrospective method, which requires the standard to be applied to each prior period presented, or the modified retrospective method, which requires the cumulative effect of adoption to be recognized as an adjustment to opening retained earnings in the period of adoption. The new standard will result in additional revenue-related disclosures in the notes to the Company’s financial statements. The majority of the Company’s revenue relates to the sales of NeuroStar Advanced Therapy Systems and treatment sessions to various customers. While the Company is still analyzing the impact of ASU 2014-09 on its financial statements and disclosures, it currently anticipates no significant changes to its revenue recognition practices as a result of the adoption of Topic 606. However, the Company currently expects the adoption of Topic 606 to change the accounting treatment for sales commissions and is analyzing the impact such change will have on its financial statements and disclosures. The Company historically expensed sales commissions as incurred. In addition, the new standard will require changes to the Company’s processes and controls to support additional disclosures, and the Company is in the process of identifying and designing such changes to processes and controls to ensure readiness.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8" w:name="page9"/>
    <w:bookmarkEnd w:id="8"/>
    <w:p>
      <w:pPr>
        <w:ind w:right="40"/>
        <w:spacing w:after="0" w:line="270" w:lineRule="auto"/>
        <w:rPr>
          <w:sz w:val="20"/>
          <w:szCs w:val="20"/>
          <w:color w:val="auto"/>
        </w:rPr>
      </w:pPr>
      <w:r>
        <w:rPr>
          <w:rFonts w:ascii="Arial" w:cs="Arial" w:eastAsia="Arial" w:hAnsi="Arial"/>
          <w:sz w:val="17"/>
          <w:szCs w:val="17"/>
          <w:color w:val="auto"/>
        </w:rPr>
        <w:t>In February 2016, the FASB issued ASU 2016-02, Leases (Topic 842), with guidance regarding the accounting for and disclosure of leases. The update requires lessees to recognize all leases, including operating leases, with a term greater than 12 months on the balance sheet. This update also requires lessees and lessors to disclose key information about their leasing transactions. This guidance will be effective for public companies for annual and interim periods beginning after December 15, 2018. For all other entities, including emerging growth companies, this standard will be effective for annual reporting periods beginning after December 15, 2019, and interim periods within annual periods beginning after December 15, 2020. Early adoption is permitted. The Company is currently evaluating the effect that this guidance will have on its financial statements and related disclosures. The Company expects the implementation of this standard to have an impact on its financial statements and related disclosures as its aggregate future minimum lease payments under its current non-cancelable off lease were $1.3 million as of September 30, 2018, with an expiration date in 2021. The Company anticipates recognition on its balance sheet of an additional asset and corresponding liability related to this office lease. The Company is currently evaluating the impact the new standard may have on other types of leasing arrangements.</w:t>
      </w:r>
    </w:p>
    <w:p>
      <w:pPr>
        <w:spacing w:after="0" w:line="124"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In June 2018, the FASB issued ASU 2018-07, Compensation—Stock Compensation (Topic 718): “</w:t>
      </w:r>
      <w:r>
        <w:rPr>
          <w:rFonts w:ascii="Arial" w:cs="Arial" w:eastAsia="Arial" w:hAnsi="Arial"/>
          <w:sz w:val="17"/>
          <w:szCs w:val="17"/>
          <w:i w:val="1"/>
          <w:iCs w:val="1"/>
          <w:color w:val="auto"/>
        </w:rPr>
        <w:t>Improvements to Nonemployee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which largely aligns the accounting for share-based payment awards issued to nonemployees with the accounting for share-based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awards issued to employees. Under previous GAAP, the accounting for nonemployee share-based payments differed from that applied to employee awards, particularly with regard to the measurement date and the impact of performance conditions. Under the new guidance, (i) equity-classified share-based payment awards issued to nonemployees will be measured at the grant date, instead of the previous requirement to remeasure the awards through the performance completion date, (ii) for performance conditions, compensation cost associated with the award will be recognized when the achievement of the performance condition is probable, rather than upon achievement of the performance condition, and (iii) the current requirement to reassess the classification (equity or liability) for nonemployee awards upon vesting will be eliminated, except for awards in the form of convertible instruments. This new guidance will be effective for public companies for fiscal years beginning after December 15, 2018, including interim periods within that fiscal year. Early adoption is permitted, but no earlier than an entity’s adoption date of Topic 606. The Company currently has no outstanding nonemployee share-based payment awards for which there is unrecognized compensation expense and therefore does not currently expect the adoption of the new guidance to have an effect on its financial statements.</w:t>
      </w:r>
    </w:p>
    <w:p>
      <w:pPr>
        <w:spacing w:after="0" w:line="122"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 AND FINANCIAL INSTRUMENTS</w:t>
      </w:r>
    </w:p>
    <w:p>
      <w:pPr>
        <w:spacing w:after="0" w:line="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carrying values of cash equivalents, accounts receivable, prepaids and other current assets, and accounts payable on the Company’s balance sheets approximated their fair values as of September 30, 2018 and December 31, 2017 due to their short-term nature. The carrying values of the Company’s current credit facility approximated its fair value as of September 30, 2018 and December 31, 2017 due to its variable interest rate.</w:t>
      </w:r>
    </w:p>
    <w:p>
      <w:pPr>
        <w:spacing w:after="0" w:line="1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Certain of the Company’s financial instruments are measured at fair value using a three-level hierarchy that prioritizes the inputs used to measure fair value. This hierarchy maximizes the use of observable inputs and minimizes the use of unobservable inputs. The three levels of inputs used to measure fair value are as follows:</w:t>
      </w:r>
    </w:p>
    <w:p>
      <w:pPr>
        <w:spacing w:after="0" w:line="1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Inputs are quoted prices for identical instruments in active markets.</w:t>
      </w:r>
    </w:p>
    <w:p>
      <w:pPr>
        <w:spacing w:after="0" w:line="131" w:lineRule="exact"/>
        <w:rPr>
          <w:sz w:val="20"/>
          <w:szCs w:val="20"/>
          <w:color w:val="auto"/>
        </w:rPr>
      </w:pPr>
    </w:p>
    <w:p>
      <w:pPr>
        <w:ind w:left="920" w:right="40" w:hanging="917"/>
        <w:spacing w:after="0" w:line="277" w:lineRule="auto"/>
        <w:tabs>
          <w:tab w:leader="none" w:pos="900" w:val="left"/>
        </w:tabs>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Inputs are quoted prices for similar instruments in active markets; quoted prices for identical or similar instruments in markets that are not active; or model-derived valuations whose inputs are observable or whose significant value drivers are observable.</w:t>
      </w:r>
    </w:p>
    <w:p>
      <w:pPr>
        <w:spacing w:after="0" w:line="76" w:lineRule="exact"/>
        <w:rPr>
          <w:sz w:val="20"/>
          <w:szCs w:val="20"/>
          <w:color w:val="auto"/>
        </w:rPr>
      </w:pPr>
    </w:p>
    <w:p>
      <w:pPr>
        <w:ind w:left="920" w:right="400" w:hanging="917"/>
        <w:spacing w:after="0" w:line="277" w:lineRule="auto"/>
        <w:tabs>
          <w:tab w:leader="none" w:pos="900" w:val="left"/>
        </w:tabs>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Inputs are unobservable and reflect the Company’s own assumptions, based on the best information available, including the Company’s own data.</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tables set forth the carrying amounts and fair values of the Company’s financial instruments as of September 30, 2018 and December 31, 2017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2018</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80" w:type="dxa"/>
            <w:vAlign w:val="bottom"/>
            <w:tcBorders>
              <w:bottom w:val="single" w:sz="8" w:color="auto"/>
            </w:tcBorders>
            <w:gridSpan w:val="6"/>
          </w:tcPr>
          <w:p>
            <w:pPr>
              <w:jc w:val="center"/>
              <w:ind w:right="4"/>
              <w:spacing w:after="0" w:line="155" w:lineRule="exact"/>
              <w:rPr>
                <w:sz w:val="20"/>
                <w:szCs w:val="20"/>
                <w:color w:val="auto"/>
              </w:rPr>
            </w:pPr>
            <w:r>
              <w:rPr>
                <w:rFonts w:ascii="Arial" w:cs="Arial" w:eastAsia="Arial" w:hAnsi="Arial"/>
                <w:sz w:val="14"/>
                <w:szCs w:val="14"/>
                <w:b w:val="1"/>
                <w:bCs w:val="1"/>
                <w:color w:val="auto"/>
                <w:w w:val="92"/>
              </w:rPr>
              <w:t>Fair Value Measurement Based on</w:t>
            </w:r>
          </w:p>
        </w:tc>
        <w:tc>
          <w:tcPr>
            <w:tcW w:w="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9"/>
              </w:rPr>
              <w:t>Quoted</w:t>
            </w:r>
          </w:p>
        </w:tc>
        <w:tc>
          <w:tcPr>
            <w:tcW w:w="140" w:type="dxa"/>
            <w:vAlign w:val="bottom"/>
          </w:tcPr>
          <w:p>
            <w:pPr>
              <w:spacing w:after="0"/>
              <w:rPr>
                <w:sz w:val="11"/>
                <w:szCs w:val="11"/>
                <w:color w:val="auto"/>
              </w:rPr>
            </w:pPr>
          </w:p>
        </w:tc>
        <w:tc>
          <w:tcPr>
            <w:tcW w:w="11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940" w:type="dxa"/>
            <w:vAlign w:val="bottom"/>
            <w:vMerge w:val="restart"/>
          </w:tcPr>
          <w:p>
            <w:pPr>
              <w:jc w:val="center"/>
              <w:ind w:left="4"/>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Prices In</w:t>
            </w:r>
          </w:p>
        </w:tc>
        <w:tc>
          <w:tcPr>
            <w:tcW w:w="1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other</w:t>
            </w: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40" w:type="dxa"/>
            <w:vAlign w:val="bottom"/>
          </w:tcPr>
          <w:p>
            <w:pPr>
              <w:jc w:val="center"/>
              <w:ind w:left="4"/>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94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79"/>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(Level 1)</w:t>
            </w: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2)</w:t>
            </w:r>
          </w:p>
        </w:tc>
        <w:tc>
          <w:tcPr>
            <w:tcW w:w="940" w:type="dxa"/>
            <w:vAlign w:val="bottom"/>
          </w:tcPr>
          <w:p>
            <w:pPr>
              <w:jc w:val="center"/>
              <w:ind w:left="4"/>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60" w:type="dxa"/>
            <w:vAlign w:val="bottom"/>
            <w:tcBorders>
              <w:top w:val="single" w:sz="8" w:color="CFF0FC"/>
            </w:tcBorders>
            <w:gridSpan w:val="2"/>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FF0FC"/>
          </w:tcPr>
          <w:p>
            <w:pPr>
              <w:spacing w:after="0" w:line="20" w:lineRule="exact"/>
              <w:rPr>
                <w:sz w:val="1"/>
                <w:szCs w:val="1"/>
                <w:color w:val="auto"/>
              </w:rPr>
            </w:pPr>
          </w:p>
        </w:tc>
        <w:tc>
          <w:tcPr>
            <w:tcW w:w="48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Money market funds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86,605</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86,605</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86,605</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ind w:right="764"/>
              <w:spacing w:after="0"/>
              <w:rPr>
                <w:sz w:val="20"/>
                <w:szCs w:val="20"/>
                <w:color w:val="auto"/>
              </w:rPr>
            </w:pPr>
            <w:r>
              <w:rPr>
                <w:rFonts w:ascii="Arial" w:cs="Arial" w:eastAsia="Arial" w:hAnsi="Arial"/>
                <w:sz w:val="18"/>
                <w:szCs w:val="18"/>
                <w:color w:val="auto"/>
                <w:w w:val="7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459"/>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03" w:right="2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380" w:type="dxa"/>
            <w:vAlign w:val="bottom"/>
            <w:tcBorders>
              <w:bottom w:val="single" w:sz="8" w:color="auto"/>
            </w:tcBorders>
            <w:gridSpan w:val="7"/>
          </w:tcPr>
          <w:p>
            <w:pPr>
              <w:jc w:val="center"/>
              <w:ind w:right="101"/>
              <w:spacing w:after="0" w:line="155" w:lineRule="exact"/>
              <w:rPr>
                <w:sz w:val="20"/>
                <w:szCs w:val="20"/>
                <w:color w:val="auto"/>
              </w:rPr>
            </w:pPr>
            <w:r>
              <w:rPr>
                <w:rFonts w:ascii="Arial" w:cs="Arial" w:eastAsia="Arial" w:hAnsi="Arial"/>
                <w:sz w:val="14"/>
                <w:szCs w:val="14"/>
                <w:b w:val="1"/>
                <w:bCs w:val="1"/>
                <w:color w:val="auto"/>
                <w:w w:val="92"/>
              </w:rPr>
              <w:t>Fair Value Measurement Based 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9"/>
              </w:rPr>
              <w:t>Quoted</w:t>
            </w:r>
          </w:p>
        </w:tc>
        <w:tc>
          <w:tcPr>
            <w:tcW w:w="140" w:type="dxa"/>
            <w:vAlign w:val="bottom"/>
          </w:tcPr>
          <w:p>
            <w:pPr>
              <w:spacing w:after="0"/>
              <w:rPr>
                <w:sz w:val="11"/>
                <w:szCs w:val="11"/>
                <w:color w:val="auto"/>
              </w:rPr>
            </w:pPr>
          </w:p>
        </w:tc>
        <w:tc>
          <w:tcPr>
            <w:tcW w:w="11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1"/>
                <w:szCs w:val="11"/>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Prices In</w:t>
            </w:r>
          </w:p>
        </w:tc>
        <w:tc>
          <w:tcPr>
            <w:tcW w:w="1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79"/>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(Level 1)</w:t>
            </w: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60" w:type="dxa"/>
            <w:vAlign w:val="bottom"/>
            <w:tcBorders>
              <w:top w:val="single" w:sz="8" w:color="CFF0FC"/>
            </w:tcBorders>
            <w:gridSpan w:val="3"/>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5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Money market funds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11,149</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11,149</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11,149</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Borders>
              <w:bottom w:val="single" w:sz="8" w:color="auto"/>
            </w:tcBorders>
            <w:gridSpan w:val="2"/>
            <w:shd w:val="clear" w:color="auto" w:fill="CFF0FC"/>
          </w:tcPr>
          <w:p>
            <w:pPr>
              <w:spacing w:after="0" w:line="189" w:lineRule="exact"/>
              <w:rPr>
                <w:sz w:val="20"/>
                <w:szCs w:val="20"/>
                <w:color w:val="auto"/>
              </w:rPr>
            </w:pPr>
            <w:r>
              <w:rPr>
                <w:rFonts w:ascii="Arial" w:cs="Arial" w:eastAsia="Arial" w:hAnsi="Arial"/>
                <w:sz w:val="18"/>
                <w:szCs w:val="18"/>
                <w:b w:val="1"/>
                <w:bCs w:val="1"/>
                <w:color w:val="auto"/>
                <w:w w:val="89"/>
              </w:rPr>
              <w:t>Liabilities</w:t>
            </w:r>
          </w:p>
        </w:tc>
        <w:tc>
          <w:tcPr>
            <w:tcW w:w="45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Convertible preferred stock warrant liability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478</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478</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fair value of the convertible preferred stock warrant liability was estimated using the Black-Scholes option pricing model and the following inputs and assumptions as of July 2, 2018 and December 31, 2017:</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gridSpan w:val="4"/>
          </w:tcPr>
          <w:p>
            <w:pPr>
              <w:ind w:left="20"/>
              <w:spacing w:after="0"/>
              <w:rPr>
                <w:sz w:val="20"/>
                <w:szCs w:val="20"/>
                <w:color w:val="auto"/>
              </w:rPr>
            </w:pPr>
            <w:r>
              <w:rPr>
                <w:rFonts w:ascii="Arial" w:cs="Arial" w:eastAsia="Arial" w:hAnsi="Arial"/>
                <w:sz w:val="14"/>
                <w:szCs w:val="14"/>
                <w:b w:val="1"/>
                <w:bCs w:val="1"/>
                <w:color w:val="auto"/>
              </w:rPr>
              <w:t>July 2, 2018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5"/>
          </w:tcPr>
          <w:p>
            <w:pPr>
              <w:ind w:left="400"/>
              <w:spacing w:after="0"/>
              <w:rPr>
                <w:sz w:val="20"/>
                <w:szCs w:val="20"/>
                <w:color w:val="auto"/>
              </w:rPr>
            </w:pPr>
            <w:r>
              <w:rPr>
                <w:rFonts w:ascii="Arial" w:cs="Arial" w:eastAsia="Arial" w:hAnsi="Arial"/>
                <w:sz w:val="14"/>
                <w:szCs w:val="14"/>
                <w:b w:val="1"/>
                <w:bCs w:val="1"/>
                <w:color w:val="auto"/>
              </w:rPr>
              <w:t>December 31, 2017</w:t>
            </w:r>
          </w:p>
        </w:tc>
      </w:tr>
      <w:tr>
        <w:trPr>
          <w:trHeight w:val="156"/>
        </w:trPr>
        <w:tc>
          <w:tcPr>
            <w:tcW w:w="448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Series E</w:t>
            </w:r>
          </w:p>
        </w:tc>
        <w:tc>
          <w:tcPr>
            <w:tcW w:w="2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Series F</w:t>
            </w:r>
          </w:p>
        </w:tc>
        <w:tc>
          <w:tcPr>
            <w:tcW w:w="2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Series E</w:t>
            </w:r>
          </w:p>
        </w:tc>
        <w:tc>
          <w:tcPr>
            <w:tcW w:w="2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Series F</w:t>
            </w:r>
          </w:p>
        </w:tc>
        <w:tc>
          <w:tcPr>
            <w:tcW w:w="100" w:type="dxa"/>
            <w:vAlign w:val="bottom"/>
            <w:tcBorders>
              <w:bottom w:val="single" w:sz="8" w:color="CFF0FC"/>
            </w:tcBorders>
          </w:tcPr>
          <w:p>
            <w:pPr>
              <w:spacing w:after="0"/>
              <w:rPr>
                <w:sz w:val="13"/>
                <w:szCs w:val="13"/>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Estimated fair value of convertible preferred stock</w:t>
            </w: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193"/>
              <w:spacing w:after="0"/>
              <w:rPr>
                <w:sz w:val="20"/>
                <w:szCs w:val="20"/>
                <w:color w:val="auto"/>
              </w:rPr>
            </w:pPr>
            <w:r>
              <w:rPr>
                <w:rFonts w:ascii="Arial" w:cs="Arial" w:eastAsia="Arial" w:hAnsi="Arial"/>
                <w:sz w:val="18"/>
                <w:szCs w:val="18"/>
                <w:color w:val="auto"/>
              </w:rPr>
              <w:t>26.41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235"/>
              <w:spacing w:after="0"/>
              <w:rPr>
                <w:sz w:val="20"/>
                <w:szCs w:val="20"/>
                <w:color w:val="auto"/>
              </w:rPr>
            </w:pPr>
            <w:r>
              <w:rPr>
                <w:rFonts w:ascii="Arial" w:cs="Arial" w:eastAsia="Arial" w:hAnsi="Arial"/>
                <w:sz w:val="18"/>
                <w:szCs w:val="18"/>
                <w:color w:val="auto"/>
              </w:rPr>
              <w:t>9.57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93"/>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CFF0FC"/>
          </w:tcPr>
          <w:p>
            <w:pPr>
              <w:spacing w:after="0"/>
              <w:rPr>
                <w:sz w:val="19"/>
                <w:szCs w:val="19"/>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Exercise price</w:t>
            </w:r>
          </w:p>
        </w:tc>
        <w:tc>
          <w:tcPr>
            <w:tcW w:w="10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19.55</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9.73</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5"/>
              <w:spacing w:after="0"/>
              <w:rPr>
                <w:sz w:val="20"/>
                <w:szCs w:val="20"/>
                <w:color w:val="auto"/>
              </w:rPr>
            </w:pPr>
            <w:r>
              <w:rPr>
                <w:rFonts w:ascii="Arial" w:cs="Arial" w:eastAsia="Arial" w:hAnsi="Arial"/>
                <w:sz w:val="18"/>
                <w:szCs w:val="18"/>
                <w:color w:val="auto"/>
              </w:rPr>
              <w:t>19.55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3"/>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Remaining term (in years)</w:t>
            </w: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4.5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center"/>
              <w:ind w:right="93"/>
              <w:spacing w:after="0"/>
              <w:rPr>
                <w:sz w:val="20"/>
                <w:szCs w:val="20"/>
                <w:color w:val="auto"/>
              </w:rPr>
            </w:pPr>
            <w:r>
              <w:rPr>
                <w:rFonts w:ascii="Arial" w:cs="Arial" w:eastAsia="Arial" w:hAnsi="Arial"/>
                <w:sz w:val="18"/>
                <w:szCs w:val="18"/>
                <w:color w:val="auto"/>
                <w:w w:val="90"/>
              </w:rPr>
              <w:t>2.6 - 6.5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center"/>
              <w:ind w:right="95"/>
              <w:spacing w:after="0"/>
              <w:rPr>
                <w:sz w:val="20"/>
                <w:szCs w:val="20"/>
                <w:color w:val="auto"/>
              </w:rPr>
            </w:pPr>
            <w:r>
              <w:rPr>
                <w:rFonts w:ascii="Arial" w:cs="Arial" w:eastAsia="Arial" w:hAnsi="Arial"/>
                <w:sz w:val="18"/>
                <w:szCs w:val="18"/>
                <w:color w:val="auto"/>
                <w:w w:val="87"/>
              </w:rPr>
              <w:t>5.0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center"/>
              <w:ind w:right="13"/>
              <w:spacing w:after="0"/>
              <w:rPr>
                <w:sz w:val="20"/>
                <w:szCs w:val="20"/>
                <w:color w:val="auto"/>
              </w:rPr>
            </w:pPr>
            <w:r>
              <w:rPr>
                <w:rFonts w:ascii="Arial" w:cs="Arial" w:eastAsia="Arial" w:hAnsi="Arial"/>
                <w:sz w:val="18"/>
                <w:szCs w:val="18"/>
                <w:color w:val="auto"/>
                <w:w w:val="90"/>
              </w:rPr>
              <w:t>3.1 - 7.0</w:t>
            </w:r>
          </w:p>
        </w:tc>
        <w:tc>
          <w:tcPr>
            <w:tcW w:w="100" w:type="dxa"/>
            <w:vAlign w:val="bottom"/>
            <w:shd w:val="clear" w:color="auto" w:fill="CFF0FC"/>
          </w:tcPr>
          <w:p>
            <w:pPr>
              <w:spacing w:after="0"/>
              <w:rPr>
                <w:sz w:val="19"/>
                <w:szCs w:val="19"/>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87"/>
              </w:rPr>
              <w:t>2.7%</w:t>
            </w:r>
          </w:p>
        </w:tc>
        <w:tc>
          <w:tcPr>
            <w:tcW w:w="1540" w:type="dxa"/>
            <w:vAlign w:val="bottom"/>
            <w:gridSpan w:val="4"/>
          </w:tcPr>
          <w:p>
            <w:pPr>
              <w:jc w:val="center"/>
              <w:ind w:left="398"/>
              <w:spacing w:after="0"/>
              <w:rPr>
                <w:sz w:val="20"/>
                <w:szCs w:val="20"/>
                <w:color w:val="auto"/>
              </w:rPr>
            </w:pPr>
            <w:r>
              <w:rPr>
                <w:rFonts w:ascii="Arial" w:cs="Arial" w:eastAsia="Arial" w:hAnsi="Arial"/>
                <w:sz w:val="17"/>
                <w:szCs w:val="17"/>
                <w:color w:val="auto"/>
                <w:w w:val="92"/>
              </w:rPr>
              <w:t>2.6% - 2.8%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center"/>
              <w:ind w:right="95"/>
              <w:spacing w:after="0"/>
              <w:rPr>
                <w:sz w:val="20"/>
                <w:szCs w:val="20"/>
                <w:color w:val="auto"/>
              </w:rPr>
            </w:pPr>
            <w:r>
              <w:rPr>
                <w:rFonts w:ascii="Arial" w:cs="Arial" w:eastAsia="Arial" w:hAnsi="Arial"/>
                <w:sz w:val="17"/>
                <w:szCs w:val="17"/>
                <w:color w:val="auto"/>
                <w:w w:val="87"/>
              </w:rPr>
              <w:t>2.2%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center"/>
              <w:ind w:right="13"/>
              <w:spacing w:after="0"/>
              <w:rPr>
                <w:sz w:val="20"/>
                <w:szCs w:val="20"/>
                <w:color w:val="auto"/>
              </w:rPr>
            </w:pPr>
            <w:r>
              <w:rPr>
                <w:rFonts w:ascii="Arial" w:cs="Arial" w:eastAsia="Arial" w:hAnsi="Arial"/>
                <w:sz w:val="17"/>
                <w:szCs w:val="17"/>
                <w:color w:val="auto"/>
                <w:w w:val="90"/>
              </w:rPr>
              <w:t>2.0% - 2.3%</w:t>
            </w:r>
          </w:p>
        </w:tc>
        <w:tc>
          <w:tcPr>
            <w:tcW w:w="10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43%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center"/>
              <w:ind w:right="73"/>
              <w:spacing w:after="0"/>
              <w:rPr>
                <w:sz w:val="20"/>
                <w:szCs w:val="20"/>
                <w:color w:val="auto"/>
              </w:rPr>
            </w:pPr>
            <w:r>
              <w:rPr>
                <w:rFonts w:ascii="Arial" w:cs="Arial" w:eastAsia="Arial" w:hAnsi="Arial"/>
                <w:sz w:val="18"/>
                <w:szCs w:val="18"/>
                <w:color w:val="auto"/>
                <w:w w:val="94"/>
              </w:rPr>
              <w:t>43%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center"/>
              <w:ind w:right="95"/>
              <w:spacing w:after="0"/>
              <w:rPr>
                <w:sz w:val="20"/>
                <w:szCs w:val="20"/>
                <w:color w:val="auto"/>
              </w:rPr>
            </w:pPr>
            <w:r>
              <w:rPr>
                <w:rFonts w:ascii="Arial" w:cs="Arial" w:eastAsia="Arial" w:hAnsi="Arial"/>
                <w:sz w:val="18"/>
                <w:szCs w:val="18"/>
                <w:color w:val="auto"/>
                <w:w w:val="94"/>
              </w:rPr>
              <w:t>43%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center"/>
              <w:ind w:right="13"/>
              <w:spacing w:after="0"/>
              <w:rPr>
                <w:sz w:val="20"/>
                <w:szCs w:val="20"/>
                <w:color w:val="auto"/>
              </w:rPr>
            </w:pPr>
            <w:r>
              <w:rPr>
                <w:rFonts w:ascii="Arial" w:cs="Arial" w:eastAsia="Arial" w:hAnsi="Arial"/>
                <w:sz w:val="18"/>
                <w:szCs w:val="18"/>
                <w:color w:val="auto"/>
                <w:w w:val="90"/>
              </w:rPr>
              <w:t>43% - 44%</w:t>
            </w:r>
          </w:p>
        </w:tc>
        <w:tc>
          <w:tcPr>
            <w:tcW w:w="100" w:type="dxa"/>
            <w:vAlign w:val="bottom"/>
            <w:shd w:val="clear" w:color="auto" w:fill="CFF0FC"/>
          </w:tcPr>
          <w:p>
            <w:pPr>
              <w:spacing w:after="0"/>
              <w:rPr>
                <w:sz w:val="19"/>
                <w:szCs w:val="19"/>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Dividend yield</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center"/>
              <w:ind w:right="93"/>
              <w:spacing w:after="0"/>
              <w:rPr>
                <w:sz w:val="20"/>
                <w:szCs w:val="20"/>
                <w:color w:val="auto"/>
              </w:rPr>
            </w:pPr>
            <w:r>
              <w:rPr>
                <w:rFonts w:ascii="Arial" w:cs="Arial" w:eastAsia="Arial" w:hAnsi="Arial"/>
                <w:sz w:val="18"/>
                <w:szCs w:val="18"/>
                <w:color w:val="auto"/>
                <w:w w:val="92"/>
              </w:rPr>
              <w:t>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center"/>
              <w:ind w:right="115"/>
              <w:spacing w:after="0"/>
              <w:rPr>
                <w:sz w:val="20"/>
                <w:szCs w:val="20"/>
                <w:color w:val="auto"/>
              </w:rPr>
            </w:pPr>
            <w:r>
              <w:rPr>
                <w:rFonts w:ascii="Arial" w:cs="Arial" w:eastAsia="Arial" w:hAnsi="Arial"/>
                <w:sz w:val="18"/>
                <w:szCs w:val="18"/>
                <w:color w:val="auto"/>
                <w:w w:val="92"/>
              </w:rPr>
              <w:t>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center"/>
              <w:ind w:right="13"/>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changes in Level 3 instruments measured on a recurring basis for the nine months ended September 30, 2018 (in thousands):</w:t>
      </w:r>
    </w:p>
    <w:p>
      <w:pPr>
        <w:spacing w:after="0" w:line="249"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40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ind w:left="240"/>
              <w:spacing w:after="0"/>
              <w:rPr>
                <w:sz w:val="20"/>
                <w:szCs w:val="20"/>
                <w:color w:val="auto"/>
              </w:rPr>
            </w:pPr>
            <w:r>
              <w:rPr>
                <w:rFonts w:ascii="Arial" w:cs="Arial" w:eastAsia="Arial" w:hAnsi="Arial"/>
                <w:sz w:val="18"/>
                <w:szCs w:val="18"/>
                <w:color w:val="auto"/>
              </w:rPr>
              <w:t>Change in fair value</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1,396</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Reclassification to additional paid in capital</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(1,874)</w:t>
            </w: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Balance at September 30, 2018</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composition of accounts receivable, net as of September 30, 2018 and December 31, 2017 (in thousands):</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4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Gross accounts receivable - trade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4,684</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Less: Allowances for doubtful accounts</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(417)</w:t>
            </w:r>
          </w:p>
        </w:tc>
      </w:tr>
      <w:tr>
        <w:trPr>
          <w:trHeight w:val="223"/>
        </w:trPr>
        <w:tc>
          <w:tcPr>
            <w:tcW w:w="54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Accounts receivable, net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AND CAPITALIZED SOFTWARE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composition of property and equipment, net as of September 30, 2018 and December 31, 2017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240" w:type="dxa"/>
            <w:vAlign w:val="bottom"/>
            <w:tcBorders>
              <w:bottom w:val="single" w:sz="8" w:color="CFF0FC"/>
            </w:tcBorders>
          </w:tcPr>
          <w:p>
            <w:pPr>
              <w:spacing w:after="0"/>
              <w:rPr>
                <w:sz w:val="14"/>
                <w:szCs w:val="14"/>
                <w:color w:val="auto"/>
              </w:rPr>
            </w:pPr>
          </w:p>
        </w:tc>
        <w:tc>
          <w:tcPr>
            <w:tcW w:w="2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2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Office equipment</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487</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2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Rental equipment</w:t>
            </w:r>
          </w:p>
        </w:tc>
        <w:tc>
          <w:tcPr>
            <w:tcW w:w="2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and equipment, gross</w:t>
            </w:r>
          </w:p>
        </w:tc>
        <w:tc>
          <w:tcPr>
            <w:tcW w:w="2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3,190</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40" w:type="dxa"/>
            <w:vAlign w:val="bottom"/>
          </w:tcPr>
          <w:p>
            <w:pPr>
              <w:ind w:left="240"/>
              <w:spacing w:after="0"/>
              <w:rPr>
                <w:sz w:val="20"/>
                <w:szCs w:val="20"/>
                <w:color w:val="auto"/>
              </w:rPr>
            </w:pPr>
            <w:r>
              <w:rPr>
                <w:rFonts w:ascii="Arial" w:cs="Arial" w:eastAsia="Arial" w:hAnsi="Arial"/>
                <w:sz w:val="18"/>
                <w:szCs w:val="18"/>
                <w:color w:val="auto"/>
              </w:rPr>
              <w:t>Less: Accumulated depreciation</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(1,975)</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(1,831)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2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Property and equipment, net</w:t>
            </w:r>
          </w:p>
        </w:tc>
        <w:tc>
          <w:tcPr>
            <w:tcW w:w="2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00" w:type="dxa"/>
            <w:vAlign w:val="bottom"/>
            <w:vMerge w:val="restart"/>
          </w:tcPr>
          <w:p>
            <w:pPr>
              <w:jc w:val="right"/>
              <w:ind w:right="127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16" w:right="21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As of September 30, 2018 and December 31, 2017, the Company had capitalized software costs, net of $0.7 million and $0.4 million, respectively, which are included in “Other assets” on the balance sheet.</w:t>
      </w:r>
    </w:p>
    <w:p>
      <w:pPr>
        <w:spacing w:after="0" w:line="15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Depreciation and amortization expense was $0.2 million and $0.1 million for the three months ended September 30, 2018 and 2017, respectively, and $0.7 million and $0.5 million for the nine months ended September 30, 2018 and 2017, respectively.</w:t>
      </w:r>
    </w:p>
    <w:p>
      <w:pPr>
        <w:spacing w:after="0" w:line="112"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composition of accrued expenses as of September 30, 2018 and December 31, 2017 (in thousands):</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53"/>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Compensation and related benefits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4,465</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Consulting and professional fees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461</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620</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Warranty</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Sales tax payable</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Interest payable</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Accrued expenses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7,511</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composition of debt as of September 30, 2018 and December 31, 2017 (in thousands):</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4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Outstanding principal</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Accrued final payment fees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940</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Less debt discounts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(1,179)</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(1,384)</w:t>
            </w:r>
          </w:p>
        </w:tc>
      </w:tr>
      <w:tr>
        <w:trPr>
          <w:trHeight w:val="223"/>
        </w:trPr>
        <w:tc>
          <w:tcPr>
            <w:tcW w:w="54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long-term debt, net</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30,198</w:t>
            </w:r>
          </w:p>
        </w:tc>
        <w:tc>
          <w:tcPr>
            <w:tcW w:w="2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29,556</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current portion of long-term debt</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Pr>
          <w:p>
            <w:pPr>
              <w:ind w:left="240"/>
              <w:spacing w:after="0"/>
              <w:rPr>
                <w:sz w:val="20"/>
                <w:szCs w:val="20"/>
                <w:color w:val="auto"/>
              </w:rPr>
            </w:pPr>
            <w:r>
              <w:rPr>
                <w:rFonts w:ascii="Arial" w:cs="Arial" w:eastAsia="Arial" w:hAnsi="Arial"/>
                <w:sz w:val="18"/>
                <w:szCs w:val="18"/>
                <w:color w:val="auto"/>
              </w:rPr>
              <w:t>Long-term debt,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25,198</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29,556</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three months ended September 30, 2018, the Company recognized interest expense of $0.9 million, of which $0.7 million was cash and $0.2 million was non-cash interest expense related to the amortization of deferred debt issuance costs and accrual of final payment fees. For the three months ended September 30, 2017, the Company recognized interest expense of $0.8 million, of which $0.5 million was cash and $0.3 million was non-cash interest expense related to the amortization of deferred debt issuance costs and accrual of final payment fees.</w:t>
      </w:r>
    </w:p>
    <w:p>
      <w:pPr>
        <w:spacing w:after="0" w:line="13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For the nine months ended September 30, 2018, the Company recognized interest expense of $2.7 million, of which $2.1 million was cash and $0.6 million was non-cash interest expense related to the amortization of deferred debt issuance costs and accrual of final payment fees. For the nine months ended September 30, 2017, the Company recognized interest expense of $2.1 million, of which $1.6 million was cash and $0.5 million was non-cash interest expense related to the amortization of deferred debt issuance costs and accrual of final payment fees.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Credit Facility</w:t>
      </w:r>
    </w:p>
    <w:p>
      <w:pPr>
        <w:spacing w:after="0" w:line="8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March 2017, the Company entered into a new loan and security agreement with Oxford Finance LLC, or Oxford, for a credit facility that replaced its previous $25.0 million credit facility with Oxford and which allowed it to borrow up to $35.0 million in three tranches of term loans: a Term A Loan in the amount of $25.0 million, which was drawn down immediately upon closing in March 2017, a Term B Loan in the amount of $5.0 million, which was drawn down in December 2017, and a Term C Loan in the amount of $5.0 million, which became available to the Company upon the achievement of $45.0 million of trailing twelve month revenues during the second quarter of 2018. Upon achieving the required revenue milestone, the Company had 60 days to notify Oxford if it elected to borrow the Term C Loan. As a result of completing its IPO on July 2, 2018 and receiving the net proceeds therefrom, the Company elected not to borrow the additional $5.0 million, and it is no longer available to the Company. Each term loan accrues interest from the date of borrowing through the date of repayment at a floating per annum rate of interest, which resets monthly and is equal to the greater of (a) 8.15% or (b) the 30 day U.S. LIBOR on the last business day of the month plus 7.38%. The Company was also required to issue to Oxford at the date of each borrowing warrants to purchase its Series F or later series of convertible preferred stock with a seven year term and in an amount equal to 3.95% of the first $5.0 million of each tranche borrowed. The credit facility matures and all amounts borrowed thereunder are due on March 1, 2022. As of September 30, 2018, the Company had borrowed and had outstanding an aggregate of $30.0 million of principal under the credit facility.</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11" w:name="page12"/>
    <w:bookmarkEnd w:id="11"/>
    <w:p>
      <w:pPr>
        <w:ind w:right="60"/>
        <w:spacing w:after="0" w:line="273" w:lineRule="auto"/>
        <w:rPr>
          <w:sz w:val="20"/>
          <w:szCs w:val="20"/>
          <w:color w:val="auto"/>
        </w:rPr>
      </w:pPr>
      <w:r>
        <w:rPr>
          <w:rFonts w:ascii="Arial" w:cs="Arial" w:eastAsia="Arial" w:hAnsi="Arial"/>
          <w:sz w:val="17"/>
          <w:szCs w:val="17"/>
          <w:color w:val="auto"/>
        </w:rPr>
        <w:t>The Term A Loan features an interest-only period through March 2019, during which time the Company is required to make monthly interest payments, after which time the Company is required to make monthly payments of principal and interest based on a 36-month amortization schedule. However, upon the achievement of $45.0 million of revenues during fiscal 2018, the interest-only period can be extended for an additional 12 months through March 2020 and the amortization period then becomes 24 months. In connection with the drawdown of the Term A Loan, the Company issued to Oxford a warrant to purchase shares of its Series F convertible preferred stock. This convertible preferred stock warrant converted into a warrant to purchase 20,303 shares of the Company’s common stock at an exercise price of $9.73 per share. The warrant will expire in March 2024.</w:t>
      </w:r>
    </w:p>
    <w:p>
      <w:pPr>
        <w:spacing w:after="0" w:line="12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Term B Loan features an interest-only period through March 2019, during which time the Company is required to make monthly interest payments, after which time the Company is required to make monthly payments of principal and interest based on a 36-month amortization schedule. However, upon the achievement of $45.0 million of revenues during fiscal 2018, the interest-only period can be extended for an additional 12 months through March 2020 and the amortization period then becomes 24 months. In connection with the drawdown of the Term B Loan, the Company issued to Oxford a warrant to purchase shares of its Series F convertible preferred stock. This convertible preferred stock warrant converted into a warrant to purchase 20,303 shares of the Company’s common stock at an exercise price of $9.73 per share. The warrant will expire in December 2024.</w:t>
      </w:r>
    </w:p>
    <w:p>
      <w:pPr>
        <w:spacing w:after="0" w:line="12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addition to principal and interest payments due under the credit facility, the Company is required to make final payment fees to Oxford due upon the earlier of prepayment or maturity of each tranche, which are equal to 8% and 7% of the principal amounts of the Term A and Term B Loans, respectively, except that if the interest-only periods on the Term A and Term B Loans are extended then the final payment fees increase to 8.5% and 7.5% of the principal amounts of the Term A and Term B Loans, respectively. The Company accrues the estimated final payment fees using the effective interest rate, with a charge to non-cash interest expense, over the term of borrowing for each tranche. As of both September 30, 2018 and December 31, 2017, the effective interest rates for the Term A and Term B Loans were 10.7% and 11.6%, respectively. If the Company prepays its term loans prior to their respective scheduled maturities, it will also be required to make prepayment fees to Oxford equal to 3% if prepaid on or before the first anniversary of funding, 2% if prepaid after the first and on or before the second anniversary of funding, or 1% if prepaid after the second anniversary of funding of the principal amounts borrowed.</w:t>
      </w:r>
    </w:p>
    <w:p>
      <w:pPr>
        <w:spacing w:after="0" w:line="11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Company’s obligations under the credit facility are secured by a first priority security interest in substantially all of its assets, other than its intellectual property. The Company has agreed not to pledge or otherwise encumber any of its intellectual property. The loan and security agreement related to the credit facility includes a financial maintenance covenant that requires the Company to achieve at least 75% of its trailing 12-month forecasted revenues, as measured each month in accordance with a forecast that the Company provided to Oxford upon signing the agreement and future forecasts that the Company is required to deliver to Oxford each year for the life of the credit facility, as well as customary affirmative and negative covenants. The Company was in compliance with all of the covenants under its credit facility as of September 30, 2018.</w:t>
      </w:r>
    </w:p>
    <w:p>
      <w:pPr>
        <w:spacing w:after="0" w:line="1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loan and security agreement related to the credit facility contains events of default, including, without limitation, events of default upon: (i) failure to make payment pursuant to the terms of the agreement; (ii) violation of covenants; (iii) material adverse changes to the Company’s business; (iv) attachment or levy on the Company’s assets or judicial restraint on its business; (v) insolvency; (vi) significant judgments, orders or decrees for payments by the Company not covered by insurance; (vii) incorrectness of representations and warranties; (viii) incurrence of subordinated debt; (ix) revocation of governmental approvals necessary for the Company to conduct its business; and (x) failure by the Company to maintain a valid and perfected lien on the collateral securing the borrowing.</w:t>
      </w:r>
    </w:p>
    <w:p>
      <w:pPr>
        <w:spacing w:after="0" w:line="13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Based on a 36-month amortization of the outstanding principal amounts of the Term A and Term B Loans beginning on April 1, 2019 as discussed above, the following table sets forth by year the Company’s required future principal payments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gridSpan w:val="2"/>
            <w:vMerge w:val="restart"/>
          </w:tcPr>
          <w:p>
            <w:pPr>
              <w:ind w:left="2300"/>
              <w:spacing w:after="0"/>
              <w:rPr>
                <w:sz w:val="20"/>
                <w:szCs w:val="20"/>
                <w:color w:val="auto"/>
              </w:rPr>
            </w:pPr>
            <w:r>
              <w:rPr>
                <w:rFonts w:ascii="Arial" w:cs="Arial" w:eastAsia="Arial" w:hAnsi="Arial"/>
                <w:sz w:val="14"/>
                <w:szCs w:val="14"/>
                <w:b w:val="1"/>
                <w:bCs w:val="1"/>
                <w:color w:val="auto"/>
              </w:rPr>
              <w:t>Year:</w:t>
            </w: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94"/>
              <w:spacing w:after="0"/>
              <w:rPr>
                <w:sz w:val="20"/>
                <w:szCs w:val="20"/>
                <w:color w:val="auto"/>
              </w:rPr>
            </w:pPr>
            <w:r>
              <w:rPr>
                <w:rFonts w:ascii="Arial" w:cs="Arial" w:eastAsia="Arial" w:hAnsi="Arial"/>
                <w:sz w:val="14"/>
                <w:szCs w:val="14"/>
                <w:b w:val="1"/>
                <w:bCs w:val="1"/>
                <w:color w:val="auto"/>
              </w:rPr>
              <w:t>Principal</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80" w:type="dxa"/>
            <w:vAlign w:val="bottom"/>
            <w:gridSpan w:val="2"/>
            <w:vMerge w:val="continue"/>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94"/>
              <w:spacing w:after="0"/>
              <w:rPr>
                <w:sz w:val="20"/>
                <w:szCs w:val="20"/>
                <w:color w:val="auto"/>
              </w:rPr>
            </w:pPr>
            <w:r>
              <w:rPr>
                <w:rFonts w:ascii="Arial" w:cs="Arial" w:eastAsia="Arial" w:hAnsi="Arial"/>
                <w:sz w:val="14"/>
                <w:szCs w:val="14"/>
                <w:b w:val="1"/>
                <w:bCs w:val="1"/>
                <w:color w:val="auto"/>
                <w:w w:val="99"/>
              </w:rPr>
              <w:t>Payments</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2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2019</w:t>
            </w: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7,500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2021</w:t>
            </w: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680" w:type="dxa"/>
            <w:vAlign w:val="bottom"/>
          </w:tcPr>
          <w:p>
            <w:pPr>
              <w:ind w:left="240"/>
              <w:spacing w:after="0"/>
              <w:rPr>
                <w:sz w:val="20"/>
                <w:szCs w:val="20"/>
                <w:color w:val="auto"/>
              </w:rPr>
            </w:pPr>
            <w:r>
              <w:rPr>
                <w:rFonts w:ascii="Arial" w:cs="Arial" w:eastAsia="Arial" w:hAnsi="Arial"/>
                <w:sz w:val="18"/>
                <w:szCs w:val="18"/>
                <w:color w:val="auto"/>
              </w:rPr>
              <w:t>Total principal payments</w:t>
            </w: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780" w:type="dxa"/>
            <w:vAlign w:val="bottom"/>
            <w:vMerge w:val="restart"/>
          </w:tcPr>
          <w:p>
            <w:pPr>
              <w:jc w:val="right"/>
              <w:ind w:right="187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3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03"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Previous $25.0 Million Credit Facility</w:t>
      </w:r>
    </w:p>
    <w:p>
      <w:pPr>
        <w:spacing w:after="0" w:line="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Prior to March 2017, the Company had a $25.0 million credit facility in place with Oxford, which it entered into in February 2014 and which allowed it to borrow up to $25.0 million in three tranches of term loans: a Term A Loan in the amount of $15.0 million, a Term B Loan in the amount of $5.0 million and a Term C Loan in the amount of $5.0 million, which was never drawn down. Each term loan accrued interest at per annum rates ranging from 8.5% to 8.9%. This facility featured an interest-only period on all tranches through March 2017, and the Company was also required to issue convertible preferred stock warrants to Oxford at the time of borrowing of each tranche. These convertible preferred stock warrants converted into common stock warrants immediately prior to the closing of the Company’s IPO on July 2, 2018.</w:t>
      </w:r>
    </w:p>
    <w:p>
      <w:pPr>
        <w:spacing w:after="0" w:line="13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to principal and interest payments due under the previous $25.0 million credit facility, the Company was required to make final payment fees to Oxford upon the earlier of prepayment or maturity and equal to 8.5% and 4.7% of the principal amounts of the Term A and Term B Loans, respectively. The Company accrued final payment fees using the effective interest rate, with a charge to non-cash interest expense, over the term of borrowing and until its entry into the current credit facility in March 2017, at which time the Company paid Oxford $1.0 million in satisfaction of all final payment fee liabilities due under the prior credit facility.</w:t>
      </w:r>
    </w:p>
    <w:p>
      <w:pPr>
        <w:spacing w:after="0" w:line="134"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Management evaluated whether the current credit facility entered into in March 2017 represented a debt modification or extinguishment in accordance with ASC 470-50, Debt—Modifications and Extinguishments. Upon determining that the change in cash flows between the previous and current credit facilities was not greater than 10%, management accounted for the transaction as a debt modification. As of March 2017, the unamortized balance of deferred debt issuance costs incurred in connection with the $25.0 million credit facility, and certain additional deferred debt issuance costs incurred in connection with entry into the current credit facility, are being amortized to interest expense through March 2022 utilizing the effective interest method.</w:t>
      </w:r>
    </w:p>
    <w:p>
      <w:pPr>
        <w:spacing w:after="0" w:line="100" w:lineRule="exact"/>
        <w:rPr>
          <w:sz w:val="20"/>
          <w:szCs w:val="20"/>
          <w:color w:val="auto"/>
        </w:rPr>
      </w:pPr>
    </w:p>
    <w:p>
      <w:pPr>
        <w:ind w:right="5020" w:firstLine="8"/>
        <w:spacing w:after="0" w:line="338" w:lineRule="auto"/>
        <w:tabs>
          <w:tab w:leader="none" w:pos="378"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 AND STOCKHOLDERS’ DEFICIT Initial Public Offering</w:t>
      </w:r>
    </w:p>
    <w:p>
      <w:pPr>
        <w:spacing w:after="0" w:line="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July 2, 2018, the Company closed its IPO, in which the Company issued and sold 6.325 million shares of its common stock, which included shares sold pursuant to an option granted to the underwriters to purchase additional shares, at a public offering price of $17.00 per share. The Company received net proceeds of $96.5 million after deducting underwriting discounts, commissions, and other offering expenses paid by the Company. In addition, immediately prior to the closing of the IPO on July 2, 2018, (i) all of the Company’s outstanding shares of convertible preferred stock converted into an aggregate of 11.0 million shares of common stock; (ii) all of the Company’s outstanding warrants to purchase convertible preferred stock converted into warrants to purchase common stock; and (iii) the Company filed an amended and restated certificate of incorporation to, among other things, decrease the number of shares of common stock, $0.01 par value per share, authorized for issuance to 200.0 million and to authorize the board of directors to issue up to 10.0 million shares of “blank check” preferred stock, $0.01 par value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amended and restated certificate of incorporation as of September 30, 2018 authorized the issuance of 200.0 million shares of common stock, $0.01 par value per share, of which 17.6 million were issued and outstanding as of September 30, 2018.</w:t>
      </w:r>
    </w:p>
    <w:p>
      <w:pPr>
        <w:spacing w:after="0" w:line="1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Prior to the IPO, the Company was required to reserve and keep available out of its authorized but unissued shares of common stock a number of shares sufficient to effect the conversion into common stock of all outstanding shares of convertible preferred stock and convertible preferred stock warrants, convertible preferred stock or common stock warrants issuable upon borrowing the Term C Loan under the current credit facility, stock options granted and shares available for grant under its stock incentive plan.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The following table summarizes the total number of shares of the Company’s common stock issued and reserved for issuance as of September 30,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(in thousands):</w:t>
      </w:r>
    </w:p>
    <w:p>
      <w:pPr>
        <w:spacing w:after="0" w:line="27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2018</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r>
      <w:tr>
        <w:trPr>
          <w:trHeight w:val="223"/>
        </w:trPr>
        <w:tc>
          <w:tcPr>
            <w:tcW w:w="20" w:type="dxa"/>
            <w:vAlign w:val="bottom"/>
          </w:tcPr>
          <w:p>
            <w:pPr>
              <w:spacing w:after="0"/>
              <w:rPr>
                <w:sz w:val="19"/>
                <w:szCs w:val="19"/>
                <w:color w:val="auto"/>
              </w:rPr>
            </w:pPr>
          </w:p>
        </w:tc>
        <w:tc>
          <w:tcPr>
            <w:tcW w:w="6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of common stock issued</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17,579</w:t>
            </w:r>
          </w:p>
        </w:tc>
        <w:tc>
          <w:tcPr>
            <w:tcW w:w="2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Shares of common stock reserved for issuance for:</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Convertible preferred stock outstanding:</w:t>
            </w: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80" w:type="dxa"/>
            <w:vAlign w:val="bottom"/>
          </w:tcPr>
          <w:p>
            <w:pPr>
              <w:ind w:left="480"/>
              <w:spacing w:after="0"/>
              <w:rPr>
                <w:sz w:val="20"/>
                <w:szCs w:val="20"/>
                <w:color w:val="auto"/>
              </w:rPr>
            </w:pPr>
            <w:r>
              <w:rPr>
                <w:rFonts w:ascii="Arial" w:cs="Arial" w:eastAsia="Arial" w:hAnsi="Arial"/>
                <w:sz w:val="18"/>
                <w:szCs w:val="18"/>
                <w:color w:val="auto"/>
              </w:rPr>
              <w:t>Series A-1</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 xml:space="preserve">Series A-2 </w:t>
            </w:r>
            <w:r>
              <w:rPr>
                <w:rFonts w:ascii="Arial" w:cs="Arial" w:eastAsia="Arial" w:hAnsi="Arial"/>
                <w:sz w:val="15"/>
                <w:szCs w:val="15"/>
                <w:color w:val="auto"/>
              </w:rPr>
              <w:t>(1)</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80" w:type="dxa"/>
            <w:vAlign w:val="bottom"/>
          </w:tcPr>
          <w:p>
            <w:pPr>
              <w:ind w:left="480"/>
              <w:spacing w:after="0"/>
              <w:rPr>
                <w:sz w:val="20"/>
                <w:szCs w:val="20"/>
                <w:color w:val="auto"/>
              </w:rPr>
            </w:pPr>
            <w:r>
              <w:rPr>
                <w:rFonts w:ascii="Arial" w:cs="Arial" w:eastAsia="Arial" w:hAnsi="Arial"/>
                <w:sz w:val="18"/>
                <w:szCs w:val="18"/>
                <w:color w:val="auto"/>
              </w:rPr>
              <w:t xml:space="preserve">Series B </w:t>
            </w:r>
            <w:r>
              <w:rPr>
                <w:rFonts w:ascii="Arial" w:cs="Arial" w:eastAsia="Arial" w:hAnsi="Arial"/>
                <w:sz w:val="15"/>
                <w:szCs w:val="15"/>
                <w:color w:val="auto"/>
              </w:rPr>
              <w:t>(2)</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 xml:space="preserve">Series C </w:t>
            </w:r>
            <w:r>
              <w:rPr>
                <w:rFonts w:ascii="Arial" w:cs="Arial" w:eastAsia="Arial" w:hAnsi="Arial"/>
                <w:sz w:val="15"/>
                <w:szCs w:val="15"/>
                <w:color w:val="auto"/>
              </w:rPr>
              <w:t>(3)</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80" w:type="dxa"/>
            <w:vAlign w:val="bottom"/>
          </w:tcPr>
          <w:p>
            <w:pPr>
              <w:ind w:left="480"/>
              <w:spacing w:after="0"/>
              <w:rPr>
                <w:sz w:val="20"/>
                <w:szCs w:val="20"/>
                <w:color w:val="auto"/>
              </w:rPr>
            </w:pPr>
            <w:r>
              <w:rPr>
                <w:rFonts w:ascii="Arial" w:cs="Arial" w:eastAsia="Arial" w:hAnsi="Arial"/>
                <w:sz w:val="18"/>
                <w:szCs w:val="18"/>
                <w:color w:val="auto"/>
              </w:rPr>
              <w:t>Series D</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1,705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Series E</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80" w:type="dxa"/>
            <w:vAlign w:val="bottom"/>
          </w:tcPr>
          <w:p>
            <w:pPr>
              <w:ind w:left="480"/>
              <w:spacing w:after="0"/>
              <w:rPr>
                <w:sz w:val="20"/>
                <w:szCs w:val="20"/>
                <w:color w:val="auto"/>
              </w:rPr>
            </w:pPr>
            <w:r>
              <w:rPr>
                <w:rFonts w:ascii="Arial" w:cs="Arial" w:eastAsia="Arial" w:hAnsi="Arial"/>
                <w:sz w:val="18"/>
                <w:szCs w:val="18"/>
                <w:color w:val="auto"/>
              </w:rPr>
              <w:t>Series F</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3,531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Series G</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80" w:type="dxa"/>
            <w:vAlign w:val="bottom"/>
          </w:tcPr>
          <w:p>
            <w:pPr>
              <w:ind w:left="240"/>
              <w:spacing w:after="0"/>
              <w:rPr>
                <w:sz w:val="20"/>
                <w:szCs w:val="20"/>
                <w:color w:val="auto"/>
              </w:rPr>
            </w:pPr>
            <w:r>
              <w:rPr>
                <w:rFonts w:ascii="Arial" w:cs="Arial" w:eastAsia="Arial" w:hAnsi="Arial"/>
                <w:sz w:val="18"/>
                <w:szCs w:val="18"/>
                <w:color w:val="auto"/>
              </w:rPr>
              <w:t>Convertible preferred stock warrants outstanding:</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Series E</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80" w:type="dxa"/>
            <w:vAlign w:val="bottom"/>
          </w:tcPr>
          <w:p>
            <w:pPr>
              <w:ind w:left="480"/>
              <w:spacing w:after="0"/>
              <w:rPr>
                <w:sz w:val="20"/>
                <w:szCs w:val="20"/>
                <w:color w:val="auto"/>
              </w:rPr>
            </w:pPr>
            <w:r>
              <w:rPr>
                <w:rFonts w:ascii="Arial" w:cs="Arial" w:eastAsia="Arial" w:hAnsi="Arial"/>
                <w:sz w:val="18"/>
                <w:szCs w:val="18"/>
                <w:color w:val="auto"/>
              </w:rPr>
              <w:t>Series F</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Warrants issuable upon Term C Loan borrowing</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80" w:type="dxa"/>
            <w:vAlign w:val="bottom"/>
          </w:tcPr>
          <w:p>
            <w:pPr>
              <w:ind w:left="240"/>
              <w:spacing w:after="0"/>
              <w:rPr>
                <w:sz w:val="20"/>
                <w:szCs w:val="20"/>
                <w:color w:val="auto"/>
              </w:rPr>
            </w:pPr>
            <w:r>
              <w:rPr>
                <w:rFonts w:ascii="Arial" w:cs="Arial" w:eastAsia="Arial" w:hAnsi="Arial"/>
                <w:sz w:val="18"/>
                <w:szCs w:val="18"/>
                <w:color w:val="auto"/>
              </w:rPr>
              <w:t>Common stock warrants outstanding</w:t>
            </w:r>
          </w:p>
        </w:tc>
        <w:tc>
          <w:tcPr>
            <w:tcW w:w="1260" w:type="dxa"/>
            <w:vAlign w:val="bottom"/>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options outstanding</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2,873</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80" w:type="dxa"/>
            <w:vAlign w:val="bottom"/>
          </w:tcPr>
          <w:p>
            <w:pPr>
              <w:ind w:left="240"/>
              <w:spacing w:after="0"/>
              <w:rPr>
                <w:sz w:val="20"/>
                <w:szCs w:val="20"/>
                <w:color w:val="auto"/>
              </w:rPr>
            </w:pPr>
            <w:r>
              <w:rPr>
                <w:rFonts w:ascii="Arial" w:cs="Arial" w:eastAsia="Arial" w:hAnsi="Arial"/>
                <w:sz w:val="18"/>
                <w:szCs w:val="18"/>
                <w:color w:val="auto"/>
              </w:rPr>
              <w:t>Restricted stock units outstanding</w:t>
            </w:r>
          </w:p>
        </w:tc>
        <w:tc>
          <w:tcPr>
            <w:tcW w:w="126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Shares available for grant under stock incentive plan</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Shares available for sale under employee stock purchase plan</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2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62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shares of common stock issued and</w:t>
            </w: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28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8"/>
                <w:szCs w:val="18"/>
                <w:color w:val="auto"/>
              </w:rPr>
              <w:t>reserved for issuance</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22,162</w:t>
            </w:r>
          </w:p>
        </w:tc>
        <w:tc>
          <w:tcPr>
            <w:tcW w:w="22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14,040</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w:t>
      </w:r>
    </w:p>
    <w:p>
      <w:pPr>
        <w:ind w:left="380" w:hanging="372"/>
        <w:spacing w:after="0"/>
        <w:tabs>
          <w:tab w:leader="none" w:pos="380" w:val="left"/>
        </w:tabs>
        <w:numPr>
          <w:ilvl w:val="0"/>
          <w:numId w:val="14"/>
        </w:numPr>
        <w:rPr>
          <w:rFonts w:ascii="Arial" w:cs="Arial" w:eastAsia="Arial" w:hAnsi="Arial"/>
          <w:sz w:val="11"/>
          <w:szCs w:val="11"/>
          <w:color w:val="auto"/>
        </w:rPr>
      </w:pPr>
      <w:r>
        <w:rPr>
          <w:rFonts w:ascii="Arial" w:cs="Arial" w:eastAsia="Arial" w:hAnsi="Arial"/>
          <w:sz w:val="13"/>
          <w:szCs w:val="13"/>
          <w:color w:val="auto"/>
        </w:rPr>
        <w:t>Shares of Series A-2 convertible preferred stock converted to common stock at a ratio of 0.03539 shares of common stock per share of Series A-2 convertible preferred stock.</w:t>
      </w:r>
    </w:p>
    <w:p>
      <w:pPr>
        <w:ind w:left="380" w:hanging="372"/>
        <w:spacing w:after="0" w:line="216" w:lineRule="auto"/>
        <w:tabs>
          <w:tab w:leader="none" w:pos="380" w:val="left"/>
        </w:tabs>
        <w:numPr>
          <w:ilvl w:val="0"/>
          <w:numId w:val="14"/>
        </w:numPr>
        <w:rPr>
          <w:rFonts w:ascii="Arial" w:cs="Arial" w:eastAsia="Arial" w:hAnsi="Arial"/>
          <w:sz w:val="11"/>
          <w:szCs w:val="11"/>
          <w:color w:val="auto"/>
        </w:rPr>
      </w:pPr>
      <w:r>
        <w:rPr>
          <w:rFonts w:ascii="Arial" w:cs="Arial" w:eastAsia="Arial" w:hAnsi="Arial"/>
          <w:sz w:val="13"/>
          <w:szCs w:val="13"/>
          <w:color w:val="auto"/>
        </w:rPr>
        <w:t>Shares of Series B convertible preferred stock converted to common stock at a ratio of 0.04103 shares of common stock per share of Series B convertible preferred stock.</w:t>
      </w:r>
    </w:p>
    <w:p>
      <w:pPr>
        <w:ind w:left="380" w:hanging="372"/>
        <w:spacing w:after="0" w:line="184" w:lineRule="auto"/>
        <w:tabs>
          <w:tab w:leader="none" w:pos="380" w:val="left"/>
        </w:tabs>
        <w:numPr>
          <w:ilvl w:val="0"/>
          <w:numId w:val="14"/>
        </w:numPr>
        <w:rPr>
          <w:rFonts w:ascii="Arial" w:cs="Arial" w:eastAsia="Arial" w:hAnsi="Arial"/>
          <w:sz w:val="17"/>
          <w:szCs w:val="17"/>
          <w:color w:val="auto"/>
          <w:vertAlign w:val="superscript"/>
        </w:rPr>
      </w:pPr>
      <w:r>
        <w:rPr>
          <w:rFonts w:ascii="Arial" w:cs="Arial" w:eastAsia="Arial" w:hAnsi="Arial"/>
          <w:sz w:val="12"/>
          <w:szCs w:val="12"/>
          <w:color w:val="auto"/>
        </w:rPr>
        <w:t>Shares of Series C convertible preferred stock converted to common stock at a ratio of 0.05071 shares of common stock per share of Series C convertible preferred stock.</w:t>
      </w:r>
    </w:p>
    <w:p>
      <w:pPr>
        <w:spacing w:after="0" w:line="17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Each share of common stock entitles the holder to one vote on all matters submitted to a vote of the Company’s stockholders. Holders of common stock are entitled to receive any dividends that the Company’s board of directors may declare out of funds legally available for that purpose on a non-cumulative basis. The Company has never paid, and for the foreseeable future does not expect to pay, a dividend on its common stock.</w:t>
      </w:r>
    </w:p>
    <w:p>
      <w:pPr>
        <w:spacing w:after="0" w:line="11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Immediately prior to the closing of the Company’s IPO on July 2, 2018, all of the Company’s outstanding shares of convertible preferred stock converted into an aggregate of 11.0 million shares of common stock, resulting in the elimination of the Company’s outstanding liquidation preferences.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outstanding common stock warrants as of September 30,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5"/>
              </w:rPr>
              <w:t>Warrants</w:t>
            </w: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60" w:type="dxa"/>
            <w:vAlign w:val="bottom"/>
            <w:gridSpan w:val="2"/>
            <w:vMerge w:val="restart"/>
          </w:tcPr>
          <w:p>
            <w:pPr>
              <w:jc w:val="center"/>
              <w:ind w:right="900"/>
              <w:spacing w:after="0"/>
              <w:rPr>
                <w:sz w:val="20"/>
                <w:szCs w:val="20"/>
                <w:color w:val="auto"/>
              </w:rPr>
            </w:pPr>
            <w:r>
              <w:rPr>
                <w:rFonts w:ascii="Arial" w:cs="Arial" w:eastAsia="Arial" w:hAnsi="Arial"/>
                <w:sz w:val="14"/>
                <w:szCs w:val="14"/>
                <w:b w:val="1"/>
                <w:bCs w:val="1"/>
                <w:color w:val="auto"/>
                <w:w w:val="90"/>
              </w:rPr>
              <w:t>Exercise</w:t>
            </w:r>
          </w:p>
        </w:tc>
        <w:tc>
          <w:tcPr>
            <w:tcW w:w="2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2460" w:type="dxa"/>
            <w:vAlign w:val="bottom"/>
            <w:vMerge w:val="continue"/>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3"/>
              </w:rPr>
              <w:t>Price</w:t>
            </w: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19.55</w:t>
            </w:r>
          </w:p>
        </w:tc>
        <w:tc>
          <w:tcPr>
            <w:tcW w:w="380" w:type="dxa"/>
            <w:vAlign w:val="bottom"/>
            <w:tcBorders>
              <w:top w:val="single" w:sz="8" w:color="CFF0FC"/>
            </w:tcBorders>
            <w:shd w:val="clear" w:color="auto" w:fill="CFF0FC"/>
          </w:tcPr>
          <w:p>
            <w:pPr>
              <w:spacing w:after="0"/>
              <w:rPr>
                <w:sz w:val="19"/>
                <w:szCs w:val="19"/>
                <w:color w:val="auto"/>
              </w:rPr>
            </w:pPr>
          </w:p>
        </w:tc>
        <w:tc>
          <w:tcPr>
            <w:tcW w:w="24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Dec-2022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30</w:t>
            </w:r>
          </w:p>
        </w:tc>
        <w:tc>
          <w:tcPr>
            <w:tcW w:w="9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9.73</w:t>
            </w:r>
          </w:p>
        </w:tc>
        <w:tc>
          <w:tcPr>
            <w:tcW w:w="38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Feb-2021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90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w:t>
            </w:r>
          </w:p>
        </w:tc>
        <w:tc>
          <w:tcPr>
            <w:tcW w:w="380" w:type="dxa"/>
            <w:vAlign w:val="bottom"/>
            <w:shd w:val="clear" w:color="auto" w:fill="CFF0FC"/>
          </w:tcPr>
          <w:p>
            <w:pPr>
              <w:spacing w:after="0"/>
              <w:rPr>
                <w:sz w:val="19"/>
                <w:szCs w:val="19"/>
                <w:color w:val="auto"/>
              </w:rPr>
            </w:pPr>
          </w:p>
        </w:tc>
        <w:tc>
          <w:tcPr>
            <w:tcW w:w="2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Aug-2023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20</w:t>
            </w:r>
          </w:p>
        </w:tc>
        <w:tc>
          <w:tcPr>
            <w:tcW w:w="9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9.73</w:t>
            </w:r>
          </w:p>
        </w:tc>
        <w:tc>
          <w:tcPr>
            <w:tcW w:w="38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Mar-2024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90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w:t>
            </w:r>
          </w:p>
        </w:tc>
        <w:tc>
          <w:tcPr>
            <w:tcW w:w="380" w:type="dxa"/>
            <w:vAlign w:val="bottom"/>
            <w:shd w:val="clear" w:color="auto" w:fill="CFF0FC"/>
          </w:tcPr>
          <w:p>
            <w:pPr>
              <w:spacing w:after="0"/>
              <w:rPr>
                <w:sz w:val="19"/>
                <w:szCs w:val="19"/>
                <w:color w:val="auto"/>
              </w:rPr>
            </w:pPr>
          </w:p>
        </w:tc>
        <w:tc>
          <w:tcPr>
            <w:tcW w:w="2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Dec-2024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vMerge w:val="restart"/>
          </w:tcPr>
          <w:p>
            <w:pPr>
              <w:jc w:val="right"/>
              <w:ind w:right="974"/>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03" w:right="219" w:bottom="1440" w:gutter="0" w:footer="0" w:header="0"/>
        </w:sectPr>
      </w:pPr>
    </w:p>
    <w:bookmarkStart w:id="14" w:name="page15"/>
    <w:bookmarkEnd w:id="14"/>
    <w:p>
      <w:pPr>
        <w:spacing w:after="0"/>
        <w:tabs>
          <w:tab w:leader="none" w:pos="3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LOSS PER SHARE</w:t>
      </w:r>
    </w:p>
    <w:p>
      <w:pPr>
        <w:spacing w:after="0" w:line="8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Company’s basic loss per common share is computed by dividing the net loss by the weighted-average number of shares of common stock outstanding during the period. The Company’s restricted stock awards (non-vested shares) are issued and outstanding at the time of grant but are excluded from the Company’s computation of weighted-average shares outstanding in the determination of basic loss per share until vesting occurs.</w:t>
      </w:r>
    </w:p>
    <w:p>
      <w:pPr>
        <w:spacing w:after="0" w:line="11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 net loss cannot be diluted, so when the Company is in a net loss position, basic and diluted loss per common share are the same. If in the future the Company achieves profitability, the denominator of a diluted earnings per common share calculation will include both the weighted-average number of shares outstanding and the number of common stock equivalents, if the inclusion of such common stock equivalents would be dilutive. Dilutive common stock equivalents potentially include warrants, stock options and non-vested restricted stock awards and units using the treasury stock method, along with the effect, if any, from the potential conversion of outstanding securities, such as convertible preferred stock.</w:t>
      </w:r>
    </w:p>
    <w:p>
      <w:pPr>
        <w:spacing w:after="0" w:line="11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potentially dilutive securities outstanding as of September 30, 2018 and 2017 have been excluded from the denominator of the diluted loss per share of common stock outstanding calculation (in thousands):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164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52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2,873</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2,305</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Non-vested restricted stock awards</w:t>
            </w: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Non-vested restricted stock units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Convertible preferred stock warrants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Shares of convertible preferred stock “as-converted”</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10,994</w:t>
            </w:r>
          </w:p>
        </w:tc>
        <w:tc>
          <w:tcPr>
            <w:tcW w:w="80" w:type="dxa"/>
            <w:vAlign w:val="bottom"/>
          </w:tcPr>
          <w:p>
            <w:pPr>
              <w:spacing w:after="0"/>
              <w:rPr>
                <w:sz w:val="20"/>
                <w:szCs w:val="20"/>
                <w:color w:val="auto"/>
              </w:rPr>
            </w:pPr>
          </w:p>
        </w:tc>
      </w:tr>
    </w:tbl>
    <w:p>
      <w:pPr>
        <w:spacing w:after="0" w:line="18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SHARE-BASED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amount of share-based compensation expense recognized by the Company by location in its statements of operations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2017 is as follows (in thousands):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230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Three Months ended September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5"/>
          </w:tcPr>
          <w:p>
            <w:pPr>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53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FF0FC"/>
          </w:tcPr>
          <w:p>
            <w:pPr>
              <w:spacing w:after="0"/>
              <w:rPr>
                <w:sz w:val="19"/>
                <w:szCs w:val="19"/>
                <w:color w:val="auto"/>
              </w:rPr>
            </w:pPr>
          </w:p>
        </w:tc>
      </w:tr>
      <w:tr>
        <w:trPr>
          <w:trHeight w:val="230"/>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FF0FC"/>
            </w:tcBorders>
          </w:tcPr>
          <w:p>
            <w:pPr>
              <w:spacing w:after="0"/>
              <w:rPr>
                <w:sz w:val="19"/>
                <w:szCs w:val="19"/>
                <w:color w:val="auto"/>
              </w:rPr>
            </w:pPr>
          </w:p>
        </w:tc>
      </w:tr>
      <w:tr>
        <w:trPr>
          <w:trHeight w:val="223"/>
        </w:trPr>
        <w:tc>
          <w:tcPr>
            <w:tcW w:w="53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1,364</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Equity Incentive Plan</w:t>
      </w:r>
    </w:p>
    <w:p>
      <w:pPr>
        <w:spacing w:after="0" w:line="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June 2018, the Company adopted the 2018 Equity Incentive Plan, or 2018 Plan, which authorized the issuance of up to 1.4 million shares in the form of restricted stock, stock appreciation rights and stock options to the Company’s directors, employees and consultants. The amount and terms of grants are determined by the Company’s board of directors. To date, the Company has granted restricted stock units to one member of senior management and to an independent member of its board of directors as compensation for board service. All stock options granted to date have had exercise prices equal to the fair value, as determined by the closing price as reported by the Nasdaq Global Market, of the underlying common stock on the date of grant. The contractual term of stock options is up to 10 years, and stock options are exercisable in cash or as otherwise determined by the board of directors. Generally, stock options vest 25% upon the first anniversary of the date of grant and the remainder ratably monthly thereafter for 36 months. As of September 30, 2018, there were 1.3 million shares available for future issuance under the 2018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Stock Incentive Plan</w:t>
      </w:r>
    </w:p>
    <w:p>
      <w:pPr>
        <w:spacing w:after="0" w:line="8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 April 2003 (and as subsequently amended), the Company adopted the 2003 Stock Incentive Plan, or 2003 Plan, which authorized the issuance of up to 3.1 million shares in the form of restricted stock, stock appreciation rights and stock options to the Company’s directors, employees and consultants. The amount and terms of grants are determined by the Company’s board of directors. To date, the Company has granted restricted stock awards only to an independent member of its board of directors and only as compensation for board service. All stock options granted to date have had exercise prices equal to the estimated fair value, as determined by the board of directors, of the underlying common stock on the date of the grant. The contractual term of stock options is up to 10 years, and stock options are exercisable in cash or as otherwise determined by the board of directors. Generally, stock options vest 25% upon the first anniversary of the date of grant and the remainder ratably monthly thereafter for 36 months. As of September 30, 2018, there were no shares available for future issuance under the 2003 Plan. As of the closing of the Company’s IPO, all shares available for issuance under the 2003 Plan were carried over to the newly adopted 2018 Stock Incentive Plan, or 2018 Plan.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Stock Options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 activity for the nine months ended September 30, 2018:</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Number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jc w:val="center"/>
              <w:ind w:right="21"/>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4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Shares under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Option</w:t>
            </w:r>
          </w:p>
        </w:tc>
        <w:tc>
          <w:tcPr>
            <w:tcW w:w="80" w:type="dxa"/>
            <w:vAlign w:val="bottom"/>
          </w:tcPr>
          <w:p>
            <w:pPr>
              <w:spacing w:after="0"/>
              <w:rPr>
                <w:sz w:val="12"/>
                <w:szCs w:val="12"/>
                <w:color w:val="auto"/>
              </w:rPr>
            </w:pPr>
          </w:p>
        </w:tc>
        <w:tc>
          <w:tcPr>
            <w:tcW w:w="12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1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per Option</w:t>
            </w:r>
          </w:p>
        </w:tc>
        <w:tc>
          <w:tcPr>
            <w:tcW w:w="114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Life (in years)</w:t>
            </w:r>
          </w:p>
        </w:tc>
        <w:tc>
          <w:tcPr>
            <w:tcW w:w="120" w:type="dxa"/>
            <w:vAlign w:val="bottom"/>
          </w:tcPr>
          <w:p>
            <w:pPr>
              <w:spacing w:after="0"/>
              <w:rPr>
                <w:sz w:val="14"/>
                <w:szCs w:val="14"/>
                <w:color w:val="auto"/>
              </w:rPr>
            </w:pPr>
          </w:p>
        </w:tc>
        <w:tc>
          <w:tcPr>
            <w:tcW w:w="1160" w:type="dxa"/>
            <w:vAlign w:val="bottom"/>
            <w:gridSpan w:val="2"/>
          </w:tcPr>
          <w:p>
            <w:pPr>
              <w:jc w:val="center"/>
              <w:ind w:right="39"/>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535</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7.19</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3.13</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2018</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Arial" w:cs="Arial" w:eastAsia="Arial" w:hAnsi="Arial"/>
                <w:sz w:val="18"/>
                <w:szCs w:val="18"/>
                <w:color w:val="auto"/>
              </w:rPr>
              <w:t>7.2</w:t>
            </w:r>
          </w:p>
        </w:tc>
        <w:tc>
          <w:tcPr>
            <w:tcW w:w="2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bottom w:val="single" w:sz="8" w:color="CFF0FC"/>
            </w:tcBorders>
            <w:shd w:val="clear" w:color="auto" w:fill="CFF0FC"/>
          </w:tcPr>
          <w:p>
            <w:pPr>
              <w:jc w:val="right"/>
              <w:ind w:right="39"/>
              <w:spacing w:after="0"/>
              <w:rPr>
                <w:sz w:val="20"/>
                <w:szCs w:val="20"/>
                <w:color w:val="auto"/>
              </w:rPr>
            </w:pPr>
            <w:r>
              <w:rPr>
                <w:rFonts w:ascii="Arial" w:cs="Arial" w:eastAsia="Arial" w:hAnsi="Arial"/>
                <w:sz w:val="18"/>
                <w:szCs w:val="18"/>
                <w:color w:val="auto"/>
              </w:rPr>
              <w:t>82,739</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Exercisable at September 30, 2018</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2.23</w:t>
            </w:r>
          </w:p>
        </w:tc>
        <w:tc>
          <w:tcPr>
            <w:tcW w:w="200" w:type="dxa"/>
            <w:vAlign w:val="bottom"/>
          </w:tcPr>
          <w:p>
            <w:pPr>
              <w:spacing w:after="0" w:line="20" w:lineRule="exact"/>
              <w:rPr>
                <w:sz w:val="1"/>
                <w:szCs w:val="1"/>
                <w:color w:val="auto"/>
              </w:rPr>
            </w:pPr>
          </w:p>
        </w:tc>
        <w:tc>
          <w:tcPr>
            <w:tcW w:w="1140" w:type="dxa"/>
            <w:vAlign w:val="bottom"/>
            <w:vMerge w:val="restart"/>
          </w:tcPr>
          <w:p>
            <w:pPr>
              <w:jc w:val="right"/>
              <w:ind w:right="41"/>
              <w:spacing w:after="0"/>
              <w:rPr>
                <w:sz w:val="20"/>
                <w:szCs w:val="20"/>
                <w:color w:val="auto"/>
              </w:rPr>
            </w:pPr>
            <w:r>
              <w:rPr>
                <w:rFonts w:ascii="Arial" w:cs="Arial" w:eastAsia="Arial" w:hAnsi="Arial"/>
                <w:sz w:val="18"/>
                <w:szCs w:val="18"/>
                <w:color w:val="auto"/>
              </w:rPr>
              <w:t>5.9</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39"/>
              <w:spacing w:after="0"/>
              <w:rPr>
                <w:sz w:val="20"/>
                <w:szCs w:val="20"/>
                <w:color w:val="auto"/>
              </w:rPr>
            </w:pPr>
            <w:r>
              <w:rPr>
                <w:rFonts w:ascii="Arial" w:cs="Arial" w:eastAsia="Arial" w:hAnsi="Arial"/>
                <w:sz w:val="18"/>
                <w:szCs w:val="18"/>
                <w:color w:val="auto"/>
              </w:rPr>
              <w:t>48,967</w:t>
            </w: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vMerge w:val="continue"/>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w:t>
            </w:r>
          </w:p>
        </w:tc>
        <w:tc>
          <w:tcPr>
            <w:tcW w:w="14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gridSpan w:val="2"/>
            <w:vMerge w:val="continue"/>
          </w:tcPr>
          <w:p>
            <w:pPr>
              <w:spacing w:after="0"/>
              <w:rPr>
                <w:sz w:val="21"/>
                <w:szCs w:val="21"/>
                <w:color w:val="auto"/>
              </w:rPr>
            </w:pPr>
          </w:p>
        </w:tc>
        <w:tc>
          <w:tcPr>
            <w:tcW w:w="94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140" w:type="dxa"/>
            <w:vAlign w:val="bottom"/>
            <w:tcBorders>
              <w:bottom w:val="single" w:sz="8" w:color="CFF0FC"/>
            </w:tcBorders>
            <w:vMerge w:val="continue"/>
          </w:tcPr>
          <w:p>
            <w:pPr>
              <w:spacing w:after="0"/>
              <w:rPr>
                <w:sz w:val="21"/>
                <w:szCs w:val="21"/>
                <w:color w:val="auto"/>
              </w:rPr>
            </w:pPr>
          </w:p>
        </w:tc>
        <w:tc>
          <w:tcPr>
            <w:tcW w:w="260" w:type="dxa"/>
            <w:vAlign w:val="bottom"/>
            <w:tcBorders>
              <w:bottom w:val="single" w:sz="8" w:color="CFF0FC"/>
            </w:tcBorders>
            <w:gridSpan w:val="2"/>
            <w:vMerge w:val="continue"/>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at September 30, 2018</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2,873</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2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18"/>
                <w:szCs w:val="18"/>
                <w:color w:val="auto"/>
              </w:rPr>
              <w:t>7.2</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8"/>
                <w:szCs w:val="18"/>
                <w:color w:val="auto"/>
              </w:rPr>
              <w:t>82,739</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recognized share-based compensation expense related to stock options of $1.0 million and $0.1 million for the three months ended September 30, 2018 and 2017, respectively, and $1.3 million and $0.2 million for the nine months ended September 30, 2018 and 2017, respectively. As of September 30, 2018, there was $2.9 million of total unrecognized compensation cost related to non-vested stock options which the Company expects to recognize over a weighted-average period of 3.2 years. The weighted-average grant-date fair value of stock options granted during the nine months ended September 30, 2018 was estimated at $4.38 per option. The total intrinsic value of stock options exercised during the nine months ended September 30, 2018 was $0.1 million.</w:t>
      </w:r>
    </w:p>
    <w:p>
      <w:pPr>
        <w:spacing w:after="0" w:line="13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the nine months ended September 30, 2018, the grant-date fair value of stock options was estimated at the time of grant using the following weighted-average inputs and assumptions in the Black-Scholes option pricing model:</w:t>
      </w:r>
    </w:p>
    <w:p>
      <w:pPr>
        <w:sectPr>
          <w:pgSz w:w="11900" w:h="16838" w:orient="portrait"/>
          <w:cols w:equalWidth="0" w:num="1">
            <w:col w:w="11400"/>
          </w:cols>
          <w:pgMar w:left="240" w:top="499" w:right="259" w:bottom="1440" w:gutter="0" w:footer="0" w:header="0"/>
        </w:sectPr>
      </w:pPr>
    </w:p>
    <w:p>
      <w:pPr>
        <w:spacing w:after="0" w:line="170"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Estimated fair value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-115570</wp:posOffset>
            </wp:positionV>
            <wp:extent cx="4347845"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26"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Exercise price</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Expected term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Risk-free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434784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16"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Expected volatility</w:t>
      </w:r>
    </w:p>
    <w:p>
      <w:pPr>
        <w:spacing w:after="0" w:line="36"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Dividend yield</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846" w:hanging="846"/>
        <w:spacing w:after="0"/>
        <w:tabs>
          <w:tab w:leader="none" w:pos="8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7.19</w:t>
      </w:r>
    </w:p>
    <w:p>
      <w:pPr>
        <w:spacing w:after="0" w:line="23" w:lineRule="exact"/>
        <w:rPr>
          <w:sz w:val="20"/>
          <w:szCs w:val="20"/>
          <w:color w:val="auto"/>
        </w:rPr>
      </w:pPr>
    </w:p>
    <w:p>
      <w:pPr>
        <w:ind w:left="846" w:hanging="846"/>
        <w:spacing w:after="0"/>
        <w:tabs>
          <w:tab w:leader="none" w:pos="8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7.19</w:t>
      </w:r>
    </w:p>
    <w:p>
      <w:pPr>
        <w:spacing w:after="0" w:line="22" w:lineRule="exact"/>
        <w:rPr>
          <w:rFonts w:ascii="Arial" w:cs="Arial" w:eastAsia="Arial" w:hAnsi="Arial"/>
          <w:sz w:val="18"/>
          <w:szCs w:val="18"/>
          <w:color w:val="auto"/>
        </w:rPr>
      </w:pPr>
    </w:p>
    <w:p>
      <w:pPr>
        <w:ind w:left="946"/>
        <w:spacing w:after="0"/>
        <w:rPr>
          <w:rFonts w:ascii="Arial" w:cs="Arial" w:eastAsia="Arial" w:hAnsi="Arial"/>
          <w:sz w:val="18"/>
          <w:szCs w:val="18"/>
          <w:color w:val="auto"/>
        </w:rPr>
      </w:pPr>
      <w:r>
        <w:rPr>
          <w:rFonts w:ascii="Arial" w:cs="Arial" w:eastAsia="Arial" w:hAnsi="Arial"/>
          <w:sz w:val="18"/>
          <w:szCs w:val="18"/>
          <w:color w:val="auto"/>
        </w:rPr>
        <w:t>6.0</w:t>
      </w:r>
    </w:p>
    <w:p>
      <w:pPr>
        <w:spacing w:after="0" w:line="22" w:lineRule="exact"/>
        <w:rPr>
          <w:rFonts w:ascii="Arial" w:cs="Arial" w:eastAsia="Arial" w:hAnsi="Arial"/>
          <w:sz w:val="18"/>
          <w:szCs w:val="18"/>
          <w:color w:val="auto"/>
        </w:rPr>
      </w:pPr>
    </w:p>
    <w:p>
      <w:pPr>
        <w:ind w:left="906"/>
        <w:spacing w:after="0"/>
        <w:rPr>
          <w:rFonts w:ascii="Arial" w:cs="Arial" w:eastAsia="Arial" w:hAnsi="Arial"/>
          <w:sz w:val="18"/>
          <w:szCs w:val="18"/>
          <w:color w:val="auto"/>
        </w:rPr>
      </w:pPr>
      <w:r>
        <w:rPr>
          <w:rFonts w:ascii="Arial" w:cs="Arial" w:eastAsia="Arial" w:hAnsi="Arial"/>
          <w:sz w:val="19"/>
          <w:szCs w:val="19"/>
          <w:color w:val="auto"/>
        </w:rPr>
        <w:t>2.7%</w:t>
      </w:r>
    </w:p>
    <w:p>
      <w:pPr>
        <w:spacing w:after="0" w:line="29" w:lineRule="exact"/>
        <w:rPr>
          <w:sz w:val="20"/>
          <w:szCs w:val="20"/>
          <w:color w:val="auto"/>
        </w:rPr>
      </w:pPr>
    </w:p>
    <w:p>
      <w:pPr>
        <w:jc w:val="right"/>
        <w:ind w:right="2280"/>
        <w:spacing w:after="0"/>
        <w:rPr>
          <w:sz w:val="20"/>
          <w:szCs w:val="20"/>
          <w:color w:val="auto"/>
        </w:rPr>
      </w:pPr>
      <w:r>
        <w:rPr>
          <w:rFonts w:ascii="Arial" w:cs="Arial" w:eastAsia="Arial" w:hAnsi="Arial"/>
          <w:sz w:val="20"/>
          <w:szCs w:val="20"/>
          <w:color w:val="auto"/>
        </w:rPr>
        <w:t>65.6%</w:t>
      </w:r>
    </w:p>
    <w:p>
      <w:pPr>
        <w:spacing w:after="0" w:line="13" w:lineRule="exact"/>
        <w:rPr>
          <w:sz w:val="20"/>
          <w:szCs w:val="20"/>
          <w:color w:val="auto"/>
        </w:rPr>
      </w:pPr>
    </w:p>
    <w:p>
      <w:pPr>
        <w:jc w:val="right"/>
        <w:ind w:right="2280"/>
        <w:spacing w:after="0"/>
        <w:rPr>
          <w:sz w:val="20"/>
          <w:szCs w:val="20"/>
          <w:color w:val="auto"/>
        </w:rPr>
      </w:pPr>
      <w:r>
        <w:rPr>
          <w:rFonts w:ascii="Arial" w:cs="Arial" w:eastAsia="Arial" w:hAnsi="Arial"/>
          <w:sz w:val="20"/>
          <w:szCs w:val="20"/>
          <w:color w:val="auto"/>
        </w:rPr>
        <w:t>0%</w:t>
      </w:r>
    </w:p>
    <w:p>
      <w:pPr>
        <w:spacing w:after="0" w:line="197" w:lineRule="exact"/>
        <w:rPr>
          <w:sz w:val="20"/>
          <w:szCs w:val="20"/>
          <w:color w:val="auto"/>
        </w:rPr>
      </w:pPr>
    </w:p>
    <w:p>
      <w:pPr>
        <w:sectPr>
          <w:pgSz w:w="11900" w:h="16838" w:orient="portrait"/>
          <w:cols w:equalWidth="0" w:num="2">
            <w:col w:w="7054" w:space="720"/>
            <w:col w:w="3626"/>
          </w:cols>
          <w:pgMar w:left="240" w:top="499" w:right="259" w:bottom="1440" w:gutter="0" w:footer="0" w:header="0"/>
          <w:type w:val="continuous"/>
        </w:sectPr>
      </w:pPr>
    </w:p>
    <w:p>
      <w:pPr>
        <w:spacing w:after="0" w:line="297" w:lineRule="auto"/>
        <w:rPr>
          <w:sz w:val="20"/>
          <w:szCs w:val="20"/>
          <w:color w:val="auto"/>
        </w:rPr>
      </w:pPr>
      <w:r>
        <w:rPr>
          <w:rFonts w:ascii="Arial" w:cs="Arial" w:eastAsia="Arial" w:hAnsi="Arial"/>
          <w:sz w:val="16"/>
          <w:szCs w:val="16"/>
          <w:color w:val="auto"/>
        </w:rPr>
        <w:t>In April 2018, the Company’s board of directors granted options to purchase 54,794 shares of common stock to the members of the board. These options have an exercise price of $5.22 and vest in 12 equal monthly installments beginning in March 2018; however, the entire grant was subject to forfeiture if an initial public offering of the Company’s common stock did not occur by December 31, 2018. The estimated grant-date fair value of the options awards was $0.2 million. Upon the closing of the Company’s IPO on July 2, 2018, the Company recognized the fair value of the vested portion of the awards as share-based compensation expense, with the unvested portion to be recognized as share-based compensation expense ratably over the remaining service period.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 and Restricted Stock Units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restricted stock award and restricted stock unit activity for the nine months ended September 30, 2018:</w:t>
      </w:r>
    </w:p>
    <w:p>
      <w:pPr>
        <w:spacing w:after="0" w:line="21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Non-vested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Non-vested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Restricted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Restricted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Stock Awards</w:t>
            </w:r>
          </w:p>
        </w:tc>
        <w:tc>
          <w:tcPr>
            <w:tcW w:w="80" w:type="dxa"/>
            <w:vAlign w:val="bottom"/>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Grant-date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Stock Units</w:t>
            </w:r>
          </w:p>
        </w:tc>
        <w:tc>
          <w:tcPr>
            <w:tcW w:w="14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Grant-date</w:t>
            </w: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Fair Value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Fair Value</w:t>
            </w:r>
          </w:p>
        </w:tc>
      </w:tr>
      <w:tr>
        <w:trPr>
          <w:trHeight w:val="223"/>
        </w:trPr>
        <w:tc>
          <w:tcPr>
            <w:tcW w:w="2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2017</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25.92</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Non-vested at September 30, 2018</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25.92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recognized approximately $0.1 million in share-based compensation expense related to restricted stock awards and restricted stock units during the three and nine months ended September 30, 2018 and 2017. As of September 30, 2018, there was $0.9 million of unrecognized compensation cost related to non-vested restricted stock awards and restricted stock units, which the Company expects to recognize over a weighted-average period of 3.6 years. The total fair value at the vesting date of restricted stock awards and restricted stock units vested during the nine months ended September 30, 2018 was $0.2 million.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type w:val="continuous"/>
        </w:sectPr>
      </w:pPr>
    </w:p>
    <w:bookmarkStart w:id="16" w:name="page17"/>
    <w:bookmarkEnd w:id="16"/>
    <w:p>
      <w:pPr>
        <w:ind w:right="8560" w:firstLine="8"/>
        <w:spacing w:after="0" w:line="338" w:lineRule="auto"/>
        <w:tabs>
          <w:tab w:leader="none" w:pos="378"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401(k) Defined Contribution Plan</w:t>
      </w:r>
    </w:p>
    <w:p>
      <w:pPr>
        <w:spacing w:after="0" w:line="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Company maintains a 401(k) defined contribution retirement plan which covers all of its employees. Employees are eligible to participate on the first of the month following their date of hire. Under the 401(k) plan, participating employees may defer up to 100% of their pre-tax salary but not more than statutory limits. There is currently no employer matching of employee contributions and employee contributions vest immediately.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Employee Stock Purchase Plan</w:t>
      </w:r>
    </w:p>
    <w:p>
      <w:pPr>
        <w:spacing w:after="0" w:line="81" w:lineRule="exact"/>
        <w:rPr>
          <w:sz w:val="20"/>
          <w:szCs w:val="20"/>
          <w:color w:val="auto"/>
        </w:rPr>
      </w:pPr>
    </w:p>
    <w:p>
      <w:pPr>
        <w:ind w:right="360"/>
        <w:spacing w:after="0" w:line="297" w:lineRule="auto"/>
        <w:rPr>
          <w:sz w:val="20"/>
          <w:szCs w:val="20"/>
          <w:color w:val="auto"/>
        </w:rPr>
      </w:pPr>
      <w:r>
        <w:rPr>
          <w:rFonts w:ascii="Arial" w:cs="Arial" w:eastAsia="Arial" w:hAnsi="Arial"/>
          <w:sz w:val="16"/>
          <w:szCs w:val="16"/>
          <w:color w:val="auto"/>
        </w:rPr>
        <w:t>In July 2018, the Company adopted the 2018 Employee Stock Purchase Plan, or 2018 ESPP, with an initial 0.2 million share reserve, subject to automatic annual increases on January 1st of each year for a period of up to ten years, as defined in the plan document. The purpose of the 2018 ESPP is to enhance employee interest in the success and progress of the Company by encouraging employee ownership of common stock of the Company. The 2018 ESPP provides the opportunity to purchase the Company’s common stock at a 15% discount to the market price through payroll deductions or lump sum cash investments. As of September 30, 2018, the Company had not yet approved any offering under the 2018 ESPP.</w:t>
      </w:r>
    </w:p>
    <w:p>
      <w:pPr>
        <w:spacing w:after="0" w:line="100" w:lineRule="exact"/>
        <w:rPr>
          <w:sz w:val="20"/>
          <w:szCs w:val="20"/>
          <w:color w:val="auto"/>
        </w:rPr>
      </w:pPr>
    </w:p>
    <w:p>
      <w:pPr>
        <w:ind w:right="7600" w:firstLine="8"/>
        <w:spacing w:after="0" w:line="338" w:lineRule="auto"/>
        <w:tabs>
          <w:tab w:leader="none" w:pos="378"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Executive Employment Agreements</w:t>
      </w:r>
    </w:p>
    <w:p>
      <w:pPr>
        <w:spacing w:after="0" w:line="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has entered into an employment agreement and offer letters with certain key executives, providing for compensation and severance in certain circumstances, as defined in the agreements.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81"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In January 2013, the Company entered into a 93-month lease for its headquarters office and warehouse. The Company also rents certain office equipment. The Company recognizes rent expense on a straight-line basis over the lease period and has accrued for rent expense incurred but not yet paid. Landlord allowances for tenant improvements are deferred and recognized as a reduction to rent expense on a straight-line basis and over the remaining lease term.</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Company is subject from time to time to various claims and legal actions arising during the ordinary course of its business. Management believes that there are currently no claims or legal actions that would reasonably be expected to have a material adverse effect on the Company’s results of operations, financial condition, or cash flows.</w:t>
      </w:r>
    </w:p>
    <w:p>
      <w:pPr>
        <w:spacing w:after="0" w:line="16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15.</w:t>
        <w:tab/>
        <w:t>GEOGRAPHICAL SEGMENT INFORMATION</w:t>
      </w:r>
    </w:p>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 making group, in deciding how to allocate resources and in assessing performance. The Company currently operates in one business segment as it is managed and operated as one business. A single management team that reports to the chief operating decision maker comprehensively manages the entire business. The Company does not operate any material separate lines of business or separate business entities with respect to its products or product development.</w:t>
      </w:r>
    </w:p>
    <w:p>
      <w:pPr>
        <w:spacing w:after="0" w:line="13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geographic data includes revenue generated from the Company’s third-party distributors. The Company’s revenue was generated in the following geographic regions for the years indicated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4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1"/>
              </w:rPr>
              <w:t>Revenues by Geography</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jc w:val="center"/>
              <w:ind w:right="420"/>
              <w:spacing w:after="0"/>
              <w:rPr>
                <w:sz w:val="20"/>
                <w:szCs w:val="20"/>
                <w:color w:val="auto"/>
              </w:rPr>
            </w:pPr>
            <w:r>
              <w:rPr>
                <w:rFonts w:ascii="Arial" w:cs="Arial" w:eastAsia="Arial" w:hAnsi="Arial"/>
                <w:sz w:val="14"/>
                <w:szCs w:val="14"/>
                <w:b w:val="1"/>
                <w:bCs w:val="1"/>
                <w:color w:val="auto"/>
                <w:w w:val="92"/>
              </w:rPr>
              <w:t>Three Months ended September 30,</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2017</w:t>
            </w:r>
          </w:p>
        </w:tc>
        <w:tc>
          <w:tcPr>
            <w:tcW w:w="9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260" w:type="dxa"/>
            <w:vAlign w:val="bottom"/>
            <w:vMerge w:val="restart"/>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92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180" w:type="dxa"/>
            <w:vAlign w:val="bottom"/>
            <w:tcBorders>
              <w:bottom w:val="single" w:sz="8" w:color="CFF0FC"/>
            </w:tcBorders>
          </w:tcPr>
          <w:p>
            <w:pPr>
              <w:spacing w:after="0"/>
              <w:rPr>
                <w:sz w:val="14"/>
                <w:szCs w:val="14"/>
                <w:color w:val="auto"/>
              </w:rPr>
            </w:pPr>
          </w:p>
        </w:tc>
        <w:tc>
          <w:tcPr>
            <w:tcW w:w="20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Borders>
              <w:bottom w:val="single" w:sz="8" w:color="CFF0FC"/>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13,518</w:t>
            </w:r>
          </w:p>
        </w:tc>
        <w:tc>
          <w:tcPr>
            <w:tcW w:w="26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International</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w:t>
            </w:r>
          </w:p>
        </w:tc>
        <w:tc>
          <w:tcPr>
            <w:tcW w:w="2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18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revenues</w:t>
            </w:r>
          </w:p>
        </w:tc>
        <w:tc>
          <w:tcPr>
            <w:tcW w:w="206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180" w:type="dxa"/>
            <w:vAlign w:val="bottom"/>
            <w:vMerge w:val="continue"/>
            <w:shd w:val="clear" w:color="auto" w:fill="CFF0FC"/>
          </w:tcPr>
          <w:p>
            <w:pPr>
              <w:spacing w:after="0"/>
              <w:rPr>
                <w:sz w:val="19"/>
                <w:szCs w:val="19"/>
                <w:color w:val="auto"/>
              </w:rPr>
            </w:pPr>
          </w:p>
        </w:tc>
        <w:tc>
          <w:tcPr>
            <w:tcW w:w="206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13,737</w:t>
            </w:r>
          </w:p>
        </w:tc>
        <w:tc>
          <w:tcPr>
            <w:tcW w:w="26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180" w:type="dxa"/>
            <w:vAlign w:val="bottom"/>
            <w:tcBorders>
              <w:top w:val="single" w:sz="8" w:color="CFF0FC"/>
            </w:tcBorders>
          </w:tcPr>
          <w:p>
            <w:pPr>
              <w:spacing w:after="0" w:line="20" w:lineRule="exact"/>
              <w:rPr>
                <w:sz w:val="1"/>
                <w:szCs w:val="1"/>
                <w:color w:val="auto"/>
              </w:rPr>
            </w:pPr>
          </w:p>
        </w:tc>
        <w:tc>
          <w:tcPr>
            <w:tcW w:w="20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5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1"/>
              </w:rPr>
              <w:t>Revenues by Geography</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jc w:val="center"/>
              <w:ind w:right="420"/>
              <w:spacing w:after="0"/>
              <w:rPr>
                <w:sz w:val="20"/>
                <w:szCs w:val="20"/>
                <w:color w:val="auto"/>
              </w:rPr>
            </w:pPr>
            <w:r>
              <w:rPr>
                <w:rFonts w:ascii="Arial" w:cs="Arial" w:eastAsia="Arial" w:hAnsi="Arial"/>
                <w:sz w:val="14"/>
                <w:szCs w:val="14"/>
                <w:b w:val="1"/>
                <w:bCs w:val="1"/>
                <w:color w:val="auto"/>
                <w:w w:val="91"/>
              </w:rPr>
              <w:t>Nine Months ended September 30,</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2017</w:t>
            </w:r>
          </w:p>
        </w:tc>
        <w:tc>
          <w:tcPr>
            <w:tcW w:w="9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260" w:type="dxa"/>
            <w:vAlign w:val="bottom"/>
            <w:vMerge w:val="restart"/>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92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180" w:type="dxa"/>
            <w:vAlign w:val="bottom"/>
            <w:tcBorders>
              <w:bottom w:val="single" w:sz="8" w:color="CFF0FC"/>
            </w:tcBorders>
          </w:tcPr>
          <w:p>
            <w:pPr>
              <w:spacing w:after="0"/>
              <w:rPr>
                <w:sz w:val="14"/>
                <w:szCs w:val="14"/>
                <w:color w:val="auto"/>
              </w:rPr>
            </w:pPr>
          </w:p>
        </w:tc>
        <w:tc>
          <w:tcPr>
            <w:tcW w:w="20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Borders>
              <w:bottom w:val="single" w:sz="8" w:color="CFF0FC"/>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36,388</w:t>
            </w:r>
          </w:p>
        </w:tc>
        <w:tc>
          <w:tcPr>
            <w:tcW w:w="26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28,017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International</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753</w:t>
            </w:r>
          </w:p>
        </w:tc>
        <w:tc>
          <w:tcPr>
            <w:tcW w:w="2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18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revenues</w:t>
            </w:r>
          </w:p>
        </w:tc>
        <w:tc>
          <w:tcPr>
            <w:tcW w:w="206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180" w:type="dxa"/>
            <w:vAlign w:val="bottom"/>
            <w:vMerge w:val="continue"/>
            <w:shd w:val="clear" w:color="auto" w:fill="CFF0FC"/>
          </w:tcPr>
          <w:p>
            <w:pPr>
              <w:spacing w:after="0"/>
              <w:rPr>
                <w:sz w:val="19"/>
                <w:szCs w:val="19"/>
                <w:color w:val="auto"/>
              </w:rPr>
            </w:pPr>
          </w:p>
        </w:tc>
        <w:tc>
          <w:tcPr>
            <w:tcW w:w="206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37,141</w:t>
            </w:r>
          </w:p>
        </w:tc>
        <w:tc>
          <w:tcPr>
            <w:tcW w:w="26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28,325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180" w:type="dxa"/>
            <w:vAlign w:val="bottom"/>
            <w:tcBorders>
              <w:top w:val="single" w:sz="8" w:color="CFF0FC"/>
            </w:tcBorders>
          </w:tcPr>
          <w:p>
            <w:pPr>
              <w:spacing w:after="0" w:line="20" w:lineRule="exact"/>
              <w:rPr>
                <w:sz w:val="1"/>
                <w:szCs w:val="1"/>
                <w:color w:val="auto"/>
              </w:rPr>
            </w:pPr>
          </w:p>
        </w:tc>
        <w:tc>
          <w:tcPr>
            <w:tcW w:w="206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99" w:right="219" w:bottom="1440" w:gutter="0" w:footer="0" w:header="0"/>
        </w:sectPr>
      </w:pPr>
    </w:p>
    <w:bookmarkStart w:id="17" w:name="page18"/>
    <w:bookmarkEnd w:id="17"/>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81"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as well as other sections in this Quarterly Report on Form 10-Q, should be read in conjunction with our unaudited interim financial statements and related notes thereto included elsewhere herein. In addition to historical financial information, some of the information contained in the following discussion and analysis contains forward-looking statements within the meaning of Section 27A of the Securities Act of 1933, as amended, and Section 21E of the Securities Exchange Act of 1934, as amended. All statements other than statements of historical facts, including statements regarding our future results of operations and financial position, business strategy, current and prospective products, product approvals, research and development costs, current and prospective collaborations, timing and likelihood of success, plans and objectives of management for future operations and future results of current and anticipated products, are forward-looking statements.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w:t>
      </w:r>
    </w:p>
    <w:p>
      <w:pPr>
        <w:spacing w:after="0" w:line="11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risks, uncertainties and assumptions described in “Risk Factors” and “Management’s Discussion and Analysis of Financial Condition and Results of Operations” in our IPO prospectus filed with the Securities and Exchange Commission, or SEC, on June 29, 2018.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us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are a commercial stage medical technology company focused on designing, developing and marketing products that improve the quality of life for patients who suffer from psychiatric disorders. Our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is cleared by the United States Food and Drug Administration, or FDA, to treat adult patients with major depressive disorder, or MDD, that have failed to achieve satisfactory improvement from prior antidepressant medication in the current MDD episode. NeuroStar Advanced Therapy is safe, clinically effective, reproducible and precise and we believe is supported by the largest clinical data set of any competing TMS system. We believe we are the market leader in TMS therapy based on our U.S. installed base of 858 active NeuroStar Advanced Therapy Systems in approximately 679 psychiatrist offices as of September 30, 2018 and the estimated 58,000 patients treated with approximately 2.1 million of our treatment sessions through such date. We generated revenues of $13.7 million and $37.1 million for the three and nine months ended September 30, 2018, respectively.</w:t>
      </w:r>
    </w:p>
    <w:p>
      <w:pPr>
        <w:spacing w:after="0" w:line="12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We designed the NeuroStar Advanced Therapy System as a non-invasive therapeutic alternative to treat patients who suffer from MDD and to address many of the key limitations of existing treatment options. We generate revenues from initial capital sales of our systems, recurring treatment sessions and service and repair and extended warranty contracts. We derive the majority of our revenues from recurring treatment sessions. For the three months ended September 30, 2018, revenues from sales of our treatment sessions and NeuroStar Advanced Therapy Systems represented 68% and 29% of our U.S. revenues, respectively. For the nine months ended September 30, 2018, revenues from sales of our treatment sessions and NeuroStar Advanced Therapy Systems represented 70% and 27% of our U.S. revenues, respectively.</w:t>
      </w:r>
    </w:p>
    <w:p>
      <w:pPr>
        <w:spacing w:after="0" w:line="124"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We currently sell our NeuroStar Advanced Therapy System and recurring treatment sessions in the United States through our direct sales and customer support team, which was comprised of 141 people as of September 30, 2018. Our sales force primarily targets 15,100 psychiatrists at 3,600 high-decile psychiatric practices that we estimate, based on data from Symphony Health and our own internal estimates, treat approximately 33% of the total MDD patients in the United States who meet our labeled indication and are insured. We expect to continue to expand our direct sales and customer support team to further penetrate the market by demonstrating the benefits of our NeuroStar Advanced Therapy to psychiatrists and their MDD patients. Some of our customers have and may purchase more than one NeuroStar Advanced Therapy System. Based on our commercial data, we believe psychiatrists can recoup their initial capital investment in our system by providing a standard course of treatment to approximately 12 patients. We believe psychiatrists can generate approximately $7,500 to $10,000 of revenue per patient for a standard course of treatment, which may provide meaningful incremental income to their practices. We have a diverse customer base of psychiatrists in group psychiatric practices in the United States. No single customer accounted for more than 10% of our revenues for three and nine months ended September 30, 2018. Patients are reimbursed by Medicare and the vast majority of commercial payors in the United States for treatment sessions utilizing our NeuroStar Advanced Therapy System.</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ind w:right="40"/>
        <w:spacing w:after="0" w:line="255" w:lineRule="auto"/>
        <w:rPr>
          <w:sz w:val="20"/>
          <w:szCs w:val="20"/>
          <w:color w:val="auto"/>
        </w:rPr>
      </w:pPr>
      <w:r>
        <w:rPr>
          <w:rFonts w:ascii="Arial" w:cs="Arial" w:eastAsia="Arial" w:hAnsi="Arial"/>
          <w:sz w:val="18"/>
          <w:szCs w:val="18"/>
          <w:color w:val="auto"/>
        </w:rPr>
        <w:t>We market our products in a few select markets outside the United States through independent distributors. International revenues represented 2% of our total revenues for both the three and nine months ended September 30, 2018, respectively. In October 2017, we entered into an exclusive distribution agreement with Teijin Pharma Limited, or Teijin, for the distribution of our NeuroStar Advanced Therapy Systems and treatment sessions to customers who will treat patients with MDD in Japan. We received regulatory approval for our system in Japan in September 2017, and we plan to work with Teijin to obtain reimbursement for NeuroStar Advanced Therapy in Japan in 2018. We expect our international revenues to increase as a percentage of our total revenues as we grow our presence in Japan.</w:t>
      </w:r>
    </w:p>
    <w:p>
      <w:pPr>
        <w:spacing w:after="0" w:line="13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research and development efforts are focused on the following: hardware and software product developments and enhancements of our NeuroStar Advanced Therapy System and clinical development relating to additional indications, which may include bipolar depression and post-traumatic stress disorder. We outsource the manufacture of components of our NeuroStar Advanced Therapy Systems that are produced to our specifications, and individual components are either shipped directly from our third-party contract manufacturers to our customers or consolidated into pallets at our Malvern, Pennsylvania facility prior to shipment. Final installation of these systems occurs at the customer site.</w:t>
      </w:r>
    </w:p>
    <w:p>
      <w:pPr>
        <w:spacing w:after="0" w:line="13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total revenues increased by $3.2 million, or 31%, from $10.5 million for the three months ended September 30, 2017 to $13.7 million for the three months ended September 30, 2018 and by $8.8 million, or 31%, from $28.3 million for the nine months ended September 30, 2017 to $37.1 million for the nine months ended September 30, 2018. For the three and nine months ended September 30, 2018, our U.S. revenues were $13.5 million and $36.4 million, respectively, compared to $10.4 million and $28.0 million for the three and nine months ended September 30, 2017, respectively, which represent increases of 30% and 30% period over period. Due to the seasonality of our sales, during the first quarter of each year, we typically experience reduced revenues compared to our other quarters. We incurred net losses of $5.0 million and $18.0 million for the three and nine months ended September 30, 2018, respectively, compared to net losses of $3.8 million and $11.1 million for the three and nine months ended September 30, 2017, respectively. We expect to continue to incur losses for the next several years as we expand our commercial organization to support our planned sales growth and while continuing to invest in our pipeline indications. As of September 30, 2018, we had an accumulated deficit of $214.9 million.</w:t>
      </w:r>
    </w:p>
    <w:p>
      <w:pPr>
        <w:spacing w:after="0" w:line="12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On July 2, 2018, we closed our initial public offering, or IPO, in which we issued and sold 6.325 million shares of our common stock, which included shares sold pursuant to an option granted to the underwriters to purchase additional shares, at a public offering price of $17.00 per share. We received net proceeds of $96.5 million after deducting underwriting discounts, commissions and other offering expenses paid by us. Our common stock is listed on the Nasdaq Global Market under the trading symbol “STIM.” Our primary sources of capital to date have been from our IPO, private placements of our convertible preferred securities, borrowings under our credit facilities and revenues from sales of our products.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To date, we have generated revenues primarily from the capital portion of our business and related sales and rentals of the NeuroStar Advanced Therapy System and the recurring revenues from our sale of treatment sessions in the United States.</w:t>
      </w:r>
    </w:p>
    <w:p>
      <w:pPr>
        <w:spacing w:after="0" w:line="116"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b w:val="1"/>
          <w:bCs w:val="1"/>
          <w:i w:val="1"/>
          <w:iCs w:val="1"/>
          <w:u w:val="single" w:color="auto"/>
          <w:color w:val="auto"/>
        </w:rPr>
        <w:t>NeuroStar Advanced Therapy System Revenues</w:t>
      </w:r>
      <w:r>
        <w:rPr>
          <w:rFonts w:ascii="Arial" w:cs="Arial" w:eastAsia="Arial" w:hAnsi="Arial"/>
          <w:sz w:val="18"/>
          <w:szCs w:val="18"/>
          <w:color w:val="auto"/>
        </w:rPr>
        <w:t>. NeuroStar Advanced Therapy System revenues consist primarily of sales or rentals of a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component, including upgrades to the equipment attributable to the initial sale of the system. NeuroStar Advanced Therapy Systems can be purchased outright or on a rent-to-own basis by certain customers. We had an installed base of 858 and 725 active NeuroStar Advanced Therapy Systems as of September 30, 2018 and 2017, respectively.</w:t>
      </w:r>
    </w:p>
    <w:p>
      <w:pPr>
        <w:spacing w:after="0" w:line="13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u w:val="single" w:color="auto"/>
          <w:color w:val="auto"/>
        </w:rPr>
        <w:t>Treatment Session Revenues</w:t>
      </w:r>
      <w:r>
        <w:rPr>
          <w:rFonts w:ascii="Arial" w:cs="Arial" w:eastAsia="Arial" w:hAnsi="Arial"/>
          <w:sz w:val="17"/>
          <w:szCs w:val="17"/>
          <w:color w:val="auto"/>
        </w:rPr>
        <w:t>. Treatment session revenues primarily include sales of NeuroStar Treatment Sessions and SenStar treatment links.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NeuroStar Treatment Sessions are access codes that are delivered electronically in the United States. The SenStar treatment links are disposable units containing single-use access codes that are sold and used outside the United States. Access codes are purchased separately by our customers, primarily on an as-needed basis, and are required by the NeuroStar Advanced Therapy System in order to deliver treatment sessions.</w:t>
      </w:r>
    </w:p>
    <w:p>
      <w:pPr>
        <w:spacing w:after="0" w:line="11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i w:val="1"/>
          <w:iCs w:val="1"/>
          <w:u w:val="single" w:color="auto"/>
          <w:color w:val="auto"/>
        </w:rPr>
        <w:t>Other Revenues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Other revenues are derived primarily from service and repair and extended warranty contracts with our existing customers.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refer you to the section titled “Critical Accounting Policies and Use of Estimates—Revenue Recognition” appearing in our IPO prospectus filed with the SEC on June 29, 2018 for additional information regarding how we account for revenues.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Cost of Revenues and Gross Margin</w:t>
      </w:r>
    </w:p>
    <w:p>
      <w:pPr>
        <w:spacing w:after="0" w:line="7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Cost of revenues primarily consists of the costs of components and products purchased from our third-party contract manufacturers of our NeuroStar Advanced Therapy Systems as well as the cost of treatment packs for individual treatment sessions. We use third-party contract manufacturing partners to produce the components for and assemble the completed NeuroStar Advanced Therapy Systems. Cost of revenues also includes costs related to personnel, royalties, warranty, shipping, and our operations and field service departments. We expect our cost of revenues to increase in absolute dollars as and to the extent our revenues grow.</w:t>
      </w:r>
    </w:p>
    <w:p>
      <w:pPr>
        <w:spacing w:after="0" w:line="13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gross profit is calculated by subtracting our cost of revenues from our revenues. We calculate our gross margin as our gross profit divided by our revenues. Our gross margin has been and will continue to be affected by a variety of factors, primarily product sales mix, pricing and third-party contract manufacturing costs. Our gross margins on revenues from sales of NeuroStar Advanced Therapy Systems are lower than our gross margins on revenues from sales of treatment sessions and, as a result, the sales mix between NeuroStar Advanced Therapy Systems and treatment sessions can affect the gross margin in any reporting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90"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Sales and marketing expenses consist of market research and commercial activities related to the sale of our NeuroStar Advanced Therapy Systems and treatment sessions and salaries and related benefits, sales commissions and share-based compensation for employees focused on these efforts. Other significant sales and marketing costs included conferences and trade shows, promotional and marketing activities, including direct and online marketing, practice support programs, television and radio media campaigns, travel and training expenses.</w:t>
      </w:r>
    </w:p>
    <w:p>
      <w:pPr>
        <w:spacing w:after="0" w:line="11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anticipate a significant increase in headcount in our commercial organization and in expenses in executing on our growth initiatives as we continue to expand our business in the United States and internationally. As a result, we expect our sales and marketing expenses to continue to increase in absolute dollars.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7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General and administrative expenses consist primarily of personnel expenses, including salaries and related benefits, share-based compensation and travel expenses, for employees in executive, finance, information technology, legal and human resource functions. General and administrative expenses also include the cost of insurance, outside legal fees, accounting and other consulting services, audit fees from our independent registered public accounting firm, board of directors’ fees and other administrative costs, such as corporate facility costs, including rent, utilities, depreciation and maintenance not otherwise included in cost of revenues.</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anticipate that our general and administrative expenses will increase in absolute dollars because of an expanded infrastructure and an increased headcount. We anticipate higher corporate infrastructure costs including, but not limited to, accounting, legal, human resources, consulting and investor relations fees, listing fees on the Nasdaq Global Market, costs associated with SEC reporting and compliance, as well as increased director and officer insurance premiums, as a result of our current status as a public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7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Research and development expenses consist primarily of personnel expenses, including salaries and related benefits and share-based compensation for employees in clinical development, product development, regulatory and quality assurance functions, as well as expenses associated with outsourced professional scientific development services and costs of investigative sites and consultants that conduct our preclinical and clinical development programs. We typically use our employee, consultant and infrastructure resources across our research and development programs.</w:t>
      </w:r>
    </w:p>
    <w:p>
      <w:pPr>
        <w:spacing w:after="0" w:line="10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plan to incur research and development expenses for the near future as we expect to continue our development of TMS Therapy for the treatment of additional patient populations and new indications, which may include bipolar depression, post-traumatic stress disorder and potential other clinical indications yet to be determined, as well as for various hardware and software development projects. As a result, we expect our research and development expenses to continue to increase in absolute dollars.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Interest expense consists of cash interest payable under our credit facility and non-cash interest attributable to the accrual of final payment fees and the amortization of deferred financing costs related to our indebtedness.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7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Other expense (income), net consists primarily of the revaluation related to our convertible preferred stock warrants, which were accounted for as a liability prior to their conversion into common stock warrants on July 2, 2018 and marked-to-market at each reporting period, as well as interest income earned on our money market account balances, and non-utilization fees paid to Oxford related to our decision not to borrow the Term C Loan. Upon the closing of our IPO on July 2, 2018, all of our outstanding convertible preferred stock warrants converted into warrants to acquire an aggregate of 0.1 million shares of our common stock, resulting in the reclassification of the convertible preferred stock warrant liability into additional paid-in capital.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2018 and 2017</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5"/>
            <w:vMerge w:val="restart"/>
          </w:tcPr>
          <w:p>
            <w:pPr>
              <w:jc w:val="center"/>
              <w:ind w:right="380"/>
              <w:spacing w:after="0"/>
              <w:rPr>
                <w:sz w:val="20"/>
                <w:szCs w:val="20"/>
                <w:color w:val="auto"/>
              </w:rPr>
            </w:pPr>
            <w:r>
              <w:rPr>
                <w:rFonts w:ascii="Arial" w:cs="Arial" w:eastAsia="Arial" w:hAnsi="Arial"/>
                <w:sz w:val="14"/>
                <w:szCs w:val="14"/>
                <w:b w:val="1"/>
                <w:bCs w:val="1"/>
                <w:color w:val="auto"/>
                <w:w w:val="91"/>
              </w:rPr>
              <w:t>Increase / (Decrease)</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7"/>
          </w:tcPr>
          <w:p>
            <w:pPr>
              <w:jc w:val="right"/>
              <w:ind w:right="9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center"/>
              <w:ind w:right="35"/>
              <w:spacing w:after="0" w:line="155"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gridSpan w:val="3"/>
          </w:tcPr>
          <w:p>
            <w:pPr>
              <w:jc w:val="center"/>
              <w:ind w:right="500"/>
              <w:spacing w:after="0" w:line="155" w:lineRule="exact"/>
              <w:rPr>
                <w:sz w:val="20"/>
                <w:szCs w:val="20"/>
                <w:color w:val="auto"/>
              </w:rPr>
            </w:pPr>
            <w:r>
              <w:rPr>
                <w:rFonts w:ascii="Arial" w:cs="Arial" w:eastAsia="Arial" w:hAnsi="Arial"/>
                <w:sz w:val="14"/>
                <w:szCs w:val="14"/>
                <w:b w:val="1"/>
                <w:bCs w:val="1"/>
                <w:color w:val="auto"/>
                <w:w w:val="92"/>
              </w:rPr>
              <w:t>Dollars</w:t>
            </w:r>
          </w:p>
        </w:tc>
        <w:tc>
          <w:tcPr>
            <w:tcW w:w="940" w:type="dxa"/>
            <w:vAlign w:val="bottom"/>
            <w:tcBorders>
              <w:top w:val="single" w:sz="8" w:color="auto"/>
              <w:bottom w:val="single" w:sz="8" w:color="auto"/>
            </w:tcBorders>
          </w:tcPr>
          <w:p>
            <w:pPr>
              <w:jc w:val="center"/>
              <w:ind w:right="34"/>
              <w:spacing w:after="0" w:line="155" w:lineRule="exact"/>
              <w:rPr>
                <w:sz w:val="20"/>
                <w:szCs w:val="20"/>
                <w:color w:val="auto"/>
              </w:rPr>
            </w:pPr>
            <w:r>
              <w:rPr>
                <w:rFonts w:ascii="Arial" w:cs="Arial" w:eastAsia="Arial" w:hAnsi="Arial"/>
                <w:sz w:val="14"/>
                <w:szCs w:val="14"/>
                <w:b w:val="1"/>
                <w:bCs w:val="1"/>
                <w:color w:val="auto"/>
                <w:w w:val="87"/>
              </w:rPr>
              <w:t>Percentage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60" w:type="dxa"/>
            <w:vAlign w:val="bottom"/>
            <w:gridSpan w:val="8"/>
          </w:tcPr>
          <w:p>
            <w:pPr>
              <w:ind w:left="60"/>
              <w:spacing w:after="0" w:line="155" w:lineRule="exact"/>
              <w:rPr>
                <w:sz w:val="20"/>
                <w:szCs w:val="20"/>
                <w:color w:val="auto"/>
              </w:rPr>
            </w:pPr>
            <w:r>
              <w:rPr>
                <w:rFonts w:ascii="Arial" w:cs="Arial" w:eastAsia="Arial" w:hAnsi="Arial"/>
                <w:sz w:val="14"/>
                <w:szCs w:val="14"/>
                <w:b w:val="1"/>
                <w:bCs w:val="1"/>
                <w:color w:val="auto"/>
              </w:rPr>
              <w:t>(in thousands, except percentages)</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460" w:type="dxa"/>
            <w:vAlign w:val="bottom"/>
            <w:gridSpan w:val="3"/>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10,491</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Cost of revenues</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3,034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FF0FC"/>
          </w:tcPr>
          <w:p>
            <w:pPr>
              <w:ind w:left="740"/>
              <w:spacing w:after="0"/>
              <w:rPr>
                <w:sz w:val="20"/>
                <w:szCs w:val="20"/>
                <w:color w:val="auto"/>
              </w:rPr>
            </w:pPr>
            <w:r>
              <w:rPr>
                <w:rFonts w:ascii="Arial" w:cs="Arial" w:eastAsia="Arial" w:hAnsi="Arial"/>
                <w:sz w:val="18"/>
                <w:szCs w:val="18"/>
                <w:color w:val="auto"/>
              </w:rPr>
              <w:t>Gross Profit</w:t>
            </w:r>
          </w:p>
        </w:tc>
        <w:tc>
          <w:tcPr>
            <w:tcW w:w="1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740"/>
              <w:spacing w:after="0"/>
              <w:rPr>
                <w:sz w:val="20"/>
                <w:szCs w:val="20"/>
                <w:color w:val="auto"/>
              </w:rPr>
            </w:pPr>
            <w:r>
              <w:rPr>
                <w:rFonts w:ascii="Arial" w:cs="Arial" w:eastAsia="Arial" w:hAnsi="Arial"/>
                <w:sz w:val="18"/>
                <w:szCs w:val="18"/>
                <w:i w:val="1"/>
                <w:iCs w:val="1"/>
                <w:color w:val="auto"/>
              </w:rPr>
              <w:t>Gross Margin</w:t>
            </w:r>
          </w:p>
        </w:tc>
        <w:tc>
          <w:tcPr>
            <w:tcW w:w="1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78%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9,672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6,566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3,106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15,035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740"/>
              <w:spacing w:after="0"/>
              <w:rPr>
                <w:sz w:val="20"/>
                <w:szCs w:val="20"/>
                <w:color w:val="auto"/>
              </w:rPr>
            </w:pPr>
            <w:r>
              <w:rPr>
                <w:rFonts w:ascii="Arial" w:cs="Arial" w:eastAsia="Arial" w:hAnsi="Arial"/>
                <w:sz w:val="18"/>
                <w:szCs w:val="18"/>
                <w:color w:val="auto"/>
              </w:rPr>
              <w:t>Loss from Operations</w:t>
            </w:r>
          </w:p>
        </w:tc>
        <w:tc>
          <w:tcPr>
            <w:tcW w:w="1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(4,332)</w:t>
            </w:r>
          </w:p>
        </w:tc>
        <w:tc>
          <w:tcPr>
            <w:tcW w:w="8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(2,810)</w:t>
            </w:r>
          </w:p>
        </w:tc>
        <w:tc>
          <w:tcPr>
            <w:tcW w:w="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(1,522)</w:t>
            </w:r>
          </w:p>
        </w:tc>
        <w:tc>
          <w:tcPr>
            <w:tcW w:w="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expense (income), net</w:t>
            </w: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740"/>
              <w:spacing w:after="0"/>
              <w:rPr>
                <w:sz w:val="20"/>
                <w:szCs w:val="20"/>
                <w:color w:val="auto"/>
              </w:rPr>
            </w:pPr>
            <w:r>
              <w:rPr>
                <w:rFonts w:ascii="Arial" w:cs="Arial" w:eastAsia="Arial" w:hAnsi="Arial"/>
                <w:sz w:val="18"/>
                <w:szCs w:val="18"/>
                <w:color w:val="auto"/>
              </w:rPr>
              <w:t>Net Loss</w:t>
            </w:r>
          </w:p>
        </w:tc>
        <w:tc>
          <w:tcPr>
            <w:tcW w:w="1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(4,961)</w:t>
            </w:r>
          </w:p>
        </w:tc>
        <w:tc>
          <w:tcPr>
            <w:tcW w:w="8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(3,753)</w:t>
            </w:r>
          </w:p>
        </w:tc>
        <w:tc>
          <w:tcPr>
            <w:tcW w:w="2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(1,208)</w:t>
            </w:r>
          </w:p>
        </w:tc>
        <w:tc>
          <w:tcPr>
            <w:tcW w:w="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91"/>
              </w:rPr>
              <w:t>Revenues by Geography</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b w:val="1"/>
                <w:bCs w:val="1"/>
                <w:color w:val="auto"/>
                <w:w w:val="92"/>
              </w:rPr>
              <w:t>Three Months ended September 30,</w:t>
            </w:r>
          </w:p>
        </w:tc>
        <w:tc>
          <w:tcPr>
            <w:tcW w:w="9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5"/>
          </w:tcPr>
          <w:p>
            <w:pPr>
              <w:jc w:val="right"/>
              <w:ind w:right="7"/>
              <w:spacing w:after="0" w:line="155" w:lineRule="exact"/>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ind w:left="654"/>
              <w:spacing w:after="0" w:line="155" w:lineRule="exact"/>
              <w:rPr>
                <w:sz w:val="20"/>
                <w:szCs w:val="20"/>
                <w:color w:val="auto"/>
              </w:rPr>
            </w:pPr>
            <w:r>
              <w:rPr>
                <w:rFonts w:ascii="Arial" w:cs="Arial" w:eastAsia="Arial" w:hAnsi="Arial"/>
                <w:sz w:val="14"/>
                <w:szCs w:val="14"/>
                <w:b w:val="1"/>
                <w:bCs w:val="1"/>
                <w:color w:val="auto"/>
                <w:w w:val="89"/>
              </w:rPr>
              <w:t>2017</w:t>
            </w:r>
          </w:p>
        </w:tc>
        <w:tc>
          <w:tcPr>
            <w:tcW w:w="9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8"/>
              </w:rPr>
              <w:t>Amount</w:t>
            </w:r>
          </w:p>
        </w:tc>
        <w:tc>
          <w:tcPr>
            <w:tcW w:w="94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Revenues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gridSpan w:val="7"/>
          </w:tcPr>
          <w:p>
            <w:pPr>
              <w:jc w:val="center"/>
              <w:ind w:right="440"/>
              <w:spacing w:after="0"/>
              <w:rPr>
                <w:sz w:val="20"/>
                <w:szCs w:val="20"/>
                <w:color w:val="auto"/>
              </w:rPr>
            </w:pPr>
            <w:r>
              <w:rPr>
                <w:rFonts w:ascii="Arial" w:cs="Arial" w:eastAsia="Arial" w:hAnsi="Arial"/>
                <w:sz w:val="14"/>
                <w:szCs w:val="14"/>
                <w:b w:val="1"/>
                <w:bCs w:val="1"/>
                <w:color w:val="auto"/>
                <w:w w:val="89"/>
              </w:rPr>
              <w:t>(in thousands, except percentages)</w:t>
            </w:r>
          </w:p>
        </w:tc>
        <w:tc>
          <w:tcPr>
            <w:tcW w:w="9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60" w:type="dxa"/>
            <w:vAlign w:val="bottom"/>
            <w:gridSpan w:val="3"/>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13,518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98%</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International</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revenues</w:t>
            </w:r>
          </w:p>
        </w:tc>
        <w:tc>
          <w:tcPr>
            <w:tcW w:w="1300" w:type="dxa"/>
            <w:vAlign w:val="bottom"/>
            <w:gridSpan w:val="2"/>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shd w:val="clear" w:color="auto" w:fill="CFF0FC"/>
          </w:tcPr>
          <w:p>
            <w:pPr>
              <w:spacing w:after="0"/>
              <w:rPr>
                <w:sz w:val="19"/>
                <w:szCs w:val="19"/>
                <w:color w:val="auto"/>
              </w:rPr>
            </w:pPr>
          </w:p>
        </w:tc>
        <w:tc>
          <w:tcPr>
            <w:tcW w:w="130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13,737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CFF0FC"/>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2"/>
              </w:rPr>
              <w:t>U.S. Revenues by Product Category</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b w:val="1"/>
                <w:bCs w:val="1"/>
                <w:color w:val="auto"/>
                <w:w w:val="92"/>
              </w:rPr>
              <w:t>Three Months ended September 30,</w:t>
            </w:r>
          </w:p>
        </w:tc>
        <w:tc>
          <w:tcPr>
            <w:tcW w:w="9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5"/>
          </w:tcPr>
          <w:p>
            <w:pPr>
              <w:jc w:val="right"/>
              <w:ind w:right="7"/>
              <w:spacing w:after="0" w:line="155" w:lineRule="exact"/>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ind w:left="654"/>
              <w:spacing w:after="0" w:line="155" w:lineRule="exact"/>
              <w:rPr>
                <w:sz w:val="20"/>
                <w:szCs w:val="20"/>
                <w:color w:val="auto"/>
              </w:rPr>
            </w:pPr>
            <w:r>
              <w:rPr>
                <w:rFonts w:ascii="Arial" w:cs="Arial" w:eastAsia="Arial" w:hAnsi="Arial"/>
                <w:sz w:val="14"/>
                <w:szCs w:val="14"/>
                <w:b w:val="1"/>
                <w:bCs w:val="1"/>
                <w:color w:val="auto"/>
                <w:w w:val="89"/>
              </w:rPr>
              <w:t>2017</w:t>
            </w:r>
          </w:p>
        </w:tc>
        <w:tc>
          <w:tcPr>
            <w:tcW w:w="9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8"/>
              </w:rPr>
              <w:t>Amount</w:t>
            </w:r>
          </w:p>
        </w:tc>
        <w:tc>
          <w:tcPr>
            <w:tcW w:w="94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Revenues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580" w:type="dxa"/>
            <w:vAlign w:val="bottom"/>
            <w:tcBorders>
              <w:top w:val="single" w:sz="8" w:color="auto"/>
            </w:tcBorders>
            <w:gridSpan w:val="7"/>
          </w:tcPr>
          <w:p>
            <w:pPr>
              <w:jc w:val="center"/>
              <w:ind w:right="440"/>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9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NeuroStar Advanced Therapy System</w:t>
            </w:r>
          </w:p>
        </w:tc>
        <w:tc>
          <w:tcPr>
            <w:tcW w:w="1460" w:type="dxa"/>
            <w:vAlign w:val="bottom"/>
            <w:gridSpan w:val="3"/>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Treatment sessions</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9,218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7,229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240"/>
              <w:spacing w:after="0"/>
              <w:rPr>
                <w:sz w:val="20"/>
                <w:szCs w:val="20"/>
                <w:color w:val="auto"/>
              </w:rPr>
            </w:pPr>
            <w:r>
              <w:rPr>
                <w:rFonts w:ascii="Arial" w:cs="Arial" w:eastAsia="Arial" w:hAnsi="Arial"/>
                <w:sz w:val="18"/>
                <w:szCs w:val="18"/>
                <w:color w:val="auto"/>
              </w:rPr>
              <w:t>Total U.S. revenues</w:t>
            </w:r>
          </w:p>
        </w:tc>
        <w:tc>
          <w:tcPr>
            <w:tcW w:w="1300" w:type="dxa"/>
            <w:vAlign w:val="bottom"/>
            <w:gridSpan w:val="2"/>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13,518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10,398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Total revenues increased by $3.2 million, or 31%, from $10.5 million for the three months ended September 30, 2017 to $13.7 million for the three months ended September 30, 2018. Revenues in the United States increased by $3.1 million for the three months ended September 30, 2018 compared to the three months ended September 30, 2017 due to higher unit sales of both NeuroStar Advanced Therapy Systems and treatment sessions. International revenues increased for the three months ended September 30, 2018 compared to the three months ended September 30, 2017, primarily due to the recognition of deferred revenue related to the upfront and milestone payments received in the fourth quarter of 2017, both related to our distribution agreement with Teijin for Japan.</w:t>
      </w:r>
    </w:p>
    <w:p>
      <w:pPr>
        <w:spacing w:after="0" w:line="13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Revenues in the United States increased by $3.1 million, or 30%, from $10.4 million for the three months ended September 30, 2017 to $13.5 million for the three months ended September 30, 2018. NeuroStar Advanced Therapy System revenues in the United States grew by $1.1 million, or 38%, in the three months ended September 30, 2018 compared to the three months ended September 30, 2017. The increase in U.S. NeuroStar revenue was primarily driven by higher capital revenue growth of 58% due to higher unit sales and a 1% increase in average selling prices, partially offset by lower upgrade, rent-to-own, and other related revenue. NeuroStar Advanced Therapy System revenues represented 29% and 27% of U.S. revenues for the three months ended September 30, 2018 and 2017, respectively. We believe the growth in NeuroStar Advanced Therapy System revenues between these two periods was the result of the efforts of our expanded commercial organization and increased marketing efforts. As of September 30, 2018, we had an installed base of 858 active systems in the United States, compared to 725 as of September 30, 2017.</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99" w:right="279" w:bottom="1440" w:gutter="0" w:footer="0" w:header="0"/>
        </w:sectPr>
      </w:pPr>
    </w:p>
    <w:bookmarkStart w:id="21" w:name="page22"/>
    <w:bookmarkEnd w:id="21"/>
    <w:p>
      <w:pPr>
        <w:ind w:right="100"/>
        <w:spacing w:after="0" w:line="257" w:lineRule="auto"/>
        <w:rPr>
          <w:sz w:val="20"/>
          <w:szCs w:val="20"/>
          <w:color w:val="auto"/>
        </w:rPr>
      </w:pPr>
      <w:r>
        <w:rPr>
          <w:rFonts w:ascii="Arial" w:cs="Arial" w:eastAsia="Arial" w:hAnsi="Arial"/>
          <w:sz w:val="18"/>
          <w:szCs w:val="18"/>
          <w:color w:val="auto"/>
        </w:rPr>
        <w:t>Treatment session revenues in the United States represented 68% and 70% of total revenues in the United States for the three months ended September 30, 2018 and 2017, respectively, and increased by 28% from $7.2 million for the three months ended September 30, 2017 to $9.2 million for the three months ended September 30, 2018. The increase in United States treatment session revenues was primarily the result of an approximate 31% increase in the number of treatment sessions sold. This was offset by an approximate 6% decline in average selling price due to certain volume pricing discounts within our existing customer base, plus an increase in other treatment session revenue.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Margin</w:t>
      </w:r>
    </w:p>
    <w:p>
      <w:pPr>
        <w:spacing w:after="0" w:line="7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Cost of revenues increased by $0.4 million, or 15%, from $2.6 million for the three months ended September 30, 2017 to $3.0 million for the three months ended September 30, 2018. The increase was primarily due to increased costs associated with increased NeuroStar Advanced Therapy System sales volumes. Gross margin increased from 74.9% for the three months ended September 30, 2017 to 77.9% for the three months ended September 30, 2018. The majority of the increase in gross margin was the result of increased leverage on our service and operations costs as a result of higher sales compared to the prior year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9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Sales and marketing expenses increased by $3.1 million, or 47%, from $6.6 million for the three months ended September 30, 2017 to $9.7 million for the three months ended September 30, 2018. The increase was primarily due to increased personnel costs as a result of our sales expansion activities, as well as higher sales commissions and marketing expenses, consistent with our growth in revenues.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7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General and administrative expenses increased by $1.0 million, or 44%, from $2.3 million for the three months ended September 30, 2017 to $3.2 million for the three months ended September 30, 2018. The increase was primarily due to an increase in personnel and legal, accounting and other professional services expenses required to support the growth of our business and the infrastructure for public company reporting.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7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Research and development expenses increased $0.3 million, or 15%, from $1.8 million for the three months ended September 30, 2017 to $2.1 million for the three months ended September 30, 2018. The increase was primarily due to higher product development costs related to the launch of the next generation of our NeuroStar Advanced Therapy System and TrakStar practice management system, which were partially offset by a decline in spending on clinical studies.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Interest expense increased $0.1 million, or 15%, from $0.8 million for the three months ended September 30, 2017 to $0.9 million for the three months ended September 30, 2018 primarily as a result of higher cash interest expenses related to the $10.0 million increase during 2017 in principal borrowings under our current credit facility, a coupon rate of interest on the total $30.0 million of principal borrowings outstanding that is currently approximately 1% higher versus the prior year period, and higher non-cash interest expenses accrued in connection with the final payment fees due to the lender under the agreement.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Other expense (income), net, which includes the change in the fair value of the liability related to our then-outstanding convertible preferred stock warrants, increased by $0.4 million, from $0.1 million for the three months ended September 30, 2017 to $(0.3) million for the three months ended September 30, 2018. Other expense (income), net for the three months ended September 30, 2018 also includes $0.4 million of interest income earned on the Company’s IPO proceeds during the third quarter of 2018, as well as a one-time $0.1 million non-utilization fee related to the Company’s election to not draw down the Term C Loan. The three months ended September 30, 2017 included a non-cash charge of $0.2 million to revalue our then-outstanding convertible preferred stock warrant liability, as well as $0.02 million of interest income.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2018 and 2017</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9"/>
          </w:tcPr>
          <w:p>
            <w:pPr>
              <w:jc w:val="right"/>
              <w:ind w:right="360"/>
              <w:spacing w:after="0"/>
              <w:rPr>
                <w:sz w:val="20"/>
                <w:szCs w:val="20"/>
                <w:color w:val="auto"/>
              </w:rPr>
            </w:pPr>
            <w:r>
              <w:rPr>
                <w:rFonts w:ascii="Arial" w:cs="Arial" w:eastAsia="Arial" w:hAnsi="Arial"/>
                <w:sz w:val="14"/>
                <w:szCs w:val="14"/>
                <w:b w:val="1"/>
                <w:bCs w:val="1"/>
                <w:color w:val="auto"/>
                <w:w w:val="92"/>
              </w:rPr>
              <w:t>Nine Months ended September 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center"/>
              <w:ind w:right="54"/>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Dollars</w:t>
            </w:r>
          </w:p>
        </w:tc>
        <w:tc>
          <w:tcPr>
            <w:tcW w:w="1020" w:type="dxa"/>
            <w:vAlign w:val="bottom"/>
            <w:tcBorders>
              <w:top w:val="single" w:sz="8" w:color="auto"/>
              <w:bottom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gridSpan w:val="7"/>
          </w:tcPr>
          <w:p>
            <w:pPr>
              <w:jc w:val="right"/>
              <w:ind w:right="420"/>
              <w:spacing w:after="0" w:line="155" w:lineRule="exact"/>
              <w:rPr>
                <w:sz w:val="20"/>
                <w:szCs w:val="20"/>
                <w:color w:val="auto"/>
              </w:rPr>
            </w:pPr>
            <w:r>
              <w:rPr>
                <w:rFonts w:ascii="Arial" w:cs="Arial" w:eastAsia="Arial" w:hAnsi="Arial"/>
                <w:sz w:val="14"/>
                <w:szCs w:val="14"/>
                <w:b w:val="1"/>
                <w:bCs w:val="1"/>
                <w:color w:val="auto"/>
                <w:w w:val="91"/>
              </w:rPr>
              <w:t>(in thousands, except percentages)</w:t>
            </w: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37,141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28,325</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8,816</w:t>
            </w:r>
          </w:p>
        </w:tc>
        <w:tc>
          <w:tcPr>
            <w:tcW w:w="220" w:type="dxa"/>
            <w:vAlign w:val="bottom"/>
            <w:shd w:val="clear" w:color="auto" w:fill="CFF0FC"/>
          </w:tcPr>
          <w:p>
            <w:pPr>
              <w:spacing w:after="0"/>
              <w:rPr>
                <w:sz w:val="19"/>
                <w:szCs w:val="19"/>
                <w:color w:val="auto"/>
              </w:rPr>
            </w:pPr>
          </w:p>
        </w:tc>
        <w:tc>
          <w:tcPr>
            <w:tcW w:w="1200" w:type="dxa"/>
            <w:vAlign w:val="bottom"/>
            <w:tcBorders>
              <w:lef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Cost of revenues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6,675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2,061</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FF0FC"/>
          </w:tcPr>
          <w:p>
            <w:pPr>
              <w:ind w:left="740"/>
              <w:spacing w:after="0"/>
              <w:rPr>
                <w:sz w:val="20"/>
                <w:szCs w:val="20"/>
                <w:color w:val="auto"/>
              </w:rPr>
            </w:pPr>
            <w:r>
              <w:rPr>
                <w:rFonts w:ascii="Arial" w:cs="Arial" w:eastAsia="Arial" w:hAnsi="Arial"/>
                <w:sz w:val="18"/>
                <w:szCs w:val="18"/>
                <w:color w:val="auto"/>
              </w:rPr>
              <w:t>Gross Profit</w:t>
            </w:r>
          </w:p>
        </w:tc>
        <w:tc>
          <w:tcPr>
            <w:tcW w:w="1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28,405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21,650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6,755</w:t>
            </w:r>
          </w:p>
        </w:tc>
        <w:tc>
          <w:tcPr>
            <w:tcW w:w="220" w:type="dxa"/>
            <w:vAlign w:val="bottom"/>
            <w:shd w:val="clear" w:color="auto" w:fill="CFF0FC"/>
          </w:tcPr>
          <w:p>
            <w:pPr>
              <w:spacing w:after="0"/>
              <w:rPr>
                <w:sz w:val="19"/>
                <w:szCs w:val="19"/>
                <w:color w:val="auto"/>
              </w:rPr>
            </w:pPr>
          </w:p>
        </w:tc>
        <w:tc>
          <w:tcPr>
            <w:tcW w:w="1200" w:type="dxa"/>
            <w:vAlign w:val="bottom"/>
            <w:tcBorders>
              <w:lef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740"/>
              <w:spacing w:after="0"/>
              <w:rPr>
                <w:sz w:val="20"/>
                <w:szCs w:val="20"/>
                <w:color w:val="auto"/>
              </w:rPr>
            </w:pPr>
            <w:r>
              <w:rPr>
                <w:rFonts w:ascii="Arial" w:cs="Arial" w:eastAsia="Arial" w:hAnsi="Arial"/>
                <w:sz w:val="18"/>
                <w:szCs w:val="18"/>
                <w:i w:val="1"/>
                <w:iCs w:val="1"/>
                <w:color w:val="auto"/>
              </w:rPr>
              <w:t>Gross Margin</w:t>
            </w: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76%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76%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tcBorders>
              <w:lef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27,616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19,272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8,344</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3,217</w:t>
            </w:r>
          </w:p>
        </w:tc>
        <w:tc>
          <w:tcPr>
            <w:tcW w:w="220" w:type="dxa"/>
            <w:vAlign w:val="bottom"/>
            <w:shd w:val="clear" w:color="auto" w:fill="CFF0FC"/>
          </w:tcPr>
          <w:p>
            <w:pPr>
              <w:spacing w:after="0"/>
              <w:rPr>
                <w:sz w:val="19"/>
                <w:szCs w:val="19"/>
                <w:color w:val="auto"/>
              </w:rPr>
            </w:pPr>
          </w:p>
        </w:tc>
        <w:tc>
          <w:tcPr>
            <w:tcW w:w="1200" w:type="dxa"/>
            <w:vAlign w:val="bottom"/>
            <w:tcBorders>
              <w:lef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6,018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42,578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31,025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11,553</w:t>
            </w:r>
          </w:p>
        </w:tc>
        <w:tc>
          <w:tcPr>
            <w:tcW w:w="220" w:type="dxa"/>
            <w:vAlign w:val="bottom"/>
            <w:shd w:val="clear" w:color="auto" w:fill="CFF0FC"/>
          </w:tcPr>
          <w:p>
            <w:pPr>
              <w:spacing w:after="0"/>
              <w:rPr>
                <w:sz w:val="19"/>
                <w:szCs w:val="19"/>
                <w:color w:val="auto"/>
              </w:rPr>
            </w:pPr>
          </w:p>
        </w:tc>
        <w:tc>
          <w:tcPr>
            <w:tcW w:w="1200" w:type="dxa"/>
            <w:vAlign w:val="bottom"/>
            <w:tcBorders>
              <w:lef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740"/>
              <w:spacing w:after="0"/>
              <w:rPr>
                <w:sz w:val="20"/>
                <w:szCs w:val="20"/>
                <w:color w:val="auto"/>
              </w:rPr>
            </w:pPr>
            <w:r>
              <w:rPr>
                <w:rFonts w:ascii="Arial" w:cs="Arial" w:eastAsia="Arial" w:hAnsi="Arial"/>
                <w:sz w:val="18"/>
                <w:szCs w:val="18"/>
                <w:color w:val="auto"/>
              </w:rPr>
              <w:t>Loss from Operations</w:t>
            </w: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(14,173)</w:t>
            </w:r>
          </w:p>
        </w:tc>
        <w:tc>
          <w:tcPr>
            <w:tcW w:w="10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(9,375)</w:t>
            </w:r>
          </w:p>
        </w:tc>
        <w:tc>
          <w:tcPr>
            <w:tcW w:w="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(4,798)</w:t>
            </w:r>
          </w:p>
        </w:tc>
        <w:tc>
          <w:tcPr>
            <w:tcW w:w="220" w:type="dxa"/>
            <w:vAlign w:val="bottom"/>
            <w:vMerge w:val="continue"/>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left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681</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expense (income), net</w:t>
            </w: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w:t>
            </w:r>
          </w:p>
        </w:tc>
        <w:tc>
          <w:tcPr>
            <w:tcW w:w="220" w:type="dxa"/>
            <w:vAlign w:val="bottom"/>
            <w:shd w:val="clear" w:color="auto" w:fill="CFF0FC"/>
          </w:tcPr>
          <w:p>
            <w:pPr>
              <w:spacing w:after="0"/>
              <w:rPr>
                <w:sz w:val="19"/>
                <w:szCs w:val="19"/>
                <w:color w:val="auto"/>
              </w:rPr>
            </w:pPr>
          </w:p>
        </w:tc>
        <w:tc>
          <w:tcPr>
            <w:tcW w:w="1200" w:type="dxa"/>
            <w:vAlign w:val="bottom"/>
            <w:tcBorders>
              <w:lef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740"/>
              <w:spacing w:after="0"/>
              <w:rPr>
                <w:sz w:val="20"/>
                <w:szCs w:val="20"/>
                <w:color w:val="auto"/>
              </w:rPr>
            </w:pPr>
            <w:r>
              <w:rPr>
                <w:rFonts w:ascii="Arial" w:cs="Arial" w:eastAsia="Arial" w:hAnsi="Arial"/>
                <w:sz w:val="18"/>
                <w:szCs w:val="18"/>
                <w:color w:val="auto"/>
              </w:rPr>
              <w:t>Net Loss</w:t>
            </w:r>
          </w:p>
        </w:tc>
        <w:tc>
          <w:tcPr>
            <w:tcW w:w="1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(17,954)</w:t>
            </w:r>
          </w:p>
        </w:tc>
        <w:tc>
          <w:tcPr>
            <w:tcW w:w="10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(11,135)</w:t>
            </w:r>
          </w:p>
        </w:tc>
        <w:tc>
          <w:tcPr>
            <w:tcW w:w="2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(6,819)</w:t>
            </w:r>
          </w:p>
        </w:tc>
        <w:tc>
          <w:tcPr>
            <w:tcW w:w="220" w:type="dxa"/>
            <w:vAlign w:val="bottom"/>
            <w:vMerge w:val="continue"/>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1"/>
              </w:rPr>
              <w:t>Revenues by Geography</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4"/>
                <w:szCs w:val="14"/>
                <w:b w:val="1"/>
                <w:bCs w:val="1"/>
                <w:color w:val="auto"/>
                <w:w w:val="91"/>
              </w:rPr>
              <w:t>Nine Months ended September 30,</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6"/>
          </w:tcPr>
          <w:p>
            <w:pPr>
              <w:jc w:val="right"/>
              <w:ind w:right="8"/>
              <w:spacing w:after="0" w:line="155" w:lineRule="exact"/>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10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2"/>
              </w:rPr>
              <w:t>% of Revenues</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Amount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 of Revenues</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gridSpan w:val="6"/>
          </w:tcPr>
          <w:p>
            <w:pPr>
              <w:jc w:val="center"/>
              <w:ind w:right="360"/>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60" w:type="dxa"/>
            <w:vAlign w:val="bottom"/>
            <w:gridSpan w:val="3"/>
            <w:shd w:val="clear" w:color="auto" w:fill="CFF0FC"/>
          </w:tcPr>
          <w:p>
            <w:pPr>
              <w:jc w:val="right"/>
              <w:ind w:right="6"/>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36,388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98%</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28,017</w:t>
            </w:r>
          </w:p>
        </w:tc>
        <w:tc>
          <w:tcPr>
            <w:tcW w:w="220" w:type="dxa"/>
            <w:vAlign w:val="bottom"/>
            <w:shd w:val="clear" w:color="auto" w:fill="CFF0FC"/>
          </w:tcPr>
          <w:p>
            <w:pPr>
              <w:spacing w:after="0"/>
              <w:rPr>
                <w:sz w:val="19"/>
                <w:szCs w:val="19"/>
                <w:color w:val="auto"/>
              </w:rPr>
            </w:pPr>
          </w:p>
        </w:tc>
        <w:tc>
          <w:tcPr>
            <w:tcW w:w="1200" w:type="dxa"/>
            <w:vAlign w:val="bottom"/>
            <w:tcBorders>
              <w:lef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International</w:t>
            </w:r>
          </w:p>
        </w:tc>
        <w:tc>
          <w:tcPr>
            <w:tcW w:w="1460" w:type="dxa"/>
            <w:vAlign w:val="bottom"/>
            <w:gridSpan w:val="3"/>
          </w:tcPr>
          <w:p>
            <w:pPr>
              <w:jc w:val="right"/>
              <w:ind w:right="6"/>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revenues</w:t>
            </w:r>
          </w:p>
        </w:tc>
        <w:tc>
          <w:tcPr>
            <w:tcW w:w="1300" w:type="dxa"/>
            <w:vAlign w:val="bottom"/>
            <w:gridSpan w:val="2"/>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shd w:val="clear" w:color="auto" w:fill="CFF0FC"/>
          </w:tcPr>
          <w:p>
            <w:pPr>
              <w:spacing w:after="0"/>
              <w:rPr>
                <w:sz w:val="19"/>
                <w:szCs w:val="19"/>
                <w:color w:val="auto"/>
              </w:rPr>
            </w:pPr>
          </w:p>
        </w:tc>
        <w:tc>
          <w:tcPr>
            <w:tcW w:w="130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37,141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28,325</w:t>
            </w:r>
          </w:p>
        </w:tc>
        <w:tc>
          <w:tcPr>
            <w:tcW w:w="220" w:type="dxa"/>
            <w:vAlign w:val="bottom"/>
            <w:shd w:val="clear" w:color="auto" w:fill="CFF0FC"/>
          </w:tcPr>
          <w:p>
            <w:pPr>
              <w:spacing w:after="0"/>
              <w:rPr>
                <w:sz w:val="19"/>
                <w:szCs w:val="19"/>
                <w:color w:val="auto"/>
              </w:rPr>
            </w:pPr>
          </w:p>
        </w:tc>
        <w:tc>
          <w:tcPr>
            <w:tcW w:w="1200" w:type="dxa"/>
            <w:vAlign w:val="bottom"/>
            <w:tcBorders>
              <w:lef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CFF0FC"/>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92"/>
              </w:rPr>
              <w:t>U.S. Revenues by Product Category</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4"/>
                <w:szCs w:val="14"/>
                <w:b w:val="1"/>
                <w:bCs w:val="1"/>
                <w:color w:val="auto"/>
                <w:w w:val="91"/>
              </w:rPr>
              <w:t>Nine Months ended September 30,</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6"/>
          </w:tcPr>
          <w:p>
            <w:pPr>
              <w:jc w:val="right"/>
              <w:ind w:right="8"/>
              <w:spacing w:after="0" w:line="155" w:lineRule="exact"/>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10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2"/>
              </w:rPr>
              <w:t>% of Revenues</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Amount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 of Revenues</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gridSpan w:val="6"/>
          </w:tcPr>
          <w:p>
            <w:pPr>
              <w:jc w:val="center"/>
              <w:ind w:right="360"/>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NeuroStar Advanced Therapy System</w:t>
            </w:r>
          </w:p>
        </w:tc>
        <w:tc>
          <w:tcPr>
            <w:tcW w:w="1460" w:type="dxa"/>
            <w:vAlign w:val="bottom"/>
            <w:gridSpan w:val="3"/>
            <w:shd w:val="clear" w:color="auto" w:fill="CFF0FC"/>
          </w:tcPr>
          <w:p>
            <w:pPr>
              <w:jc w:val="right"/>
              <w:ind w:right="6"/>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9,849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6,660</w:t>
            </w:r>
          </w:p>
        </w:tc>
        <w:tc>
          <w:tcPr>
            <w:tcW w:w="220" w:type="dxa"/>
            <w:vAlign w:val="bottom"/>
            <w:shd w:val="clear" w:color="auto" w:fill="CFF0FC"/>
          </w:tcPr>
          <w:p>
            <w:pPr>
              <w:spacing w:after="0"/>
              <w:rPr>
                <w:sz w:val="19"/>
                <w:szCs w:val="19"/>
                <w:color w:val="auto"/>
              </w:rPr>
            </w:pPr>
          </w:p>
        </w:tc>
        <w:tc>
          <w:tcPr>
            <w:tcW w:w="1200" w:type="dxa"/>
            <w:vAlign w:val="bottom"/>
            <w:tcBorders>
              <w:lef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Treatment sessions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25,378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20,366</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1,161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w:t>
            </w:r>
          </w:p>
        </w:tc>
        <w:tc>
          <w:tcPr>
            <w:tcW w:w="220" w:type="dxa"/>
            <w:vAlign w:val="bottom"/>
            <w:shd w:val="clear" w:color="auto" w:fill="CFF0FC"/>
          </w:tcPr>
          <w:p>
            <w:pPr>
              <w:spacing w:after="0"/>
              <w:rPr>
                <w:sz w:val="19"/>
                <w:szCs w:val="19"/>
                <w:color w:val="auto"/>
              </w:rPr>
            </w:pPr>
          </w:p>
        </w:tc>
        <w:tc>
          <w:tcPr>
            <w:tcW w:w="1200" w:type="dxa"/>
            <w:vAlign w:val="bottom"/>
            <w:tcBorders>
              <w:lef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240"/>
              <w:spacing w:after="0"/>
              <w:rPr>
                <w:sz w:val="20"/>
                <w:szCs w:val="20"/>
                <w:color w:val="auto"/>
              </w:rPr>
            </w:pPr>
            <w:r>
              <w:rPr>
                <w:rFonts w:ascii="Arial" w:cs="Arial" w:eastAsia="Arial" w:hAnsi="Arial"/>
                <w:sz w:val="18"/>
                <w:szCs w:val="18"/>
                <w:color w:val="auto"/>
              </w:rPr>
              <w:t>Total U.S. revenues</w:t>
            </w:r>
          </w:p>
        </w:tc>
        <w:tc>
          <w:tcPr>
            <w:tcW w:w="1300" w:type="dxa"/>
            <w:vAlign w:val="bottom"/>
            <w:gridSpan w:val="2"/>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36,388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28,017</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Total revenues increased by $8.8 million, or 31%, from $28.3 million for the nine months ended September 30, 2017 to $37.1 million for the nine months ended September 30, 2018. Revenues in the United States increased by $8.4 million for the nine months ended September 30, 2018 compared to the nine months ended September 30, 2017 due to higher unit sales of both NeuroStar Advanced Therapy Systems and treatment sessions. International revenues increased for the nine months ended September 30, 2018 compared to the nine months ended September 30, 2017, primarily due to the recognition of deferred revenue related to the upfront and milestone payments received in the fourth quarter of 2017 and an initial order in 2018, both related to our distribution agreement with Teijin for Japan.</w:t>
      </w:r>
    </w:p>
    <w:p>
      <w:pPr>
        <w:spacing w:after="0" w:line="13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Revenues in the United States increased by $8.4 million, or 30%, from $28.0 million for the nine months ended September 30, 2017 to $36.4 million for nine months ended September 30, 2018. NeuroStar Advanced Therapy System revenues in the United States grew by $3.2 million, or 48%, in the nine months ended September 30, 2018 compared to the nine months ended September 30, 2017. The increase in U.S. NeuroStar revenue was driven by higher capital revenue growth of 67% due to higher unit sales and a 1% increase in average selling prices, partially offset by lower upgrade, rent-to-own, and other related revenue. Included in the U.S. NeuroStar Advanced Therapy System revenues for the nine months ended September 30, 2018 was a multi-unit order during the second quarter in the amount of $0.5 million. NeuroStar Advanced Therapy System revenues represented 27% and 24% of U.S. revenues for the nine months ended September 30, 2018 and 2017, respectively. We believe the growth in NeuroStar Advanced Therapy System revenues between these two periods was the result of the efforts of our expanded commercial organization and increased marketing efforts. As of September 30, 2018, we had an installed base of 858 active systems in the United States, compared to 725 as of September 30, 2017.</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3" w:name="page24"/>
    <w:bookmarkEnd w:id="23"/>
    <w:p>
      <w:pPr>
        <w:jc w:val="both"/>
        <w:ind w:right="100"/>
        <w:spacing w:after="0" w:line="257" w:lineRule="auto"/>
        <w:rPr>
          <w:sz w:val="20"/>
          <w:szCs w:val="20"/>
          <w:color w:val="auto"/>
        </w:rPr>
      </w:pPr>
      <w:r>
        <w:rPr>
          <w:rFonts w:ascii="Arial" w:cs="Arial" w:eastAsia="Arial" w:hAnsi="Arial"/>
          <w:sz w:val="18"/>
          <w:szCs w:val="18"/>
          <w:color w:val="auto"/>
        </w:rPr>
        <w:t>Treatment session revenues in the United States represented 70% and 73% of total revenues in the United States for the nine months ended September 30, 2018 and 2017, respectively, and increased by 25% from $20.4 million for the nine months ended September 30, 2017 to $25.4 million for the nine months ended September 30, 2018. The increase in United States treatment session revenues was primarily the result of an approximate 25% increase in the number of treatment sessions sold. This was offset by an approximate 5% decline in average selling price due to certain volume pricing discounts within our existing customer base, plus an increase in other treatment session revenue.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Margin</w:t>
      </w:r>
    </w:p>
    <w:p>
      <w:pPr>
        <w:spacing w:after="0" w:line="7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Cost of revenues increased by $2.1 million, or 31%, from $6.7 million for the nine months ended September 30, 2017 to $8.7 million for the nine months ended September 30, 2018. The increase was primarily due to increased costs associated with NeuroStar Advanced Therapy System sales volumes. Gross margin remained relatively flat from 76.4% for the nine months ended September 30, 2017 compared to 76.5% for the nine months ended September 30, 2018. The change in gross margin was due to the higher mix of NeuroStar Advanced Therapy System revenues in the nine months ended September 30, 2018 in relation to treatment session revenues and the reduction in the average selling price of our treatment sessions discussed above, which were offset by increased leveraged on our service and operations costs as a result of higher sales compared to the prior period.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9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Sales and marketing expenses increased by $8.3 million, or 43%, from $19.3 million for the nine months ended September 30, 2017 to $27.6 million for the nine months ended September 30, 2018. The increase was primarily due to increased personnel costs as a result of our sales and marketing expansion activities, as well as higher sales commissions and marketing expenses, consistent with our growth in revenues.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7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General and administrative expenses increased by $3.2 million, or 56%, from $5.7 million for the nine months ended September 30, 2017 compared to $9.0 million for the nine months ended September 30, 2018. The increase was primarily due to an increase in personnel and legal, accounting and other professional services expenses required to support the growth of our business and the infrastructure for public company reporting.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7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Research and development expenses remained flat for the nine months ended September 30, 2017 compared to the nine months ended September 30, 2018. A decline in spending on clinical studies was offset by expenses relating to the launch of the next generation of our NeuroStar Advanced Therapy System and TrakStar practice management system.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Interest expense increased $0.7 million, or 33%, from $2.1 million for the nine months ended September 30, 2017 to $2.7 million for the nine months ended September 30, 2018, primarily as a result of higher cash interest expenses related to the $10.0 million increase during 2017 in principal borrowings under our current credit facility, a coupon rate of interest on the total $30.0 million of principal borrowings outstanding that is currently approximately 1% higher versus the prior year period, and higher non-cash interest expenses accrued in connection with the final payment fees due to the lender under the agreement.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7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Other expense (income), net, which includes the change in the fair value of the liability related to our then-outstanding convertible preferred stock warrants, increased by $1.3 million, from $(0.3) million for the nine months ended September 30, 2017 to $1.0 million for the nine months ended September 30, 2018. The increase was driven by a non-cash charge of $1.4 million to revalue the convertible preferred stock warrant liability based on the closing stock price on June 29, 2018, following the pricing of our IPO on June 27, 2018. Upon the closing of our IPO on July 2, 2018, all of our outstanding convertible preferred stock warrants converted into common stock warrants, resulting in the reclassification of our convertible preferred stock warrant liability into additional paid-in capital. Other expense (income), net for the nine months ended September 30, 2018 also includes $0.4 million of interest income earned on the Company’s IPO proceeds during the third quarter of 2018 as well as a one-time $0.1 million non-utilization fee related to the Company’s election to not draw down the Term C Loan. The nine months ended September 30, 2017 included a net non-cash gain of $0.2 million to revalue our then-outstanding convertible preferred stock warrant liability as a result of the closing of our sale of Series G convertible preferred stock, as well as $0.05 million of interest income.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July 2, 2018, we closed our IPO, in which we issued and sold 6.325 million shares of our common stock, which included shares sold pursuant to an option granted to the underwriters to purchase additional shares, at a public offering price of $17.00 per share. We received net proceeds of $96.5 million after deducting underwriting discounts, commissions, and other offering expenses paid by us. Our common stock is listed on the Nasdaq Global Market under the trading symbol “STIM.”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24" w:name="page25"/>
    <w:bookmarkEnd w:id="24"/>
    <w:p>
      <w:pPr>
        <w:ind w:right="20"/>
        <w:spacing w:after="0" w:line="291" w:lineRule="auto"/>
        <w:rPr>
          <w:sz w:val="20"/>
          <w:szCs w:val="20"/>
          <w:color w:val="auto"/>
        </w:rPr>
      </w:pPr>
      <w:r>
        <w:rPr>
          <w:rFonts w:ascii="Arial" w:cs="Arial" w:eastAsia="Arial" w:hAnsi="Arial"/>
          <w:sz w:val="16"/>
          <w:szCs w:val="16"/>
          <w:color w:val="auto"/>
        </w:rPr>
        <w:t>As of September 30, 2018, we had cash and cash equivalents of $106.8 million and an accumulated deficit of $214.9 million, compared to cash and cash equivalents of $29.1 million and an accumulated deficit of $196.9 million as of December 31, 2017. We incurred negative cash flows from operating activities of $18.3 million and $11.4 million for the nine months ended September 30, 2018 and 2017, respectively. We have incurred operating losses since our inception, and we anticipate that our operating losses will continue in the near term as we seek to expand our sales and marketing initiatives to support our growth in existing and new markets, invest funds in additional research and development activities and utilize cash for other corporate purposes. Our primary sources of capital to date have been from our IPO, private placements of our convertible preferred securities, borrowings under our credit facilities and sales of our products. As of September 30, 2018, we had $30.0 million of borrowings outstanding under our credit facility, which matures in March 2022.</w:t>
      </w:r>
    </w:p>
    <w:p>
      <w:pPr>
        <w:spacing w:after="0" w:line="11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We expect our revenues and expenses to increase in connection with our on-going activities, particularly as we continue to execute on our growth strategy, including expansion of our sales and customer support teams. We also expect to incur additional costs now that we are a public company. Based on our current business plan, we believe that our cash and cash equivalents as of September 30, 2018 and anticipated revenues from sales of our products will be sufficient to meet our anticipated cash requirements for at least the next 24 months after September 30, 2018. However, if these sources are insufficient to satisfy our liquidity requirements, we may seek to sell additional common or preferred equity or debt securities, or enter into a new credit facility or another form of third-party funding or seek other debt financing. If we raise additional funds by issuing equity or equity-linked securities, our stockholders would experience dilution and any new equity securities could have rights, preferences and privileges superior to those of holders of our common stock. Debt financing, if available, may involve covenants restricting our operations or our ability to incur additional debt. We cannot be assured that additional equity, equity-linked or debt financing will be available on terms favorable to us or our stockholders, or at all. It is also possible that we may allocate significant amounts of capital towards products or technologies for which market demand is lower than expected and, as a result, abandon such efforts. If we are unable to obtain adequate financing when we require it, or if we obtain financing on terms which are not favorable to us, or if we expend capital on products or technologies that are unsuccessful, our ability to continue to support our business growth and to respond to business challenges could be significantly limited, or we may be required to delay the development, commercialization and marketing of our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current and future funding requirements will depend on many factors, including:</w:t>
      </w:r>
    </w:p>
    <w:p>
      <w:pPr>
        <w:spacing w:after="0" w:line="77"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achieve revenue growth and improve operating margins;</w:t>
      </w:r>
    </w:p>
    <w:p>
      <w:pPr>
        <w:spacing w:after="0" w:line="76"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expanding our operations and offerings, including our sales and marketing efforts;</w:t>
      </w:r>
    </w:p>
    <w:p>
      <w:pPr>
        <w:spacing w:after="0" w:line="76"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improve or maintain coverage and reimbursement arrangements with domestic third-party and government payors;</w:t>
      </w:r>
    </w:p>
    <w:p>
      <w:pPr>
        <w:spacing w:after="0" w:line="76"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rate of progress in establishing coverage and reimbursement arrangements from international commercial third-party and government payors, particularly in Japan;</w:t>
      </w:r>
    </w:p>
    <w:p>
      <w:pPr>
        <w:spacing w:after="0" w:line="21"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our products and maintaining or improving our sales to our current customers;</w:t>
      </w:r>
    </w:p>
    <w:p>
      <w:pPr>
        <w:spacing w:after="0" w:line="21"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research and development activities, including research and development relating to additional indications, which may include bipolar depression and PTSD;</w:t>
      </w:r>
    </w:p>
    <w:p>
      <w:pPr>
        <w:spacing w:after="0" w:line="21"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76"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76"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cost of and delays in product development as a result of any regulatory oversight applicable to our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our cash flows for the nine months ended September 30, 2018 and 2017:</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3"/>
              </w:rPr>
              <w:t>Nine Months ended September 30,</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(18,315)</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(11,412)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(650)</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8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96,578</w:t>
            </w:r>
          </w:p>
        </w:tc>
        <w:tc>
          <w:tcPr>
            <w:tcW w:w="2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18,840</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w w:val="96"/>
              </w:rPr>
              <w:t>Net Increase in Cash and Cash Equivalents</w:t>
            </w:r>
          </w:p>
        </w:tc>
        <w:tc>
          <w:tcPr>
            <w:tcW w:w="18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77,613</w:t>
            </w:r>
          </w:p>
        </w:tc>
        <w:tc>
          <w:tcPr>
            <w:tcW w:w="2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7,109</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20" w:type="dxa"/>
            <w:vAlign w:val="bottom"/>
            <w:vMerge w:val="restart"/>
          </w:tcPr>
          <w:p>
            <w:pPr>
              <w:jc w:val="right"/>
              <w:ind w:right="127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03" w:right="21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7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Net cash used in operating activities for the nine months ended September 30, 2018 was $18.3 million, consisting primarily of a net loss of $18.0 million and a decrease in net operating liabilities of $4.6 million, partially offset by non-cash charges of $4.2 million. The decrease in net operating liabilities was primarily due to a decrease in accrued expenses as a result of first quarter 2018 payments of 2017 incentive compensation and commissions accrued as of December 31, 2017, as well as an increase in accounts receivable as a result of higher sales volumes. Non-cash charges consisted of depreciation and amortization, non-cash interest expense, share-based compensation, the cost of rental units purchased by customers and the change in the fair value of the liability related to our then-outstanding convertible preferred stock warrants.</w:t>
      </w:r>
    </w:p>
    <w:p>
      <w:pPr>
        <w:spacing w:after="0" w:line="12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Net cash used in operating activities for the nine months ended September 30, 2017 was $11.4 million, consisting primarily of a net loss of $11.1 million and a decrease in net operating liabilities of $1.4 million, partially offset by non-cash charges of $1.2 million. The decrease in net operating liabilities was primarily due to a decrease in accounts payable due to timing of payments. Non-cash charges consisted of depreciation and amortization, non-cash interest expense, share-based compensation, the cost of rental units purchased by customers and the change in the fair value of the liability related to our then-outstanding convertible preferred stock warrants.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9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Net cash used in investing activities for the nine months ended September 30, 2018 was $0.7 million, compared to net cash used in investing activities for the nine months ended September 30, 2017 of $0.3 million, in each case attributable to purchases of property and equipment and capitalized software costs.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7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cash provided by financing activates for the nine months ended September 30, 2018 was $96.6 million, consisting primarily of $100.0 million of proceeds related to the closing of our IPO on July 2, 2018, partially offset by $3.5 million of payments of costs related to the IPO. Net cash provided by financing activities for the nine months ended September 30, 2017 was $18.8 million, consisting of $14.8 million of net proceeds from our issuance of Series G convertible preferred stock and $5.0 million of borrowings under our current credit facility, partially offset by payment of $1.0 million of deferred debt issuance costs incurred in connection with our March 2017 amendment to our credit facility.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Credit Facility</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In March 2017, we entered into a new loan and security agreement with Oxford Finance LLC, or Oxford, for a credit facility that replaced our previous</w:t>
      </w:r>
    </w:p>
    <w:p>
      <w:pPr>
        <w:spacing w:after="0" w:line="3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$25.0 million credit facility with Oxford and which allowed us to borrow up to $35.0 million in three tranches of term loans: a Term A Loan in the amount of $25.0 million, which was drawn down immediately upon closing in March 2017, a Term B Loan in the amount of $5.0 million, which was drawn down in December 2017, and a Term C Loan in the amount of $5.0 million, which became available to us upon the achievement of $45.0 million of trailing twelve month revenues during the second quarter of 2018. Upon achieving the required revenue milestone, we had 60 days to notify Oxford if we elected to borrow the Term C Loan. As a result of completing our IPO on July 2, 2018 and receiving the net proceeds therefrom, we elected not to borrow the additional $5.0 million, and it is no longer available to us. Each term loan accrues interest from the date of borrowing through the date of repayment at a floating per annum rate of interest, which resets monthly and is equal to the greater of (a) 8.15% or (b) the 30 day U.S. LIBOR on the last business day of the month plus 7.38%. At the date of each borrowing, we were required to issue to Oxford warrants to purchase our Series F or later series of convertible preferred stock with a seven year term and in an amount equal to 3.95% of the first $5.0 million of each tranche borrowed. The credit facility matures and all amounts borrowed thereunder are due on March 1, 2022. As of September 30, 2018, we had borrowed and had outstanding an aggregate of $30.0 million of principal under our credit facility.</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Term A Loan features an interest-only period through March 2019, during which time we are required to make monthly interest payments, after which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time we are required to make monthly payments of principal and interest based on a 36-month amortization schedule. However, upon the achievement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$45.0 million of revenues during fiscal 2018, the interest-only period can be extended for an additional 12 months through March 2020 and the amortization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then becomes 24 months. In connection with the drawdown of the Term A Loan, we issued to Oxford a warrant to purchase shares of our Series 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convertible preferred stock. Immediately prior to the closing of our IPO on July 2, 2018, this convertible preferred stock warrant converted into a warrant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purchase 20,303 shares of our common stock at an exercise price of $9.73 per share. The warrant will expire in March 2024.</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 Term B Loan features an interest-only period through March 2019, during which time we are required to make monthly interest payments, after which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time we are required to make monthly payments of principal and interest based on a 36-month amortization schedule. However, upon the achievement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$45.0 million of revenues during fiscal 2018, the interest-only period can be extended for an additional 12 months through March 2020 and the amortization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then becomes 24 months. In connection with the drawdown of the Term B Loan, we issued to Oxford a warrant to purchase shares of our Series 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convertible preferred stock. Immediately prior to the closing of our IPO on July 2, 2018, this convertible preferred stock warrant converted into a warrant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purchase 20,303 shares of our common stock at an exercise price of $9.73 per share. The warrant will expire in December 2024.</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ind w:right="20"/>
        <w:spacing w:after="0" w:line="271" w:lineRule="auto"/>
        <w:rPr>
          <w:sz w:val="20"/>
          <w:szCs w:val="20"/>
          <w:color w:val="auto"/>
        </w:rPr>
      </w:pPr>
      <w:r>
        <w:rPr>
          <w:rFonts w:ascii="Arial" w:cs="Arial" w:eastAsia="Arial" w:hAnsi="Arial"/>
          <w:sz w:val="17"/>
          <w:szCs w:val="17"/>
          <w:color w:val="auto"/>
        </w:rPr>
        <w:t>In addition to principal and interest payments due under the credit facility, we are required to make final payment fees to Oxford due upon the earlier of prepayment or maturity of each tranche, which are equal to 8% and 7% of the principal amounts of the Term A and Term B Loans, respectively, except that if the interest-only periods on the Term A and Term B Loans are extended then the final payment fees increase to 8.5% and 7.5% of the principal amounts of the Term A and Term B Loans, respectively. We accrue the estimated final payment fees using the effective interest rate, with a charge to non-cash interest expense, over the term of borrowing for each tranche. As of both September 30, 2018 and December 31, 2017, the effective interest rates for the Term A and Term B Loans were 10.7% and 11.6%, respectively. If we prepay our term loans prior to their respective scheduled maturities, we will also be required to make prepayment fees to Oxford equal to 3% if prepaid on or before the first anniversary of funding, 2% if prepaid after the first and on or before the second anniversary of funding, or 1% if prepaid after the second anniversary of funding of the principal amounts borrowed.</w:t>
      </w:r>
    </w:p>
    <w:p>
      <w:pPr>
        <w:spacing w:after="0" w:line="1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obligations under the credit facility are secured by a first priority security interest in substantially all of our assets, other than our intellectual property. We have agreed not to pledge or otherwise encumber any of our intellectual property. The loan and security agreement related to our credit facility includes a financial maintenance covenant that requires us to achieve at least 75% of our trailing 12-month forecasted revenues, as measured each month in accordance with a forecast that we provided to Oxford upon signing the agreement and future forecasts that we are required to deliver to Oxford each year for the life of the credit facility, as well as customary affirmative and negative covenants. We were in compliance with all of the covenants under our credit facility as of September 30, 2018.</w:t>
      </w:r>
    </w:p>
    <w:p>
      <w:pPr>
        <w:spacing w:after="0" w:line="139" w:lineRule="exact"/>
        <w:rPr>
          <w:sz w:val="20"/>
          <w:szCs w:val="20"/>
          <w:color w:val="auto"/>
        </w:rPr>
      </w:pPr>
    </w:p>
    <w:p>
      <w:pPr>
        <w:jc w:val="both"/>
        <w:ind w:right="280"/>
        <w:spacing w:after="0" w:line="288" w:lineRule="auto"/>
        <w:rPr>
          <w:sz w:val="20"/>
          <w:szCs w:val="20"/>
          <w:color w:val="auto"/>
        </w:rPr>
      </w:pPr>
      <w:r>
        <w:rPr>
          <w:rFonts w:ascii="Arial" w:cs="Arial" w:eastAsia="Arial" w:hAnsi="Arial"/>
          <w:sz w:val="16"/>
          <w:szCs w:val="16"/>
          <w:color w:val="auto"/>
        </w:rPr>
        <w:t>The loan and security agreement related to our credit facility contains events of default, including, without limitation, events of default upon: (i) failure to make payment pursuant to the terms of the agreement; (ii) violation of covenants; (iii) material adverse changes to our business; (iv) attachment or levy on our assets or judicial restraint on our business; (v) insolvency; (vi) significant judgments, orders or decrees for payments by us not covered by insurance;</w:t>
      </w:r>
    </w:p>
    <w:p>
      <w:pPr>
        <w:ind w:right="380" w:firstLine="8"/>
        <w:spacing w:after="0" w:line="290" w:lineRule="auto"/>
        <w:tabs>
          <w:tab w:leader="none" w:pos="3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incorrectness of representations and warranties; (viii) incurrence of subordinated debt; (ix) revocation of governmental approvals necessary for us to conduct our business; and (x) failure by us to maintain a valid and perfected lien on the collateral securing the borrowing.</w:t>
      </w:r>
    </w:p>
    <w:p>
      <w:pPr>
        <w:spacing w:after="0" w:line="1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Based on a 36-month amortization of the outstanding principal amounts of the Term A and Term B Loans beginning on April 1, 2019 as discussed above, the following table sets forth by year our required future principal payments (in thousands):</w:t>
      </w:r>
    </w:p>
    <w:p>
      <w:pPr>
        <w:spacing w:after="0" w:line="15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71"/>
        </w:trPr>
        <w:tc>
          <w:tcPr>
            <w:tcW w:w="55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23"/>
        </w:trPr>
        <w:tc>
          <w:tcPr>
            <w:tcW w:w="5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ind w:left="240"/>
              <w:spacing w:after="0"/>
              <w:rPr>
                <w:sz w:val="20"/>
                <w:szCs w:val="20"/>
                <w:color w:val="auto"/>
              </w:rPr>
            </w:pPr>
            <w:r>
              <w:rPr>
                <w:rFonts w:ascii="Arial" w:cs="Arial" w:eastAsia="Arial" w:hAnsi="Arial"/>
                <w:sz w:val="18"/>
                <w:szCs w:val="18"/>
                <w:color w:val="auto"/>
              </w:rPr>
              <w:t>Total principal payments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currently anticipate that we will extend the interest-only periods on the Term A and Term B Loans upon achieving $45.0 million of revenues during fiscal 2018, which is currently expected to occur in the fourth quarter of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Non-Cash Interest Expense</w:t>
      </w:r>
    </w:p>
    <w:p>
      <w:pPr>
        <w:spacing w:after="0" w:line="7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the three months ended September 30, 2018, we recognized interest expense of $0.9 million, of which $0.7 million was cash and $0.2 million was non-cash interest expense related to the amortization of deferred financing costs and accrual of final payment fees. For the three months ended September 30, 2017, we recognized interest expense of $0.8 million, of which $0.5 million was cash and $0.3 million was non-cash interest expense related to the amortization of deferred financing costs and accrual of final payment fees.</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nine months ended September 30, 2018, we recognized interest expense of $2.7 million, of which $2.1 million was cash and $0.6 million was non-cash interest expense related to the amortization of deferred financing costs and accrual of final payment fees. For the nine months ended September 30, 2017, we recognized interest expense of $2.1 million, of which $1.6 million was cash and $0.5 million was non-cash interest expense related to the amortization of deferred financing costs and accrual of final payment fees.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Previous $25.0 Million Credit Facility</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Prior to March 2017, we had a $25.0 million credit facility in place with Oxford, which we entered into in February 2014 and which allowed us to borrow up to $25.0 million in three tranches of term loans: a Term A Loan in the amount of $15.0 million, a Term B Loan in the amount of $5.0 million, and a Term C Loan in the amount of $5.0 million, which was never drawn down. Each term loan accrued interest at per annum rates ranging from 8.5% to 8.9%. This facility featured an interest-only period on all tranches through March 2017, and we were also required to issue convertible preferred stock warrants to Oxford at the time of borrowing of each tranche. These convertible preferred stock warrants converted into common stock warrants immediately prior to the closing of our IPO on July 2, 2018.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7" w:name="page28"/>
    <w:bookmarkEnd w:id="27"/>
    <w:p>
      <w:pPr>
        <w:ind w:right="60"/>
        <w:spacing w:after="0" w:line="264" w:lineRule="auto"/>
        <w:rPr>
          <w:sz w:val="20"/>
          <w:szCs w:val="20"/>
          <w:color w:val="auto"/>
        </w:rPr>
      </w:pPr>
      <w:r>
        <w:rPr>
          <w:rFonts w:ascii="Arial" w:cs="Arial" w:eastAsia="Arial" w:hAnsi="Arial"/>
          <w:sz w:val="18"/>
          <w:szCs w:val="18"/>
          <w:color w:val="auto"/>
        </w:rPr>
        <w:t>We accrued final payment fees using the effective interest rate, with a charge to non-cash interest expense, over the term of borrowing and until our entry into our current credit facility in March 2017, at which time we paid Oxford $1.0 million in satisfaction of all final payment fee liabilities due under the prior credit facility.</w:t>
      </w:r>
    </w:p>
    <w:p>
      <w:pPr>
        <w:spacing w:after="0" w:line="12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evaluated whether our current credit facility entered into in March 2017 represented a debt modification or extinguishment in accordance with ASC 470-50, Debt—Modifications and Extinguishments. Upon determining that the change in cash flows between the previous and current credit facilities was not greater than 10%, we accounted for the transaction as a debt modification. As of March 2017, the unamortized balance of deferred financing costs incurred in connection with the $25.0 million credit facility, and certain additional deferred financing costs incurred in connection with entry into our current credit facility, are being amortized to interest expense through March 2022 utilizing the effective interest method.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do not maintain any off-balance sheet arrangements, partnerships or other relationships with unconsolidated entities, often referred to as structured finance or special-purpose entities, which are established for the purpose of facilitating off-balance sheet arrangements or other contractually narrow or limited purposes.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9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As of September 30, 2018, there were no significant changes to our commitments and future minimum contractual obligations as set forth in our IPO prospectus filed with the SEC on June 29,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8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JOBS Act, and are eligible to take advantage of certain exemptions from various reporting requirements that are applicable to other public companies that are not emerging growth companies. Section 107 of the JOBS Act provides that an emerging growth company can take advantage of the extended transition period provided in Section 7(a)(2)(B) of the Securities Act of 1933, or Securities Act, for complying with new or revised accounting standards issued subsequent to the enactment of the JOBS Act until such time as those standards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Section 107 of the JOBS Act provides that we can elect to opt out of the extended transition period at any time, which election is irrevocable.</w:t>
      </w:r>
    </w:p>
    <w:p>
      <w:pPr>
        <w:spacing w:after="0" w:line="13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are in the process of evaluating the benefits of relying on other exemptions and reduced reporting requirements under the JOBS Act. Subject to certain conditions, as an emerging growth company, we may rely on certain of these exemptions, including without limitation (i) providing an auditor’s attestation report on our system of internal controls over financial reporting pursuant to Section 404(b) of the Sarbanes-Oxley Act and (ii) 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 We will remain an emerging growth company until the earlier of (a) the last day of the fiscal year in which we have total annual gross revenue of $1.07 billion or more; (b) the last day of the fiscal year following the fifth anniversary of the date of the completion of this offering; (c) the date on which we have issued more than</w:t>
      </w:r>
    </w:p>
    <w:p>
      <w:pPr>
        <w:spacing w:after="0" w:line="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$1.0 billion in nonconvertible debt during the previous six years; or (d) the date on which we are deemed to be a large accelerated filer under the rules of the SEC.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refer you to “Note 4. Recent Accounting Pronouncements” in “Notes to Interim Financial Statements” located in “Part I – FINANCIAL INFORMATION, Item 1. Financial Statements” in this Quarterly Report on Form 10-Q for information regarding recently issued accounting pronouncements.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8" w:name="page29"/>
    <w:bookmarkEnd w:id="28"/>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Our cash is held on deposit in demand accounts at a large financial institution in amounts in excess of the Federal Deposit Insurance Corporation, or FDIC, insurance coverage limit of $250,000 per depositor, per FDIC-insured bank, per ownership category. We have reviewed the financial statements of this institution and believe it has sufficient assets and liquidity to conduct its operations in the ordinary course of business with little or no credit risk to us.</w:t>
      </w:r>
    </w:p>
    <w:p>
      <w:pPr>
        <w:spacing w:after="0" w:line="9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Financial instruments that potentially subject us to concentrations of credit risk principally consist of cash equivalents and accounts receivable. We limit our credit risk associated with cash equivalents by placing investments in highly-rated money market funds. We limit our credit risk with respect to accounts receivable by performing credit evaluations when deemed necessary, but we do not require collateral to secure amounts owed to us by our customers.</w:t>
      </w:r>
    </w:p>
    <w:p>
      <w:pPr>
        <w:spacing w:after="0" w:line="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discussed above in the “Management’s Discussion and Analysis of Financial Condition and Results of Operations – Liquidity and Capital Resources - Indebtedness” section of this Quarterly Report on Form 10-Q, our credit facility bears interest at a floating per annum rate of interest, which resets monthly and is equal to the greater of (a) 8.15% or (b) the 30 day U.S. LIBOR on the last business day of the month plus 7.38%. As a result, we are exposed to risks from changes in interest rates. We believe that a one point increase in interest rates would have resulted in an approximate $0.2 million increase to our interest expense for the year ended December 31, 2017.</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Inflationary factors, such as increases in our cost of revenues and operating expenses, may adversely affect our operating results. Although we do not believe inflation has had a material impact on our financial condition, results of operations or cash flows to date, a high rate of inflation in the future may have an adverse effect on our ability to maintain and increase our gross margin or decrease our operating expenses as a percentage of our revenues if our selling prices of our products do not increase as much or more than our costs increase.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We do not currently have any exposure to foreign currency fluctuations and do not engage in any hedging activities as part of our normal course of business.</w:t>
      </w:r>
    </w:p>
    <w:p>
      <w:pPr>
        <w:spacing w:after="0" w:line="19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8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term “disclosure controls and procedures,” as defined in Rules 13a-15(e) and 15d-15(e) of the Securities Exchange Act of 1934, as amended, or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 As required by Rules 13a-15(b) and 15d-15(b) of the Exchange Act, our management, with the participation of our Chief Executive Officer and Chief Financial Officer, evaluated the effectiveness of our disclosure controls and procedures as of the end of the period covered by this Quarterly Report on Form 10-Q. Based on that evaluation, our Chief Executive Officer and our Chief Financial Officer concluded that our disclosure controls and procedures were effective at the reasonable assurance level as of September 30, 2018.</w:t>
      </w:r>
    </w:p>
    <w:p>
      <w:pPr>
        <w:spacing w:after="0" w:line="12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a result of becoming a public company, we will be required, under Section 404 of the Sarbanes-Oxley Act, to furnish a report by management on, among other things, the effectiveness of our internal control over financial reporting beginning with our Annual Report on Form 10-K for the year ended December 31, 2019. This assessment will need to include disclosure of any material weaknesses identified by our management in our internal control over financial reporting. The SEC defines a material weakness as a deficiency, or combination of deficiencies, in internal control over financial reporting such that there is a reasonable possibility that a material misstatement of a company’s annual or interim financial statements will not be detected or prevented on a timely basis.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Inherent Limitations on Effectiveness of Controls and Procedures</w:t>
      </w:r>
    </w:p>
    <w:p>
      <w:pPr>
        <w:spacing w:after="0" w:line="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Internal control over financial reporting may not prevent or detect all errors and all fraud. A control system, no matter how well conceived and operated, can provide only reasonable, not absolute, assurance that the objectives of the control system are achieved. Further, the design of a control system must be balanced against resource constraints, and therefore the benefits of controls must be considered relative to their costs. Given the inherent limitations in all systems of controls, no evaluation of controls can provide absolute assurance all control issues and instances of fraud, if any, within a company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Accordingly, given the inherent limitations in a cost-effective system of internal control, financial statement misstatements due to error or fraud may occur and may not be detected. Our disclosure controls and procedures are designed to provide reasonable, not absolute, assurance of achieving their objectives. We conduct periodic evaluations of our systems of controls to enhance, where necessary, our control policies and procedures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During the quarter ended September 30, 2018, there were no changes in our internal control over financial reporting (as defined in Rule 13a-15(f) of the Exchange Act) which materially affected, or are reasonably likely to materially affect, our internal control over financial reporting.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30" w:name="page31"/>
    <w:bookmarkEnd w:id="30"/>
    <w:p>
      <w:pPr>
        <w:jc w:val="center"/>
        <w:ind w:right="-7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are subject from time to time to various claims and legal actions arising during the ordinary course of our business. We believe that there are currently no claims or legal actions that would reasonably be expected to have a material adverse effect on our results of operations, financial condition, or cash flows.</w:t>
      </w:r>
    </w:p>
    <w:p>
      <w:pPr>
        <w:spacing w:after="0" w:line="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 should carefully consider the information described in the “Risk Factors” section of our IPO prospectus filed with the SEC on June 29, 2018. There have been no material changes to the risk factors described therein.</w:t>
      </w:r>
    </w:p>
    <w:p>
      <w:pPr>
        <w:spacing w:after="0" w:line="1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Issuances of Unregistered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Proceeds from IPO</w:t>
      </w:r>
    </w:p>
    <w:p>
      <w:pPr>
        <w:spacing w:after="0" w:line="7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IPO was effected pursuant to a Registration Statement on Form S-1 (File No. 333-225307) that was declared effective by the SEC on June 27, 2018. On June 27, 2018, we sold 6.325 million shares of our common stock at a public offering price of $17.00 per share, for aggregate gross proceeds of $107.5 million.</w:t>
      </w:r>
    </w:p>
    <w:p>
      <w:pPr>
        <w:spacing w:after="0" w:line="12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July 2, 2018, we received net proceeds from our IPO of $96.5 million after deducting underwriting discounts, commissions, and other offering expenses paid by us. The funds shall are being in a manner consistent with the use of proceeds from the IPO as described in our IPO prospectus under the caption “Use of Proceeds,” which has not materially changed since the filing of our IPO prospectus with the SEC on June 29, 2018.</w:t>
      </w:r>
    </w:p>
    <w:p>
      <w:pPr>
        <w:spacing w:after="0" w:line="1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1" w:name="page32"/>
    <w:bookmarkEnd w:id="31"/>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is a list of exhibits filed as part of this Quarterly Report on Form 10-Q. Where so indicated, exhibits that were previously filed are incorporated by reference. For exhibits incorporated by reference, the location of the exhibit in the previous filing is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720" w:type="dxa"/>
            <w:vAlign w:val="bottom"/>
            <w:gridSpan w:val="5"/>
            <w:vMerge w:val="restart"/>
          </w:tcPr>
          <w:p>
            <w:pPr>
              <w:ind w:left="2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w:t>
            </w:r>
          </w:p>
        </w:tc>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7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10.10*</w:t>
            </w:r>
          </w:p>
        </w:tc>
        <w:tc>
          <w:tcPr>
            <w:tcW w:w="220" w:type="dxa"/>
            <w:vAlign w:val="bottom"/>
          </w:tcPr>
          <w:p>
            <w:pPr>
              <w:spacing w:after="0"/>
              <w:rPr>
                <w:sz w:val="15"/>
                <w:szCs w:val="15"/>
                <w:color w:val="auto"/>
              </w:rPr>
            </w:pPr>
          </w:p>
        </w:tc>
        <w:tc>
          <w:tcPr>
            <w:tcW w:w="1980" w:type="dxa"/>
            <w:vAlign w:val="bottom"/>
            <w:tcBorders>
              <w:top w:val="single" w:sz="8" w:color="auto"/>
              <w:bottom w:val="single" w:sz="8" w:color="0000EE"/>
            </w:tcBorders>
            <w:gridSpan w:val="2"/>
          </w:tcPr>
          <w:p>
            <w:pPr>
              <w:spacing w:after="0" w:line="182"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2018 Equity Incentive Plan</w:t>
              </w:r>
            </w:hyperlink>
          </w:p>
        </w:tc>
        <w:tc>
          <w:tcPr>
            <w:tcW w:w="8400" w:type="dxa"/>
            <w:vAlign w:val="bottom"/>
            <w:tcBorders>
              <w:top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20" w:type="dxa"/>
            <w:vAlign w:val="bottom"/>
            <w:gridSpan w:val="2"/>
          </w:tcPr>
          <w:p>
            <w:pPr>
              <w:ind w:left="100"/>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18"/>
                <w:szCs w:val="18"/>
                <w:color w:val="auto"/>
              </w:rPr>
            </w:pPr>
          </w:p>
        </w:tc>
        <w:tc>
          <w:tcPr>
            <w:tcW w:w="26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2018 Employee Stock Purchase Plan</w:t>
              </w:r>
            </w:hyperlink>
          </w:p>
        </w:tc>
        <w:tc>
          <w:tcPr>
            <w:tcW w:w="77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8"/>
                <w:szCs w:val="18"/>
                <w:color w:val="auto"/>
              </w:rPr>
            </w:pPr>
          </w:p>
        </w:tc>
        <w:tc>
          <w:tcPr>
            <w:tcW w:w="10380" w:type="dxa"/>
            <w:vAlign w:val="bottom"/>
            <w:gridSpan w:val="8"/>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210"/>
        </w:trPr>
        <w:tc>
          <w:tcPr>
            <w:tcW w:w="82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8"/>
                <w:szCs w:val="18"/>
                <w:color w:val="auto"/>
              </w:rPr>
            </w:pPr>
          </w:p>
        </w:tc>
        <w:tc>
          <w:tcPr>
            <w:tcW w:w="72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58">
              <w:r>
                <w:rPr>
                  <w:rFonts w:ascii="Arial" w:cs="Arial" w:eastAsia="Arial" w:hAnsi="Arial"/>
                  <w:sz w:val="18"/>
                  <w:szCs w:val="18"/>
                  <w:color w:val="0000EE"/>
                  <w:w w:val="92"/>
                </w:rPr>
                <w:t>Certification of Chief Financial Officer Pursuant to Section 302 of the Sarbanes-Oxley Act of 2002.</w:t>
              </w:r>
            </w:hyperlink>
          </w:p>
        </w:tc>
        <w:tc>
          <w:tcPr>
            <w:tcW w:w="40" w:type="dxa"/>
            <w:vAlign w:val="bottom"/>
            <w:tcBorders>
              <w:top w:val="single" w:sz="8" w:color="0000EE"/>
            </w:tcBorders>
          </w:tcPr>
          <w:p>
            <w:pPr>
              <w:spacing w:after="0"/>
              <w:rPr>
                <w:sz w:val="18"/>
                <w:szCs w:val="18"/>
                <w:color w:val="auto"/>
              </w:rPr>
            </w:pPr>
          </w:p>
        </w:tc>
        <w:tc>
          <w:tcPr>
            <w:tcW w:w="31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8"/>
                <w:szCs w:val="18"/>
                <w:color w:val="auto"/>
              </w:rPr>
            </w:pPr>
          </w:p>
        </w:tc>
        <w:tc>
          <w:tcPr>
            <w:tcW w:w="10380" w:type="dxa"/>
            <w:vAlign w:val="bottom"/>
            <w:gridSpan w:val="8"/>
          </w:tcPr>
          <w:p>
            <w:pPr>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Certification of Chief Executive Officer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2002.</w:t>
              </w:r>
            </w:hyperlink>
          </w:p>
        </w:tc>
        <w:tc>
          <w:tcPr>
            <w:tcW w:w="15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4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0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18"/>
                <w:szCs w:val="18"/>
                <w:color w:val="auto"/>
              </w:rPr>
            </w:pPr>
          </w:p>
        </w:tc>
        <w:tc>
          <w:tcPr>
            <w:tcW w:w="10380" w:type="dxa"/>
            <w:vAlign w:val="bottom"/>
            <w:gridSpan w:val="8"/>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Certification of Chief Financial Officer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2002.</w:t>
              </w:r>
            </w:hyperlink>
          </w:p>
        </w:tc>
        <w:tc>
          <w:tcPr>
            <w:tcW w:w="15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4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0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0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38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30"/>
        </w:trPr>
        <w:tc>
          <w:tcPr>
            <w:tcW w:w="10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38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10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38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10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38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30"/>
        </w:trPr>
        <w:tc>
          <w:tcPr>
            <w:tcW w:w="10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38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0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38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9690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82"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380" w:right="60" w:hanging="372"/>
        <w:spacing w:after="0" w:line="279" w:lineRule="auto"/>
        <w:tabs>
          <w:tab w:leader="none" w:pos="3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00" w:type="dxa"/>
            <w:vAlign w:val="bottom"/>
          </w:tcPr>
          <w:p>
            <w:pPr>
              <w:spacing w:after="0"/>
              <w:rPr>
                <w:sz w:val="19"/>
                <w:szCs w:val="19"/>
                <w:color w:val="auto"/>
              </w:rPr>
            </w:pPr>
          </w:p>
        </w:tc>
        <w:tc>
          <w:tcPr>
            <w:tcW w:w="7720" w:type="dxa"/>
            <w:vAlign w:val="bottom"/>
            <w:gridSpan w:val="2"/>
          </w:tcPr>
          <w:p>
            <w:pPr>
              <w:ind w:left="2660"/>
              <w:spacing w:after="0"/>
              <w:rPr>
                <w:sz w:val="20"/>
                <w:szCs w:val="20"/>
                <w:color w:val="auto"/>
              </w:rPr>
            </w:pPr>
            <w:r>
              <w:rPr>
                <w:rFonts w:ascii="Arial" w:cs="Arial" w:eastAsia="Arial" w:hAnsi="Arial"/>
                <w:sz w:val="18"/>
                <w:szCs w:val="18"/>
                <w:b w:val="1"/>
                <w:bCs w:val="1"/>
                <w:color w:val="auto"/>
              </w:rPr>
              <w:t>NEURONETICS, INC.</w:t>
            </w:r>
          </w:p>
        </w:tc>
      </w:tr>
      <w:tr>
        <w:trPr>
          <w:trHeight w:val="230"/>
        </w:trPr>
        <w:tc>
          <w:tcPr>
            <w:tcW w:w="3700" w:type="dxa"/>
            <w:vAlign w:val="bottom"/>
          </w:tcPr>
          <w:p>
            <w:pPr>
              <w:spacing w:after="0"/>
              <w:rPr>
                <w:sz w:val="20"/>
                <w:szCs w:val="20"/>
                <w:color w:val="auto"/>
              </w:rPr>
            </w:pPr>
          </w:p>
        </w:tc>
        <w:tc>
          <w:tcPr>
            <w:tcW w:w="3540" w:type="dxa"/>
            <w:vAlign w:val="bottom"/>
          </w:tcPr>
          <w:p>
            <w:pPr>
              <w:ind w:left="2660"/>
              <w:spacing w:after="0"/>
              <w:rPr>
                <w:sz w:val="20"/>
                <w:szCs w:val="20"/>
                <w:color w:val="auto"/>
              </w:rPr>
            </w:pPr>
            <w:r>
              <w:rPr>
                <w:rFonts w:ascii="Arial" w:cs="Arial" w:eastAsia="Arial" w:hAnsi="Arial"/>
                <w:sz w:val="18"/>
                <w:szCs w:val="18"/>
                <w:color w:val="auto"/>
                <w:w w:val="91"/>
              </w:rPr>
              <w:t>(Registrant)</w:t>
            </w:r>
          </w:p>
        </w:tc>
        <w:tc>
          <w:tcPr>
            <w:tcW w:w="4180" w:type="dxa"/>
            <w:vAlign w:val="bottom"/>
          </w:tcPr>
          <w:p>
            <w:pPr>
              <w:spacing w:after="0"/>
              <w:rPr>
                <w:sz w:val="20"/>
                <w:szCs w:val="20"/>
                <w:color w:val="auto"/>
              </w:rPr>
            </w:pP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6, 2018</w:t>
            </w:r>
          </w:p>
        </w:tc>
        <w:tc>
          <w:tcPr>
            <w:tcW w:w="3540" w:type="dxa"/>
            <w:vAlign w:val="bottom"/>
          </w:tcPr>
          <w:p>
            <w:pPr>
              <w:ind w:left="2660"/>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Thatcher</w:t>
            </w:r>
          </w:p>
        </w:tc>
      </w:tr>
      <w:tr>
        <w:trPr>
          <w:trHeight w:val="195"/>
        </w:trPr>
        <w:tc>
          <w:tcPr>
            <w:tcW w:w="3700" w:type="dxa"/>
            <w:vAlign w:val="bottom"/>
          </w:tcPr>
          <w:p>
            <w:pPr>
              <w:spacing w:after="0"/>
              <w:rPr>
                <w:sz w:val="16"/>
                <w:szCs w:val="16"/>
                <w:color w:val="auto"/>
              </w:rPr>
            </w:pPr>
          </w:p>
        </w:tc>
        <w:tc>
          <w:tcPr>
            <w:tcW w:w="3540" w:type="dxa"/>
            <w:vAlign w:val="bottom"/>
          </w:tcPr>
          <w:p>
            <w:pPr>
              <w:ind w:left="2660"/>
              <w:spacing w:after="0" w:line="195" w:lineRule="exact"/>
              <w:rPr>
                <w:sz w:val="20"/>
                <w:szCs w:val="20"/>
                <w:color w:val="auto"/>
              </w:rPr>
            </w:pPr>
            <w:r>
              <w:rPr>
                <w:rFonts w:ascii="Arial" w:cs="Arial" w:eastAsia="Arial" w:hAnsi="Arial"/>
                <w:sz w:val="18"/>
                <w:szCs w:val="18"/>
                <w:color w:val="auto"/>
              </w:rPr>
              <w:t>Name:</w:t>
            </w:r>
          </w:p>
        </w:tc>
        <w:tc>
          <w:tcPr>
            <w:tcW w:w="4180" w:type="dxa"/>
            <w:vAlign w:val="bottom"/>
          </w:tcPr>
          <w:p>
            <w:pPr>
              <w:spacing w:after="0" w:line="195" w:lineRule="exact"/>
              <w:rPr>
                <w:sz w:val="20"/>
                <w:szCs w:val="20"/>
                <w:color w:val="auto"/>
              </w:rPr>
            </w:pPr>
            <w:r>
              <w:rPr>
                <w:rFonts w:ascii="Arial" w:cs="Arial" w:eastAsia="Arial" w:hAnsi="Arial"/>
                <w:sz w:val="18"/>
                <w:szCs w:val="18"/>
                <w:color w:val="auto"/>
              </w:rPr>
              <w:t>Christopher Thatcher</w:t>
            </w:r>
          </w:p>
        </w:tc>
      </w:tr>
      <w:tr>
        <w:trPr>
          <w:trHeight w:val="216"/>
        </w:trPr>
        <w:tc>
          <w:tcPr>
            <w:tcW w:w="3700" w:type="dxa"/>
            <w:vAlign w:val="bottom"/>
          </w:tcPr>
          <w:p>
            <w:pPr>
              <w:spacing w:after="0"/>
              <w:rPr>
                <w:sz w:val="18"/>
                <w:szCs w:val="18"/>
                <w:color w:val="auto"/>
              </w:rPr>
            </w:pPr>
          </w:p>
        </w:tc>
        <w:tc>
          <w:tcPr>
            <w:tcW w:w="3540" w:type="dxa"/>
            <w:vAlign w:val="bottom"/>
          </w:tcPr>
          <w:p>
            <w:pPr>
              <w:ind w:left="2660"/>
              <w:spacing w:after="0"/>
              <w:rPr>
                <w:sz w:val="20"/>
                <w:szCs w:val="20"/>
                <w:color w:val="auto"/>
              </w:rPr>
            </w:pPr>
            <w:r>
              <w:rPr>
                <w:rFonts w:ascii="Arial" w:cs="Arial" w:eastAsia="Arial" w:hAnsi="Arial"/>
                <w:sz w:val="18"/>
                <w:szCs w:val="18"/>
                <w:color w:val="auto"/>
              </w:rPr>
              <w:t>Title:</w:t>
            </w:r>
          </w:p>
        </w:tc>
        <w:tc>
          <w:tcPr>
            <w:tcW w:w="41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7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6, 2018</w:t>
            </w:r>
          </w:p>
        </w:tc>
        <w:tc>
          <w:tcPr>
            <w:tcW w:w="3540" w:type="dxa"/>
            <w:vAlign w:val="bottom"/>
          </w:tcPr>
          <w:p>
            <w:pPr>
              <w:ind w:left="2660"/>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Donato</w:t>
            </w:r>
          </w:p>
        </w:tc>
      </w:tr>
      <w:tr>
        <w:trPr>
          <w:trHeight w:val="195"/>
        </w:trPr>
        <w:tc>
          <w:tcPr>
            <w:tcW w:w="3700" w:type="dxa"/>
            <w:vAlign w:val="bottom"/>
          </w:tcPr>
          <w:p>
            <w:pPr>
              <w:spacing w:after="0"/>
              <w:rPr>
                <w:sz w:val="16"/>
                <w:szCs w:val="16"/>
                <w:color w:val="auto"/>
              </w:rPr>
            </w:pPr>
          </w:p>
        </w:tc>
        <w:tc>
          <w:tcPr>
            <w:tcW w:w="3540" w:type="dxa"/>
            <w:vAlign w:val="bottom"/>
          </w:tcPr>
          <w:p>
            <w:pPr>
              <w:ind w:left="2660"/>
              <w:spacing w:after="0" w:line="195" w:lineRule="exact"/>
              <w:rPr>
                <w:sz w:val="20"/>
                <w:szCs w:val="20"/>
                <w:color w:val="auto"/>
              </w:rPr>
            </w:pPr>
            <w:r>
              <w:rPr>
                <w:rFonts w:ascii="Arial" w:cs="Arial" w:eastAsia="Arial" w:hAnsi="Arial"/>
                <w:sz w:val="18"/>
                <w:szCs w:val="18"/>
                <w:color w:val="auto"/>
              </w:rPr>
              <w:t>Name:</w:t>
            </w:r>
          </w:p>
        </w:tc>
        <w:tc>
          <w:tcPr>
            <w:tcW w:w="4180" w:type="dxa"/>
            <w:vAlign w:val="bottom"/>
          </w:tcPr>
          <w:p>
            <w:pPr>
              <w:spacing w:after="0" w:line="195" w:lineRule="exact"/>
              <w:rPr>
                <w:sz w:val="20"/>
                <w:szCs w:val="20"/>
                <w:color w:val="auto"/>
              </w:rPr>
            </w:pPr>
            <w:r>
              <w:rPr>
                <w:rFonts w:ascii="Arial" w:cs="Arial" w:eastAsia="Arial" w:hAnsi="Arial"/>
                <w:sz w:val="18"/>
                <w:szCs w:val="18"/>
                <w:color w:val="auto"/>
              </w:rPr>
              <w:t>Peter Donato</w:t>
            </w:r>
          </w:p>
        </w:tc>
      </w:tr>
      <w:tr>
        <w:trPr>
          <w:trHeight w:val="216"/>
        </w:trPr>
        <w:tc>
          <w:tcPr>
            <w:tcW w:w="3700" w:type="dxa"/>
            <w:vAlign w:val="bottom"/>
          </w:tcPr>
          <w:p>
            <w:pPr>
              <w:spacing w:after="0"/>
              <w:rPr>
                <w:sz w:val="18"/>
                <w:szCs w:val="18"/>
                <w:color w:val="auto"/>
              </w:rPr>
            </w:pPr>
          </w:p>
        </w:tc>
        <w:tc>
          <w:tcPr>
            <w:tcW w:w="3540" w:type="dxa"/>
            <w:vAlign w:val="bottom"/>
          </w:tcPr>
          <w:p>
            <w:pPr>
              <w:ind w:left="2660"/>
              <w:spacing w:after="0"/>
              <w:rPr>
                <w:sz w:val="20"/>
                <w:szCs w:val="20"/>
                <w:color w:val="auto"/>
              </w:rPr>
            </w:pPr>
            <w:r>
              <w:rPr>
                <w:rFonts w:ascii="Arial" w:cs="Arial" w:eastAsia="Arial" w:hAnsi="Arial"/>
                <w:sz w:val="18"/>
                <w:szCs w:val="18"/>
                <w:color w:val="auto"/>
              </w:rPr>
              <w:t>Title:</w:t>
            </w:r>
          </w:p>
        </w:tc>
        <w:tc>
          <w:tcPr>
            <w:tcW w:w="4180" w:type="dxa"/>
            <w:vAlign w:val="bottom"/>
          </w:tcPr>
          <w:p>
            <w:pPr>
              <w:spacing w:after="0"/>
              <w:rPr>
                <w:sz w:val="20"/>
                <w:szCs w:val="20"/>
                <w:color w:val="auto"/>
              </w:rPr>
            </w:pPr>
            <w:r>
              <w:rPr>
                <w:rFonts w:ascii="Arial" w:cs="Arial" w:eastAsia="Arial" w:hAnsi="Arial"/>
                <w:sz w:val="18"/>
                <w:szCs w:val="18"/>
                <w:color w:val="auto"/>
              </w:rPr>
              <w:t>VP, Finance and Chief Financial Officer</w:t>
            </w:r>
          </w:p>
        </w:tc>
      </w:tr>
      <w:tr>
        <w:trPr>
          <w:trHeight w:val="230"/>
        </w:trPr>
        <w:tc>
          <w:tcPr>
            <w:tcW w:w="37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35"/>
        </w:trPr>
        <w:tc>
          <w:tcPr>
            <w:tcW w:w="3700" w:type="dxa"/>
            <w:vAlign w:val="bottom"/>
          </w:tcPr>
          <w:p>
            <w:pPr>
              <w:spacing w:after="0"/>
              <w:rPr>
                <w:sz w:val="24"/>
                <w:szCs w:val="24"/>
                <w:color w:val="auto"/>
              </w:rPr>
            </w:pPr>
          </w:p>
        </w:tc>
        <w:tc>
          <w:tcPr>
            <w:tcW w:w="3540" w:type="dxa"/>
            <w:vAlign w:val="bottom"/>
          </w:tcPr>
          <w:p>
            <w:pPr>
              <w:ind w:left="1920"/>
              <w:spacing w:after="0"/>
              <w:rPr>
                <w:sz w:val="20"/>
                <w:szCs w:val="20"/>
                <w:color w:val="auto"/>
              </w:rPr>
            </w:pPr>
            <w:r>
              <w:rPr>
                <w:rFonts w:ascii="Arial" w:cs="Arial" w:eastAsia="Arial" w:hAnsi="Arial"/>
                <w:sz w:val="18"/>
                <w:szCs w:val="18"/>
                <w:color w:val="auto"/>
              </w:rPr>
              <w:t>33</w:t>
            </w:r>
          </w:p>
        </w:tc>
        <w:tc>
          <w:tcPr>
            <w:tcW w:w="418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10.10</w:t>
      </w:r>
    </w:p>
    <w:p>
      <w:pPr>
        <w:spacing w:after="0" w:line="11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3"/>
          <w:szCs w:val="13"/>
          <w:b w:val="1"/>
          <w:bCs w:val="1"/>
          <w:color w:val="auto"/>
        </w:rPr>
        <w:t>EURONETICS</w:t>
      </w:r>
      <w:r>
        <w:rPr>
          <w:rFonts w:ascii="Arial" w:cs="Arial" w:eastAsia="Arial" w:hAnsi="Arial"/>
          <w:sz w:val="18"/>
          <w:szCs w:val="18"/>
          <w:b w:val="1"/>
          <w:bCs w:val="1"/>
          <w:color w:val="auto"/>
        </w:rPr>
        <w:t>, I</w:t>
      </w:r>
      <w:r>
        <w:rPr>
          <w:rFonts w:ascii="Arial" w:cs="Arial" w:eastAsia="Arial" w:hAnsi="Arial"/>
          <w:sz w:val="13"/>
          <w:szCs w:val="13"/>
          <w:b w:val="1"/>
          <w:bCs w:val="1"/>
          <w:color w:val="auto"/>
        </w:rPr>
        <w:t>NC</w:t>
      </w:r>
      <w:r>
        <w:rPr>
          <w:rFonts w:ascii="Arial" w:cs="Arial" w:eastAsia="Arial" w:hAnsi="Arial"/>
          <w:sz w:val="18"/>
          <w:szCs w:val="18"/>
          <w:b w:val="1"/>
          <w:bCs w:val="1"/>
          <w:color w:val="auto"/>
        </w:rPr>
        <w:t>.</w:t>
      </w:r>
    </w:p>
    <w:p>
      <w:pPr>
        <w:spacing w:after="0" w:line="11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2018 E</w:t>
      </w:r>
      <w:r>
        <w:rPr>
          <w:rFonts w:ascii="Arial" w:cs="Arial" w:eastAsia="Arial" w:hAnsi="Arial"/>
          <w:sz w:val="13"/>
          <w:szCs w:val="13"/>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3"/>
          <w:szCs w:val="13"/>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3"/>
          <w:szCs w:val="13"/>
          <w:b w:val="1"/>
          <w:bCs w:val="1"/>
          <w:color w:val="auto"/>
        </w:rPr>
        <w:t>LAN</w:t>
      </w:r>
    </w:p>
    <w:p>
      <w:pPr>
        <w:spacing w:after="0" w:line="11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3"/>
          <w:szCs w:val="13"/>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3"/>
          <w:szCs w:val="13"/>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3"/>
          <w:szCs w:val="13"/>
          <w:b w:val="1"/>
          <w:bCs w:val="1"/>
          <w:color w:val="auto"/>
        </w:rPr>
        <w:t>IRECTORS</w:t>
      </w:r>
      <w:r>
        <w:rPr>
          <w:rFonts w:ascii="Arial" w:cs="Arial" w:eastAsia="Arial" w:hAnsi="Arial"/>
          <w:sz w:val="18"/>
          <w:szCs w:val="18"/>
          <w:b w:val="1"/>
          <w:bCs w:val="1"/>
          <w:color w:val="auto"/>
        </w:rPr>
        <w:t>: J</w:t>
      </w:r>
      <w:r>
        <w:rPr>
          <w:rFonts w:ascii="Arial" w:cs="Arial" w:eastAsia="Arial" w:hAnsi="Arial"/>
          <w:sz w:val="13"/>
          <w:szCs w:val="13"/>
          <w:b w:val="1"/>
          <w:bCs w:val="1"/>
          <w:color w:val="auto"/>
        </w:rPr>
        <w:t>UNE</w:t>
      </w:r>
      <w:r>
        <w:rPr>
          <w:rFonts w:ascii="Arial" w:cs="Arial" w:eastAsia="Arial" w:hAnsi="Arial"/>
          <w:sz w:val="18"/>
          <w:szCs w:val="18"/>
          <w:b w:val="1"/>
          <w:bCs w:val="1"/>
          <w:color w:val="auto"/>
        </w:rPr>
        <w:t xml:space="preserve"> 13, 2018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3"/>
          <w:szCs w:val="13"/>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3"/>
          <w:szCs w:val="13"/>
          <w:b w:val="1"/>
          <w:bCs w:val="1"/>
          <w:color w:val="auto"/>
        </w:rPr>
        <w:t>TOCKHOLDERS</w:t>
      </w:r>
      <w:r>
        <w:rPr>
          <w:rFonts w:ascii="Arial" w:cs="Arial" w:eastAsia="Arial" w:hAnsi="Arial"/>
          <w:sz w:val="18"/>
          <w:szCs w:val="18"/>
          <w:b w:val="1"/>
          <w:bCs w:val="1"/>
          <w:color w:val="auto"/>
        </w:rPr>
        <w:t>: J</w:t>
      </w:r>
      <w:r>
        <w:rPr>
          <w:rFonts w:ascii="Arial" w:cs="Arial" w:eastAsia="Arial" w:hAnsi="Arial"/>
          <w:sz w:val="13"/>
          <w:szCs w:val="13"/>
          <w:b w:val="1"/>
          <w:bCs w:val="1"/>
          <w:color w:val="auto"/>
        </w:rPr>
        <w:t>UNE</w:t>
      </w:r>
      <w:r>
        <w:rPr>
          <w:rFonts w:ascii="Arial" w:cs="Arial" w:eastAsia="Arial" w:hAnsi="Arial"/>
          <w:sz w:val="18"/>
          <w:szCs w:val="18"/>
          <w:b w:val="1"/>
          <w:bCs w:val="1"/>
          <w:color w:val="auto"/>
        </w:rPr>
        <w:t xml:space="preserve"> 13, 2018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IPO D</w:t>
      </w:r>
      <w:r>
        <w:rPr>
          <w:rFonts w:ascii="Arial" w:cs="Arial" w:eastAsia="Arial" w:hAnsi="Arial"/>
          <w:sz w:val="13"/>
          <w:szCs w:val="13"/>
          <w:b w:val="1"/>
          <w:bCs w:val="1"/>
          <w:color w:val="auto"/>
        </w:rPr>
        <w:t>ATE</w:t>
      </w:r>
      <w:r>
        <w:rPr>
          <w:rFonts w:ascii="Arial" w:cs="Arial" w:eastAsia="Arial" w:hAnsi="Arial"/>
          <w:sz w:val="18"/>
          <w:szCs w:val="18"/>
          <w:b w:val="1"/>
          <w:bCs w:val="1"/>
          <w:color w:val="auto"/>
        </w:rPr>
        <w:t>: J</w:t>
      </w:r>
      <w:r>
        <w:rPr>
          <w:rFonts w:ascii="Arial" w:cs="Arial" w:eastAsia="Arial" w:hAnsi="Arial"/>
          <w:sz w:val="13"/>
          <w:szCs w:val="13"/>
          <w:b w:val="1"/>
          <w:bCs w:val="1"/>
          <w:color w:val="auto"/>
        </w:rPr>
        <w:t>UNE</w:t>
      </w:r>
      <w:r>
        <w:rPr>
          <w:rFonts w:ascii="Arial" w:cs="Arial" w:eastAsia="Arial" w:hAnsi="Arial"/>
          <w:sz w:val="18"/>
          <w:szCs w:val="18"/>
          <w:b w:val="1"/>
          <w:bCs w:val="1"/>
          <w:color w:val="auto"/>
        </w:rPr>
        <w:t xml:space="preserve"> 27, 2018</w:t>
      </w:r>
    </w:p>
    <w:p>
      <w:pPr>
        <w:spacing w:after="0" w:line="207"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3"/>
          <w:szCs w:val="13"/>
          <w:b w:val="1"/>
          <w:bCs w:val="1"/>
          <w:color w:val="auto"/>
        </w:rPr>
        <w:t>ENERAL</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right="20" w:firstLine="526"/>
        <w:spacing w:after="0" w:line="261" w:lineRule="auto"/>
        <w:tabs>
          <w:tab w:leader="none" w:pos="773" w:val="left"/>
        </w:tabs>
        <w:numPr>
          <w:ilvl w:val="1"/>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Successor to and Continuation of Prior Plan. </w:t>
      </w:r>
      <w:r>
        <w:rPr>
          <w:rFonts w:ascii="Arial" w:cs="Arial" w:eastAsia="Arial" w:hAnsi="Arial"/>
          <w:sz w:val="18"/>
          <w:szCs w:val="18"/>
          <w:color w:val="auto"/>
        </w:rPr>
        <w:t>The Plan is intended as the successor to and continuation of the Company’s Amended and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2003 Stock Incentive Plan (the “</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From and after 12:01 a.m. Eastern time on the IPO Date, no additional awards will be granted under the Prior Plan. All Awards granted on or after 12:01 a.m. Eastern Time on the IPO Date will be granted under this Plan. All awards granted under the Prior Plan will remain subject to the terms of the Prior Plan.</w:t>
      </w:r>
    </w:p>
    <w:p>
      <w:pPr>
        <w:spacing w:after="0" w:line="75" w:lineRule="exact"/>
        <w:rPr>
          <w:rFonts w:ascii="Arial" w:cs="Arial" w:eastAsia="Arial" w:hAnsi="Arial"/>
          <w:sz w:val="18"/>
          <w:szCs w:val="18"/>
          <w:b w:val="1"/>
          <w:bCs w:val="1"/>
          <w:color w:val="auto"/>
        </w:rPr>
      </w:pPr>
    </w:p>
    <w:p>
      <w:pPr>
        <w:jc w:val="both"/>
        <w:ind w:right="120" w:firstLine="1042"/>
        <w:spacing w:after="0" w:line="279" w:lineRule="auto"/>
        <w:tabs>
          <w:tab w:leader="none" w:pos="1249" w:val="left"/>
        </w:tabs>
        <w:numPr>
          <w:ilvl w:val="2"/>
          <w:numId w:val="23"/>
        </w:numPr>
        <w:rPr>
          <w:rFonts w:ascii="Arial" w:cs="Arial" w:eastAsia="Arial" w:hAnsi="Arial"/>
          <w:sz w:val="17"/>
          <w:szCs w:val="17"/>
          <w:b w:val="1"/>
          <w:bCs w:val="1"/>
          <w:color w:val="auto"/>
        </w:rPr>
      </w:pPr>
      <w:r>
        <w:rPr>
          <w:rFonts w:ascii="Arial" w:cs="Arial" w:eastAsia="Arial" w:hAnsi="Arial"/>
          <w:sz w:val="17"/>
          <w:szCs w:val="17"/>
          <w:color w:val="auto"/>
        </w:rPr>
        <w:t>Any shares that would otherwise remain available for future grants under the Prior Plan as of 12:01 a.m. Eastern Time on the IPO Date (the “</w:t>
      </w:r>
      <w:r>
        <w:rPr>
          <w:rFonts w:ascii="Arial" w:cs="Arial" w:eastAsia="Arial" w:hAnsi="Arial"/>
          <w:sz w:val="17"/>
          <w:szCs w:val="17"/>
          <w:b w:val="1"/>
          <w:bCs w:val="1"/>
          <w:i w:val="1"/>
          <w:iCs w:val="1"/>
          <w:color w:val="auto"/>
        </w:rPr>
        <w:t>Prior Plan’s Available Reserve</w:t>
      </w:r>
      <w:r>
        <w:rPr>
          <w:rFonts w:ascii="Arial" w:cs="Arial" w:eastAsia="Arial" w:hAnsi="Arial"/>
          <w:sz w:val="17"/>
          <w:szCs w:val="17"/>
          <w:color w:val="auto"/>
        </w:rPr>
        <w:t>”) will cease to be available under the Prior Plan at such time. Instead, that number of shares of Common Stock equal to the Prior Plan’s Available Reserve will be added to the Share Reserve (as further described in Section 3(a) below) and will be immediately available for grants and issuance pursuant to Stock Awards hereunder, up to the maximum number set forth in Section 3(a) below.</w:t>
      </w:r>
    </w:p>
    <w:p>
      <w:pPr>
        <w:spacing w:after="0" w:line="63" w:lineRule="exact"/>
        <w:rPr>
          <w:rFonts w:ascii="Arial" w:cs="Arial" w:eastAsia="Arial" w:hAnsi="Arial"/>
          <w:sz w:val="17"/>
          <w:szCs w:val="17"/>
          <w:b w:val="1"/>
          <w:bCs w:val="1"/>
          <w:color w:val="auto"/>
        </w:rPr>
      </w:pPr>
    </w:p>
    <w:p>
      <w:pPr>
        <w:ind w:right="100" w:firstLine="1042"/>
        <w:spacing w:after="0" w:line="255" w:lineRule="auto"/>
        <w:tabs>
          <w:tab w:leader="none" w:pos="1299" w:val="left"/>
        </w:tabs>
        <w:numPr>
          <w:ilvl w:val="2"/>
          <w:numId w:val="23"/>
        </w:numPr>
        <w:rPr>
          <w:rFonts w:ascii="Arial" w:cs="Arial" w:eastAsia="Arial" w:hAnsi="Arial"/>
          <w:sz w:val="18"/>
          <w:szCs w:val="18"/>
          <w:b w:val="1"/>
          <w:bCs w:val="1"/>
          <w:color w:val="auto"/>
        </w:rPr>
      </w:pPr>
      <w:r>
        <w:rPr>
          <w:rFonts w:ascii="Arial" w:cs="Arial" w:eastAsia="Arial" w:hAnsi="Arial"/>
          <w:sz w:val="18"/>
          <w:szCs w:val="18"/>
          <w:color w:val="auto"/>
        </w:rPr>
        <w:t>In addition, from and after 12:01 a.m. Eastern time on the IPO Date, any shares subject, at such time, to outstanding stock awards granted under the Prior Plan that (i) expire or terminate for any reason prior to exercise or settlement; (ii) are forfeited because of the failure to meet a contingency or condition required to vest such shares or otherwise return to the Company; or (iii) are reacquired, withheld (or not issued) to satisfy a tax withholding obligation in connection with an award or to satisfy the purchase price or exercise price of a stock award (such shares the “</w:t>
      </w:r>
      <w:r>
        <w:rPr>
          <w:rFonts w:ascii="Arial" w:cs="Arial" w:eastAsia="Arial" w:hAnsi="Arial"/>
          <w:sz w:val="18"/>
          <w:szCs w:val="18"/>
          <w:b w:val="1"/>
          <w:bCs w:val="1"/>
          <w:i w:val="1"/>
          <w:iCs w:val="1"/>
          <w:color w:val="auto"/>
        </w:rPr>
        <w:t>Returning Shares</w:t>
      </w:r>
      <w:r>
        <w:rPr>
          <w:rFonts w:ascii="Arial" w:cs="Arial" w:eastAsia="Arial" w:hAnsi="Arial"/>
          <w:sz w:val="18"/>
          <w:szCs w:val="18"/>
          <w:color w:val="auto"/>
        </w:rPr>
        <w:t>”) will immediately be added to the Share Reserve (as further described in Section 3(a) below) as and when such shares become Returning Shares, up to the maximum number set forth in Section 3(a) below.</w:t>
      </w:r>
    </w:p>
    <w:p>
      <w:pPr>
        <w:spacing w:after="0" w:line="81" w:lineRule="exact"/>
        <w:rPr>
          <w:rFonts w:ascii="Arial" w:cs="Arial" w:eastAsia="Arial" w:hAnsi="Arial"/>
          <w:sz w:val="18"/>
          <w:szCs w:val="18"/>
          <w:b w:val="1"/>
          <w:bCs w:val="1"/>
          <w:color w:val="auto"/>
        </w:rPr>
      </w:pPr>
    </w:p>
    <w:p>
      <w:pPr>
        <w:ind w:left="800" w:hanging="274"/>
        <w:spacing w:after="0"/>
        <w:tabs>
          <w:tab w:leader="none" w:pos="800" w:val="left"/>
        </w:tabs>
        <w:numPr>
          <w:ilvl w:val="1"/>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Eligible Award Recipients. </w:t>
      </w:r>
      <w:r>
        <w:rPr>
          <w:rFonts w:ascii="Arial" w:cs="Arial" w:eastAsia="Arial" w:hAnsi="Arial"/>
          <w:sz w:val="18"/>
          <w:szCs w:val="18"/>
          <w:color w:val="auto"/>
        </w:rPr>
        <w:t>Employees, Directors and Consultants are eligible to receive Awards.</w:t>
      </w:r>
    </w:p>
    <w:p>
      <w:pPr>
        <w:spacing w:after="0" w:line="117" w:lineRule="exact"/>
        <w:rPr>
          <w:rFonts w:ascii="Arial" w:cs="Arial" w:eastAsia="Arial" w:hAnsi="Arial"/>
          <w:sz w:val="18"/>
          <w:szCs w:val="18"/>
          <w:b w:val="1"/>
          <w:bCs w:val="1"/>
          <w:color w:val="auto"/>
        </w:rPr>
      </w:pPr>
    </w:p>
    <w:p>
      <w:pPr>
        <w:ind w:left="780" w:hanging="254"/>
        <w:spacing w:after="0"/>
        <w:tabs>
          <w:tab w:leader="none" w:pos="780" w:val="left"/>
        </w:tabs>
        <w:numPr>
          <w:ilvl w:val="1"/>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Available Awards. </w:t>
      </w:r>
      <w:r>
        <w:rPr>
          <w:rFonts w:ascii="Arial" w:cs="Arial" w:eastAsia="Arial" w:hAnsi="Arial"/>
          <w:sz w:val="17"/>
          <w:szCs w:val="17"/>
          <w:color w:val="auto"/>
        </w:rPr>
        <w:t>The Plan provides for the grant of the following Awards: (i) Incentive Stock Options, (ii) Nonstatutory Stock Options,</w:t>
      </w:r>
    </w:p>
    <w:p>
      <w:pPr>
        <w:spacing w:after="0" w:line="39" w:lineRule="exact"/>
        <w:rPr>
          <w:sz w:val="20"/>
          <w:szCs w:val="20"/>
          <w:color w:val="auto"/>
        </w:rPr>
      </w:pPr>
    </w:p>
    <w:p>
      <w:pPr>
        <w:ind w:right="400" w:firstLine="8"/>
        <w:spacing w:after="0" w:line="261" w:lineRule="auto"/>
        <w:tabs>
          <w:tab w:leader="none" w:pos="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Stock Appreciation Rights, (iv) Restricted Stock Awards, (v) Restricted Stock Unit Awards, (vi) Performance Stock Awards, (vii) Performance Cash Awards, and (viii) Other Stock Awards.</w:t>
      </w:r>
    </w:p>
    <w:p>
      <w:pPr>
        <w:spacing w:after="0" w:line="71" w:lineRule="exact"/>
        <w:rPr>
          <w:rFonts w:ascii="Arial" w:cs="Arial" w:eastAsia="Arial" w:hAnsi="Arial"/>
          <w:sz w:val="18"/>
          <w:szCs w:val="18"/>
          <w:color w:val="auto"/>
        </w:rPr>
      </w:pPr>
    </w:p>
    <w:p>
      <w:pPr>
        <w:ind w:right="280" w:firstLine="526"/>
        <w:spacing w:after="0" w:line="266" w:lineRule="auto"/>
        <w:tabs>
          <w:tab w:leader="none" w:pos="783" w:val="left"/>
        </w:tabs>
        <w:numPr>
          <w:ilvl w:val="1"/>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Plan, through the grant of Awards, is intended to help the Company secure and retain the services of eligible award recipients,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incentives for such persons to exert maximum efforts for the success of the Company and any Affiliate, and provide a means by which the eligible recipients may benefit from increases in value of the Common Stock.</w:t>
      </w:r>
    </w:p>
    <w:p>
      <w:pPr>
        <w:spacing w:after="0" w:line="176" w:lineRule="exact"/>
        <w:rPr>
          <w:sz w:val="20"/>
          <w:szCs w:val="20"/>
          <w:color w:val="auto"/>
        </w:rPr>
      </w:pPr>
    </w:p>
    <w:p>
      <w:pPr>
        <w:ind w:left="200" w:hanging="188"/>
        <w:spacing w:after="0"/>
        <w:tabs>
          <w:tab w:leader="none" w:pos="2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3"/>
          <w:szCs w:val="13"/>
          <w:b w:val="1"/>
          <w:bCs w:val="1"/>
          <w:color w:val="auto"/>
        </w:rPr>
        <w:t>DMINISTRATION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right="20" w:firstLine="526"/>
        <w:spacing w:after="0" w:line="282" w:lineRule="auto"/>
        <w:tabs>
          <w:tab w:leader="none" w:pos="773" w:val="left"/>
        </w:tabs>
        <w:numPr>
          <w:ilvl w:val="1"/>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by Board. </w:t>
      </w:r>
      <w:r>
        <w:rPr>
          <w:rFonts w:ascii="Arial" w:cs="Arial" w:eastAsia="Arial" w:hAnsi="Arial"/>
          <w:sz w:val="18"/>
          <w:szCs w:val="18"/>
          <w:color w:val="auto"/>
        </w:rPr>
        <w:t>The Board will administer the Plan. The Board may delegate administration of the Plan to a Committee or Committees,</w:t>
      </w:r>
      <w:r>
        <w:rPr>
          <w:rFonts w:ascii="Arial" w:cs="Arial" w:eastAsia="Arial" w:hAnsi="Arial"/>
          <w:sz w:val="18"/>
          <w:szCs w:val="18"/>
          <w:b w:val="1"/>
          <w:bCs w:val="1"/>
          <w:color w:val="auto"/>
        </w:rPr>
        <w:t xml:space="preserve"> </w:t>
      </w:r>
      <w:r>
        <w:rPr>
          <w:rFonts w:ascii="Arial" w:cs="Arial" w:eastAsia="Arial" w:hAnsi="Arial"/>
          <w:sz w:val="18"/>
          <w:szCs w:val="18"/>
          <w:color w:val="auto"/>
        </w:rPr>
        <w:t>as provided in Section 2(c).</w:t>
      </w:r>
    </w:p>
    <w:p>
      <w:pPr>
        <w:spacing w:after="0" w:line="53" w:lineRule="exact"/>
        <w:rPr>
          <w:rFonts w:ascii="Arial" w:cs="Arial" w:eastAsia="Arial" w:hAnsi="Arial"/>
          <w:sz w:val="18"/>
          <w:szCs w:val="18"/>
          <w:b w:val="1"/>
          <w:bCs w:val="1"/>
          <w:color w:val="auto"/>
        </w:rPr>
      </w:pPr>
    </w:p>
    <w:p>
      <w:pPr>
        <w:ind w:left="800" w:hanging="274"/>
        <w:spacing w:after="0"/>
        <w:tabs>
          <w:tab w:leader="none" w:pos="800" w:val="left"/>
        </w:tabs>
        <w:numPr>
          <w:ilvl w:val="1"/>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Powers of Board. </w:t>
      </w:r>
      <w:r>
        <w:rPr>
          <w:rFonts w:ascii="Arial" w:cs="Arial" w:eastAsia="Arial" w:hAnsi="Arial"/>
          <w:sz w:val="18"/>
          <w:szCs w:val="18"/>
          <w:color w:val="auto"/>
        </w:rPr>
        <w:t>The Board will have the power, subject to, and within the limitations of, the express provisions of the Plan:</w:t>
      </w:r>
    </w:p>
    <w:p>
      <w:pPr>
        <w:spacing w:after="0" w:line="121" w:lineRule="exact"/>
        <w:rPr>
          <w:sz w:val="20"/>
          <w:szCs w:val="20"/>
          <w:color w:val="auto"/>
        </w:rPr>
      </w:pPr>
    </w:p>
    <w:p>
      <w:pPr>
        <w:ind w:left="1260" w:hanging="218"/>
        <w:spacing w:after="0"/>
        <w:tabs>
          <w:tab w:leader="none" w:pos="1260" w:val="left"/>
        </w:tabs>
        <w:numPr>
          <w:ilvl w:val="1"/>
          <w:numId w:val="26"/>
        </w:numPr>
        <w:rPr>
          <w:rFonts w:ascii="Arial" w:cs="Arial" w:eastAsia="Arial" w:hAnsi="Arial"/>
          <w:sz w:val="17"/>
          <w:szCs w:val="17"/>
          <w:b w:val="1"/>
          <w:bCs w:val="1"/>
          <w:color w:val="auto"/>
        </w:rPr>
      </w:pPr>
      <w:r>
        <w:rPr>
          <w:rFonts w:ascii="Arial" w:cs="Arial" w:eastAsia="Arial" w:hAnsi="Arial"/>
          <w:sz w:val="17"/>
          <w:szCs w:val="17"/>
          <w:color w:val="auto"/>
        </w:rPr>
        <w:t>To determine: (A) who will be granted Awards; (B) when and how each Award will be granted; (C) what type of Award will be granted;</w:t>
      </w:r>
    </w:p>
    <w:p>
      <w:pPr>
        <w:spacing w:after="0" w:line="34" w:lineRule="exact"/>
        <w:rPr>
          <w:rFonts w:ascii="Arial" w:cs="Arial" w:eastAsia="Arial" w:hAnsi="Arial"/>
          <w:sz w:val="17"/>
          <w:szCs w:val="17"/>
          <w:b w:val="1"/>
          <w:bCs w:val="1"/>
          <w:color w:val="auto"/>
        </w:rPr>
      </w:pPr>
    </w:p>
    <w:p>
      <w:pPr>
        <w:jc w:val="both"/>
        <w:ind w:right="140" w:firstLine="8"/>
        <w:spacing w:after="0" w:line="255" w:lineRule="auto"/>
        <w:tabs>
          <w:tab w:leader="none" w:pos="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provisions of each Award (which need not be identical), including when a person will be permitted to exercise or otherwise receive cash or Common Stock under the Award; (E) the number of shares of Common Stock subject to, or the cash value of, an Award; and (F) the Fair Market Value applicable to a Stock Award.</w:t>
      </w:r>
    </w:p>
    <w:p>
      <w:pPr>
        <w:spacing w:after="0" w:line="82" w:lineRule="exact"/>
        <w:rPr>
          <w:rFonts w:ascii="Arial" w:cs="Arial" w:eastAsia="Arial" w:hAnsi="Arial"/>
          <w:sz w:val="18"/>
          <w:szCs w:val="18"/>
          <w:color w:val="auto"/>
        </w:rPr>
      </w:pPr>
    </w:p>
    <w:p>
      <w:pPr>
        <w:ind w:right="20" w:firstLine="1042"/>
        <w:spacing w:after="0" w:line="259" w:lineRule="auto"/>
        <w:tabs>
          <w:tab w:leader="none" w:pos="1299" w:val="left"/>
        </w:tabs>
        <w:numPr>
          <w:ilvl w:val="1"/>
          <w:numId w:val="27"/>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or in the written terms of a Performance Cash Award, in a manner and to the extent it will deem necessary or expedient to make the Plan or Award fully effective.</w:t>
      </w:r>
    </w:p>
    <w:p>
      <w:pPr>
        <w:spacing w:after="0" w:line="78" w:lineRule="exact"/>
        <w:rPr>
          <w:rFonts w:ascii="Arial" w:cs="Arial" w:eastAsia="Arial" w:hAnsi="Arial"/>
          <w:sz w:val="18"/>
          <w:szCs w:val="18"/>
          <w:b w:val="1"/>
          <w:bCs w:val="1"/>
          <w:color w:val="auto"/>
        </w:rPr>
      </w:pPr>
    </w:p>
    <w:p>
      <w:pPr>
        <w:ind w:left="1360" w:hanging="318"/>
        <w:spacing w:after="0"/>
        <w:tabs>
          <w:tab w:leader="none" w:pos="1360" w:val="left"/>
        </w:tabs>
        <w:numPr>
          <w:ilvl w:val="1"/>
          <w:numId w:val="27"/>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Awards granted under it.</w:t>
      </w:r>
    </w:p>
    <w:p>
      <w:pPr>
        <w:spacing w:after="0" w:line="117" w:lineRule="exact"/>
        <w:rPr>
          <w:rFonts w:ascii="Arial" w:cs="Arial" w:eastAsia="Arial" w:hAnsi="Arial"/>
          <w:sz w:val="18"/>
          <w:szCs w:val="18"/>
          <w:b w:val="1"/>
          <w:bCs w:val="1"/>
          <w:color w:val="auto"/>
        </w:rPr>
      </w:pPr>
    </w:p>
    <w:p>
      <w:pPr>
        <w:ind w:right="300" w:firstLine="1042"/>
        <w:spacing w:after="0" w:line="277" w:lineRule="auto"/>
        <w:tabs>
          <w:tab w:leader="none" w:pos="1335" w:val="left"/>
        </w:tabs>
        <w:numPr>
          <w:ilvl w:val="1"/>
          <w:numId w:val="27"/>
        </w:numPr>
        <w:rPr>
          <w:rFonts w:ascii="Arial" w:cs="Arial" w:eastAsia="Arial" w:hAnsi="Arial"/>
          <w:sz w:val="18"/>
          <w:szCs w:val="18"/>
          <w:b w:val="1"/>
          <w:bCs w:val="1"/>
          <w:color w:val="auto"/>
        </w:rPr>
      </w:pPr>
      <w:r>
        <w:rPr>
          <w:rFonts w:ascii="Arial" w:cs="Arial" w:eastAsia="Arial" w:hAnsi="Arial"/>
          <w:sz w:val="18"/>
          <w:szCs w:val="18"/>
          <w:color w:val="auto"/>
        </w:rPr>
        <w:t>To accelerate, in whole or in part, the time at which an Award may be exercised or vest (or the time at which cash or shares of Common Stock may be issued in settlement thereof).</w:t>
      </w:r>
    </w:p>
    <w:p>
      <w:pPr>
        <w:spacing w:after="0" w:line="62" w:lineRule="exact"/>
        <w:rPr>
          <w:rFonts w:ascii="Arial" w:cs="Arial" w:eastAsia="Arial" w:hAnsi="Arial"/>
          <w:sz w:val="18"/>
          <w:szCs w:val="18"/>
          <w:b w:val="1"/>
          <w:bCs w:val="1"/>
          <w:color w:val="auto"/>
        </w:rPr>
      </w:pPr>
    </w:p>
    <w:p>
      <w:pPr>
        <w:ind w:right="80" w:firstLine="1042"/>
        <w:spacing w:after="0" w:line="264" w:lineRule="auto"/>
        <w:tabs>
          <w:tab w:leader="none" w:pos="1289" w:val="left"/>
        </w:tabs>
        <w:numPr>
          <w:ilvl w:val="1"/>
          <w:numId w:val="27"/>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Except as otherwise provided in the Plan or an Award Agreement, suspension or termination of the Plan will not materially impair a Participant’s rights under the Participant’s then-outstanding Award without the Participant’s written consent, except as provided in subsection (viii) below.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4" w:name="page35"/>
    <w:bookmarkEnd w:id="34"/>
    <w:p>
      <w:pPr>
        <w:ind w:right="20" w:firstLine="1042"/>
        <w:spacing w:after="0" w:line="288" w:lineRule="auto"/>
        <w:tabs>
          <w:tab w:leader="none" w:pos="1339" w:val="left"/>
        </w:tabs>
        <w:numPr>
          <w:ilvl w:val="2"/>
          <w:numId w:val="28"/>
        </w:numPr>
        <w:rPr>
          <w:rFonts w:ascii="Arial" w:cs="Arial" w:eastAsia="Arial" w:hAnsi="Arial"/>
          <w:sz w:val="16"/>
          <w:szCs w:val="16"/>
          <w:b w:val="1"/>
          <w:bCs w:val="1"/>
          <w:color w:val="auto"/>
        </w:rPr>
      </w:pPr>
      <w:r>
        <w:rPr>
          <w:rFonts w:ascii="Arial" w:cs="Arial" w:eastAsia="Arial" w:hAnsi="Arial"/>
          <w:sz w:val="16"/>
          <w:szCs w:val="16"/>
          <w:color w:val="auto"/>
        </w:rPr>
        <w:t>To amend the Plan in any respect the Board deems necessary or advisable, including, without limitation, by adopting amendments relating to Incentive Stock Options and certain nonqualified deferred compensation under Section 409A of the Code and/or bringing the Plan or Awards granted under the Plan into compliance with the requirements for Incentive Stock Options or ensuring that they are exempt from, or compliant with, the requirements for nonqualified deferred compensation under Section 409A of the Code, subject to the limitations, if any, of applicable law. If required by applicable law or listing requirements, and except as provided in Section 9(a) relating to Capitalization Adjustments, the Company will seek stockholder approval of any amendment of the Plan that (A) materially increases the number of shares of Common Stock available for issuance under the Plan, (B) materially expands the class of individuals eligible to receive Awards under the Plan, (C) materially increases the benefits accruing to Participants under the Plan, (D) materially reduces the price at which shares of Common Stock may be issued or purchased under the Plan, (E) materially extends the term of the Plan, or (F) materially expands the types of Awards available for issuance under the Plan. Except as otherwise provided in the Plan or an Award Agreement, no amendment of the Plan will materially impair a Participant’s rights under an outstanding Award without the Participant’s written consent.</w:t>
      </w:r>
    </w:p>
    <w:p>
      <w:pPr>
        <w:spacing w:after="0" w:line="61" w:lineRule="exact"/>
        <w:rPr>
          <w:rFonts w:ascii="Arial" w:cs="Arial" w:eastAsia="Arial" w:hAnsi="Arial"/>
          <w:sz w:val="16"/>
          <w:szCs w:val="16"/>
          <w:b w:val="1"/>
          <w:bCs w:val="1"/>
          <w:color w:val="auto"/>
        </w:rPr>
      </w:pPr>
    </w:p>
    <w:p>
      <w:pPr>
        <w:ind w:right="200" w:firstLine="1042"/>
        <w:spacing w:after="0" w:line="277" w:lineRule="auto"/>
        <w:tabs>
          <w:tab w:leader="none" w:pos="1389" w:val="left"/>
        </w:tabs>
        <w:numPr>
          <w:ilvl w:val="2"/>
          <w:numId w:val="28"/>
        </w:numPr>
        <w:rPr>
          <w:rFonts w:ascii="Arial" w:cs="Arial" w:eastAsia="Arial" w:hAnsi="Arial"/>
          <w:sz w:val="18"/>
          <w:szCs w:val="18"/>
          <w:b w:val="1"/>
          <w:bCs w:val="1"/>
          <w:color w:val="auto"/>
        </w:rPr>
      </w:pPr>
      <w:r>
        <w:rPr>
          <w:rFonts w:ascii="Arial" w:cs="Arial" w:eastAsia="Arial" w:hAnsi="Arial"/>
          <w:sz w:val="18"/>
          <w:szCs w:val="18"/>
          <w:color w:val="auto"/>
        </w:rPr>
        <w:t>To submit any amendment to the Plan for stockholder approval, including, but not limited to, amendments to the Plan intended to satisfy the requirements of (A) Section 422 of the Code regarding “incentive stock options” or (B) Rule 16b-3.</w:t>
      </w:r>
    </w:p>
    <w:p>
      <w:pPr>
        <w:spacing w:after="0" w:line="62" w:lineRule="exact"/>
        <w:rPr>
          <w:rFonts w:ascii="Arial" w:cs="Arial" w:eastAsia="Arial" w:hAnsi="Arial"/>
          <w:sz w:val="18"/>
          <w:szCs w:val="18"/>
          <w:b w:val="1"/>
          <w:bCs w:val="1"/>
          <w:color w:val="auto"/>
        </w:rPr>
      </w:pPr>
    </w:p>
    <w:p>
      <w:pPr>
        <w:ind w:right="40" w:firstLine="1042"/>
        <w:spacing w:after="0" w:line="288" w:lineRule="auto"/>
        <w:tabs>
          <w:tab w:leader="none" w:pos="1439" w:val="left"/>
        </w:tabs>
        <w:numPr>
          <w:ilvl w:val="2"/>
          <w:numId w:val="28"/>
        </w:numPr>
        <w:rPr>
          <w:rFonts w:ascii="Arial" w:cs="Arial" w:eastAsia="Arial" w:hAnsi="Arial"/>
          <w:sz w:val="16"/>
          <w:szCs w:val="16"/>
          <w:b w:val="1"/>
          <w:bCs w:val="1"/>
          <w:color w:val="auto"/>
        </w:rPr>
      </w:pPr>
      <w:r>
        <w:rPr>
          <w:rFonts w:ascii="Arial" w:cs="Arial" w:eastAsia="Arial" w:hAnsi="Arial"/>
          <w:sz w:val="16"/>
          <w:szCs w:val="16"/>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Participant’s rights under any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into compliance with, Section 409A of the Code; or (D) to comply with other applicable laws or listing requirements.</w:t>
      </w:r>
    </w:p>
    <w:p>
      <w:pPr>
        <w:spacing w:after="0" w:line="61" w:lineRule="exact"/>
        <w:rPr>
          <w:rFonts w:ascii="Arial" w:cs="Arial" w:eastAsia="Arial" w:hAnsi="Arial"/>
          <w:sz w:val="16"/>
          <w:szCs w:val="16"/>
          <w:b w:val="1"/>
          <w:bCs w:val="1"/>
          <w:color w:val="auto"/>
        </w:rPr>
      </w:pPr>
    </w:p>
    <w:p>
      <w:pPr>
        <w:ind w:right="80" w:firstLine="1042"/>
        <w:spacing w:after="0" w:line="277" w:lineRule="auto"/>
        <w:tabs>
          <w:tab w:leader="none" w:pos="1339" w:val="left"/>
        </w:tabs>
        <w:numPr>
          <w:ilvl w:val="2"/>
          <w:numId w:val="28"/>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62" w:lineRule="exact"/>
        <w:rPr>
          <w:rFonts w:ascii="Arial" w:cs="Arial" w:eastAsia="Arial" w:hAnsi="Arial"/>
          <w:sz w:val="18"/>
          <w:szCs w:val="18"/>
          <w:b w:val="1"/>
          <w:bCs w:val="1"/>
          <w:color w:val="auto"/>
        </w:rPr>
      </w:pPr>
    </w:p>
    <w:p>
      <w:pPr>
        <w:ind w:firstLine="1042"/>
        <w:spacing w:after="0" w:line="286" w:lineRule="auto"/>
        <w:tabs>
          <w:tab w:leader="none" w:pos="1289" w:val="left"/>
        </w:tabs>
        <w:numPr>
          <w:ilvl w:val="2"/>
          <w:numId w:val="28"/>
        </w:numPr>
        <w:rPr>
          <w:rFonts w:ascii="Arial" w:cs="Arial" w:eastAsia="Arial" w:hAnsi="Arial"/>
          <w:sz w:val="17"/>
          <w:szCs w:val="17"/>
          <w:b w:val="1"/>
          <w:bCs w:val="1"/>
          <w:color w:val="auto"/>
        </w:rPr>
      </w:pPr>
      <w:r>
        <w:rPr>
          <w:rFonts w:ascii="Arial" w:cs="Arial" w:eastAsia="Arial" w:hAnsi="Arial"/>
          <w:sz w:val="17"/>
          <w:szCs w:val="17"/>
          <w:color w:val="auto"/>
        </w:rPr>
        <w:t>To adopt such procedures and sub-plans as are necessary or appropriate to permit participation in the Plan by Employees, Directors or Consultants who are foreign nationals or employed outside the United States (provided that Board approval will not be necessary for immaterial modifications to the Plan or any Award Agreement that are required for compliance with the laws of the relevant foreign jurisdiction).</w:t>
      </w:r>
    </w:p>
    <w:p>
      <w:pPr>
        <w:spacing w:after="0" w:line="57" w:lineRule="exact"/>
        <w:rPr>
          <w:rFonts w:ascii="Arial" w:cs="Arial" w:eastAsia="Arial" w:hAnsi="Arial"/>
          <w:sz w:val="17"/>
          <w:szCs w:val="17"/>
          <w:b w:val="1"/>
          <w:bCs w:val="1"/>
          <w:color w:val="auto"/>
        </w:rPr>
      </w:pPr>
    </w:p>
    <w:p>
      <w:pPr>
        <w:ind w:right="780" w:firstLine="1042"/>
        <w:spacing w:after="0" w:line="291" w:lineRule="auto"/>
        <w:tabs>
          <w:tab w:leader="none" w:pos="1339" w:val="left"/>
        </w:tabs>
        <w:numPr>
          <w:ilvl w:val="2"/>
          <w:numId w:val="28"/>
        </w:numPr>
        <w:rPr>
          <w:rFonts w:ascii="Arial" w:cs="Arial" w:eastAsia="Arial" w:hAnsi="Arial"/>
          <w:sz w:val="16"/>
          <w:szCs w:val="16"/>
          <w:b w:val="1"/>
          <w:bCs w:val="1"/>
          <w:color w:val="auto"/>
        </w:rPr>
      </w:pPr>
      <w:r>
        <w:rPr>
          <w:rFonts w:ascii="Arial" w:cs="Arial" w:eastAsia="Arial" w:hAnsi="Arial"/>
          <w:sz w:val="16"/>
          <w:szCs w:val="16"/>
          <w:color w:val="auto"/>
        </w:rPr>
        <w:t>To effect, with the consent of any adversely affected Participant, (A) the reduction of the exercise, purchase or strike price of any outstanding Stock Award; (B) the cancellation of any outstanding Stock Award and the grant in substitution therefor of a new (1) Option or SAR,</w:t>
      </w:r>
    </w:p>
    <w:p>
      <w:pPr>
        <w:ind w:right="160" w:firstLine="8"/>
        <w:spacing w:after="0" w:line="254"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Restricted Stock Award, (3) Restricted Stock Unit Award, (4) Other Stock Award, (5) cash and/or (6) other valuable consideration determined by the Board, in its sole discretion, with any such substituted award (x) covering the same or a different number of shares of Common Stock as the cancelled Stock Award and (y) granted under the Plan or another equity or compensatory plan of the Company; or (C) any other action that is treated as a repricing under generally accepted accounting principles.</w:t>
      </w:r>
    </w:p>
    <w:p>
      <w:pPr>
        <w:spacing w:after="0" w:line="199" w:lineRule="exact"/>
        <w:rPr>
          <w:rFonts w:ascii="Arial" w:cs="Arial" w:eastAsia="Arial" w:hAnsi="Arial"/>
          <w:sz w:val="18"/>
          <w:szCs w:val="18"/>
          <w:color w:val="auto"/>
        </w:rPr>
      </w:pPr>
    </w:p>
    <w:p>
      <w:pPr>
        <w:ind w:left="760" w:hanging="235"/>
        <w:spacing w:after="0"/>
        <w:tabs>
          <w:tab w:leader="none" w:pos="760" w:val="left"/>
        </w:tabs>
        <w:numPr>
          <w:ilvl w:val="1"/>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to Committee.</w:t>
      </w:r>
    </w:p>
    <w:p>
      <w:pPr>
        <w:spacing w:after="0" w:line="117" w:lineRule="exact"/>
        <w:rPr>
          <w:rFonts w:ascii="Arial" w:cs="Arial" w:eastAsia="Arial" w:hAnsi="Arial"/>
          <w:sz w:val="18"/>
          <w:szCs w:val="18"/>
          <w:b w:val="1"/>
          <w:bCs w:val="1"/>
          <w:color w:val="auto"/>
        </w:rPr>
      </w:pPr>
    </w:p>
    <w:p>
      <w:pPr>
        <w:ind w:right="40" w:firstLine="1042"/>
        <w:spacing w:after="0" w:line="273" w:lineRule="auto"/>
        <w:tabs>
          <w:tab w:leader="none" w:pos="1249" w:val="left"/>
        </w:tabs>
        <w:numPr>
          <w:ilvl w:val="2"/>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General. </w:t>
      </w:r>
      <w:r>
        <w:rPr>
          <w:rFonts w:ascii="Arial" w:cs="Arial" w:eastAsia="Arial" w:hAnsi="Arial"/>
          <w:sz w:val="17"/>
          <w:szCs w:val="17"/>
          <w:color w:val="auto"/>
        </w:rPr>
        <w:t>The Board may delegate some or all of the administration of the Plan to a Committee or Committees. If administration of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construed as being to the Committee or subcommittee, as applicable). Any delegation of administrative powers will be reflected in resolutions, not inconsistent with the provisions of the Plan, adopted from time to time by the Board or Committee (as applicable). The Board may retain the authority to concurrently administer the Plan with the Committee and may, at any time, revest in the Board some or all of the powers previously delegated.</w:t>
      </w:r>
    </w:p>
    <w:p>
      <w:pPr>
        <w:spacing w:after="0" w:line="64" w:lineRule="exact"/>
        <w:rPr>
          <w:rFonts w:ascii="Arial" w:cs="Arial" w:eastAsia="Arial" w:hAnsi="Arial"/>
          <w:sz w:val="17"/>
          <w:szCs w:val="17"/>
          <w:b w:val="1"/>
          <w:bCs w:val="1"/>
          <w:color w:val="auto"/>
        </w:rPr>
      </w:pPr>
    </w:p>
    <w:p>
      <w:pPr>
        <w:ind w:left="1300" w:hanging="258"/>
        <w:spacing w:after="0"/>
        <w:tabs>
          <w:tab w:leader="none" w:pos="1300" w:val="left"/>
        </w:tabs>
        <w:numPr>
          <w:ilvl w:val="2"/>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Rule 16b-3 Compliance. </w:t>
      </w:r>
      <w:r>
        <w:rPr>
          <w:rFonts w:ascii="Arial" w:cs="Arial" w:eastAsia="Arial" w:hAnsi="Arial"/>
          <w:sz w:val="17"/>
          <w:szCs w:val="17"/>
          <w:color w:val="auto"/>
        </w:rPr>
        <w:t>The Committee may consist solely of two or more Non-Employee Directors in accordance with Rule 16b-3.</w:t>
      </w:r>
    </w:p>
    <w:p>
      <w:pPr>
        <w:spacing w:after="0" w:line="128" w:lineRule="exact"/>
        <w:rPr>
          <w:rFonts w:ascii="Arial" w:cs="Arial" w:eastAsia="Arial" w:hAnsi="Arial"/>
          <w:sz w:val="17"/>
          <w:szCs w:val="17"/>
          <w:b w:val="1"/>
          <w:bCs w:val="1"/>
          <w:color w:val="auto"/>
        </w:rPr>
      </w:pPr>
    </w:p>
    <w:p>
      <w:pPr>
        <w:ind w:right="60" w:firstLine="526"/>
        <w:spacing w:after="0" w:line="261" w:lineRule="auto"/>
        <w:tabs>
          <w:tab w:leader="none" w:pos="783" w:val="left"/>
        </w:tabs>
        <w:numPr>
          <w:ilvl w:val="1"/>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Delegation to an Officer. </w:t>
      </w:r>
      <w:r>
        <w:rPr>
          <w:rFonts w:ascii="Arial" w:cs="Arial" w:eastAsia="Arial" w:hAnsi="Arial"/>
          <w:sz w:val="18"/>
          <w:szCs w:val="18"/>
          <w:color w:val="auto"/>
        </w:rPr>
        <w:t>The Board may delegate to one (1) or more Officers the authority to do one or both of the following (i) designate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Employees who are not Officers to be recipients of Options and SARs (and, to the extent permitted by applicable law, other Stock Awards) and, to the extent permitted by applicable law, the terms of such Awards, and (ii) determine the number of shares of Common Stock to be subject to such Stock Awards granted to such Employees;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Board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5" w:name="page36"/>
    <w:bookmarkEnd w:id="35"/>
    <w:p>
      <w:pPr>
        <w:ind w:right="60"/>
        <w:spacing w:after="0" w:line="257" w:lineRule="auto"/>
        <w:rPr>
          <w:sz w:val="20"/>
          <w:szCs w:val="20"/>
          <w:color w:val="auto"/>
        </w:rPr>
      </w:pPr>
      <w:r>
        <w:rPr>
          <w:rFonts w:ascii="Arial" w:cs="Arial" w:eastAsia="Arial" w:hAnsi="Arial"/>
          <w:sz w:val="18"/>
          <w:szCs w:val="18"/>
          <w:color w:val="auto"/>
        </w:rPr>
        <w:t>resolutions regarding such delegation will specify the total number of shares of Common Stock that may be subject to the Stock Awards granted by such Officer and that such Officer may not grant a Stock Award to himself or herself. Any such Stock Awards will be granted on the form of Stock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the Fair Market Value pursuant to Section 13(w)(iii) below.</w:t>
      </w:r>
    </w:p>
    <w:p>
      <w:pPr>
        <w:spacing w:after="0" w:line="76" w:lineRule="exact"/>
        <w:rPr>
          <w:sz w:val="20"/>
          <w:szCs w:val="20"/>
          <w:color w:val="auto"/>
        </w:rPr>
      </w:pPr>
    </w:p>
    <w:p>
      <w:pPr>
        <w:ind w:right="80" w:firstLine="526"/>
        <w:spacing w:after="0" w:line="282" w:lineRule="auto"/>
        <w:tabs>
          <w:tab w:leader="none" w:pos="763"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Board’s Decision. </w:t>
      </w:r>
      <w:r>
        <w:rPr>
          <w:rFonts w:ascii="Arial" w:cs="Arial" w:eastAsia="Arial" w:hAnsi="Arial"/>
          <w:sz w:val="18"/>
          <w:szCs w:val="18"/>
          <w:color w:val="auto"/>
        </w:rPr>
        <w:t>All determinations, interpretations and constructions made by the Board in good faith will not be subject to review by</w:t>
      </w:r>
      <w:r>
        <w:rPr>
          <w:rFonts w:ascii="Arial" w:cs="Arial" w:eastAsia="Arial" w:hAnsi="Arial"/>
          <w:sz w:val="18"/>
          <w:szCs w:val="18"/>
          <w:b w:val="1"/>
          <w:bCs w:val="1"/>
          <w:color w:val="auto"/>
        </w:rPr>
        <w:t xml:space="preserve"> </w:t>
      </w:r>
      <w:r>
        <w:rPr>
          <w:rFonts w:ascii="Arial" w:cs="Arial" w:eastAsia="Arial" w:hAnsi="Arial"/>
          <w:sz w:val="18"/>
          <w:szCs w:val="18"/>
          <w:color w:val="auto"/>
        </w:rPr>
        <w:t>any person and will be final, binding and conclusive on all persons.</w:t>
      </w:r>
    </w:p>
    <w:p>
      <w:pPr>
        <w:spacing w:after="0" w:line="161" w:lineRule="exact"/>
        <w:rPr>
          <w:rFonts w:ascii="Arial" w:cs="Arial" w:eastAsia="Arial" w:hAnsi="Arial"/>
          <w:sz w:val="18"/>
          <w:szCs w:val="18"/>
          <w:b w:val="1"/>
          <w:bCs w:val="1"/>
          <w:color w:val="auto"/>
        </w:rPr>
      </w:pPr>
    </w:p>
    <w:p>
      <w:pPr>
        <w:ind w:left="180" w:hanging="172"/>
        <w:spacing w:after="0"/>
        <w:tabs>
          <w:tab w:leader="none" w:pos="1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3"/>
          <w:szCs w:val="13"/>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3"/>
          <w:szCs w:val="13"/>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right="40" w:firstLine="526"/>
        <w:spacing w:after="0" w:line="261" w:lineRule="auto"/>
        <w:tabs>
          <w:tab w:leader="none" w:pos="773" w:val="left"/>
        </w:tabs>
        <w:numPr>
          <w:ilvl w:val="1"/>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Reserve. </w:t>
      </w:r>
      <w:r>
        <w:rPr>
          <w:rFonts w:ascii="Arial" w:cs="Arial" w:eastAsia="Arial" w:hAnsi="Arial"/>
          <w:sz w:val="18"/>
          <w:szCs w:val="18"/>
          <w:color w:val="auto"/>
        </w:rPr>
        <w:t>Subject to Section 9(a) relating to Capitalization Adjustments, and the following sentence regarding the annual increase, the</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number of shares of Common Stock that may be issued pursuant to Stock Awards will not exceed 4,236,581 shares (the “</w:t>
      </w:r>
      <w:r>
        <w:rPr>
          <w:rFonts w:ascii="Arial" w:cs="Arial" w:eastAsia="Arial" w:hAnsi="Arial"/>
          <w:sz w:val="18"/>
          <w:szCs w:val="18"/>
          <w:b w:val="1"/>
          <w:bCs w:val="1"/>
          <w:i w:val="1"/>
          <w:iCs w:val="1"/>
          <w:color w:val="auto"/>
        </w:rPr>
        <w:t>Share Reserve</w:t>
      </w:r>
      <w:r>
        <w:rPr>
          <w:rFonts w:ascii="Arial" w:cs="Arial" w:eastAsia="Arial" w:hAnsi="Arial"/>
          <w:sz w:val="18"/>
          <w:szCs w:val="18"/>
          <w:color w:val="auto"/>
        </w:rPr>
        <w:t xml:space="preserve">”), which number is the sum of (i) 1,334,315 new shares,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number of shares subject to the Prior Plan’s Available Reserve, </w:t>
      </w:r>
      <w:r>
        <w:rPr>
          <w:rFonts w:ascii="Arial" w:cs="Arial" w:eastAsia="Arial" w:hAnsi="Arial"/>
          <w:sz w:val="18"/>
          <w:szCs w:val="18"/>
          <w:i w:val="1"/>
          <w:iCs w:val="1"/>
          <w:color w:val="auto"/>
        </w:rPr>
        <w:t>plus</w:t>
      </w:r>
      <w:r>
        <w:rPr>
          <w:rFonts w:ascii="Arial" w:cs="Arial" w:eastAsia="Arial" w:hAnsi="Arial"/>
          <w:sz w:val="18"/>
          <w:szCs w:val="18"/>
          <w:color w:val="auto"/>
        </w:rPr>
        <w:t xml:space="preserve"> (iii) the number of shares that are Returning Shares, as such shares become available from time to time.</w:t>
      </w:r>
    </w:p>
    <w:p>
      <w:pPr>
        <w:spacing w:after="0" w:line="76" w:lineRule="exact"/>
        <w:rPr>
          <w:sz w:val="20"/>
          <w:szCs w:val="20"/>
          <w:color w:val="auto"/>
        </w:rPr>
      </w:pPr>
    </w:p>
    <w:p>
      <w:pPr>
        <w:ind w:right="60" w:firstLine="518"/>
        <w:spacing w:after="0" w:line="243" w:lineRule="auto"/>
        <w:rPr>
          <w:sz w:val="20"/>
          <w:szCs w:val="20"/>
          <w:color w:val="auto"/>
        </w:rPr>
      </w:pPr>
      <w:r>
        <w:rPr>
          <w:rFonts w:ascii="Arial" w:cs="Arial" w:eastAsia="Arial" w:hAnsi="Arial"/>
          <w:sz w:val="16"/>
          <w:szCs w:val="16"/>
          <w:color w:val="auto"/>
        </w:rPr>
        <w:t>In addition, the Share Reserve will automatically increase on January 1</w:t>
      </w:r>
      <w:r>
        <w:rPr>
          <w:rFonts w:ascii="Arial" w:cs="Arial" w:eastAsia="Arial" w:hAnsi="Arial"/>
          <w:sz w:val="23"/>
          <w:szCs w:val="23"/>
          <w:color w:val="auto"/>
          <w:vertAlign w:val="superscript"/>
        </w:rPr>
        <w:t>st</w:t>
      </w:r>
      <w:r>
        <w:rPr>
          <w:rFonts w:ascii="Arial" w:cs="Arial" w:eastAsia="Arial" w:hAnsi="Arial"/>
          <w:sz w:val="16"/>
          <w:szCs w:val="16"/>
          <w:color w:val="auto"/>
        </w:rPr>
        <w:t xml:space="preserve"> of each year, for a period of not more than ten years, commencing on January 1</w:t>
      </w:r>
      <w:r>
        <w:rPr>
          <w:rFonts w:ascii="Arial" w:cs="Arial" w:eastAsia="Arial" w:hAnsi="Arial"/>
          <w:sz w:val="23"/>
          <w:szCs w:val="23"/>
          <w:color w:val="auto"/>
          <w:vertAlign w:val="superscript"/>
        </w:rPr>
        <w:t>st</w:t>
      </w:r>
      <w:r>
        <w:rPr>
          <w:rFonts w:ascii="Arial" w:cs="Arial" w:eastAsia="Arial" w:hAnsi="Arial"/>
          <w:sz w:val="16"/>
          <w:szCs w:val="16"/>
          <w:color w:val="auto"/>
        </w:rPr>
        <w:t xml:space="preserve"> of the year following the year in which the IPO Date occurs and ending on (and including) January 1, 2028, in an amount equal to 4% of the total number of shares of Capital Stock outstanding on December 31st of the preceding calendar year. Notwithstanding the foregoing, the Board may act prior to January 1st of a given year to provide that there will be no January 1st increase in the Share Reserve for such year or that the increase in the Share Reserve for such year will be a lesser number of shares of Common Stock than would otherwise occur pursuant to the preceding sentence.</w:t>
      </w:r>
    </w:p>
    <w:p>
      <w:pPr>
        <w:spacing w:after="0" w:line="94" w:lineRule="exact"/>
        <w:rPr>
          <w:sz w:val="20"/>
          <w:szCs w:val="20"/>
          <w:color w:val="auto"/>
        </w:rPr>
      </w:pPr>
    </w:p>
    <w:p>
      <w:pPr>
        <w:ind w:right="200" w:firstLine="518"/>
        <w:spacing w:after="0" w:line="302" w:lineRule="auto"/>
        <w:rPr>
          <w:sz w:val="20"/>
          <w:szCs w:val="20"/>
          <w:color w:val="auto"/>
        </w:rPr>
      </w:pPr>
      <w:r>
        <w:rPr>
          <w:rFonts w:ascii="Arial" w:cs="Arial" w:eastAsia="Arial" w:hAnsi="Arial"/>
          <w:sz w:val="16"/>
          <w:szCs w:val="16"/>
          <w:color w:val="auto"/>
        </w:rPr>
        <w:t>For clarity, the Share Reserve in this Section 3(a) is a limitation on the number of shares of Common Stock that may be issued pursuant to the Plan. Accordingly, this Section 3(a) does not limit the granting of Stock Awards except as provided in Section 7(a). Shares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w:t>
      </w:r>
    </w:p>
    <w:p>
      <w:pPr>
        <w:spacing w:after="0" w:line="42" w:lineRule="exact"/>
        <w:rPr>
          <w:sz w:val="20"/>
          <w:szCs w:val="20"/>
          <w:color w:val="auto"/>
        </w:rPr>
      </w:pPr>
    </w:p>
    <w:p>
      <w:pPr>
        <w:ind w:right="100" w:firstLine="526"/>
        <w:spacing w:after="0" w:line="273" w:lineRule="auto"/>
        <w:tabs>
          <w:tab w:leader="none" w:pos="783"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Reversion of Shares to the Share Reserve. </w:t>
      </w:r>
      <w:r>
        <w:rPr>
          <w:rFonts w:ascii="Arial" w:cs="Arial" w:eastAsia="Arial" w:hAnsi="Arial"/>
          <w:sz w:val="17"/>
          <w:szCs w:val="17"/>
          <w:color w:val="auto"/>
        </w:rPr>
        <w:t>If a Stock Award or any portion thereof (i) expires or otherwise terminates without all of the shares</w:t>
      </w:r>
      <w:r>
        <w:rPr>
          <w:rFonts w:ascii="Arial" w:cs="Arial" w:eastAsia="Arial" w:hAnsi="Arial"/>
          <w:sz w:val="17"/>
          <w:szCs w:val="17"/>
          <w:b w:val="1"/>
          <w:bCs w:val="1"/>
          <w:color w:val="auto"/>
        </w:rPr>
        <w:t xml:space="preserve"> </w:t>
      </w:r>
      <w:r>
        <w:rPr>
          <w:rFonts w:ascii="Arial" w:cs="Arial" w:eastAsia="Arial" w:hAnsi="Arial"/>
          <w:sz w:val="17"/>
          <w:szCs w:val="17"/>
          <w:color w:val="auto"/>
        </w:rPr>
        <w:t>covered by such Stock Award having been issued or (ii) is settled in cash (</w:t>
      </w:r>
      <w:r>
        <w:rPr>
          <w:rFonts w:ascii="Arial" w:cs="Arial" w:eastAsia="Arial" w:hAnsi="Arial"/>
          <w:sz w:val="17"/>
          <w:szCs w:val="17"/>
          <w:i w:val="1"/>
          <w:iCs w:val="1"/>
          <w:color w:val="auto"/>
        </w:rPr>
        <w:t>i.e.</w:t>
      </w:r>
      <w:r>
        <w:rPr>
          <w:rFonts w:ascii="Arial" w:cs="Arial" w:eastAsia="Arial" w:hAnsi="Arial"/>
          <w:sz w:val="17"/>
          <w:szCs w:val="17"/>
          <w:color w:val="auto"/>
        </w:rPr>
        <w:t>, the Participant receives cash rather than stock), such expiration, termination or settlement will not reduce (or otherwise offset) the number of shares of Common Stock that may be available for issuance under the Plan. If any shares of Common Stock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w:t>
      </w:r>
    </w:p>
    <w:p>
      <w:pPr>
        <w:spacing w:after="0" w:line="64" w:lineRule="exact"/>
        <w:rPr>
          <w:rFonts w:ascii="Arial" w:cs="Arial" w:eastAsia="Arial" w:hAnsi="Arial"/>
          <w:sz w:val="17"/>
          <w:szCs w:val="17"/>
          <w:b w:val="1"/>
          <w:bCs w:val="1"/>
          <w:color w:val="auto"/>
        </w:rPr>
      </w:pPr>
    </w:p>
    <w:p>
      <w:pPr>
        <w:ind w:firstLine="526"/>
        <w:spacing w:after="0" w:line="313" w:lineRule="auto"/>
        <w:tabs>
          <w:tab w:leader="none" w:pos="763"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Incentive Stock Option Limit. </w:t>
      </w:r>
      <w:r>
        <w:rPr>
          <w:rFonts w:ascii="Arial" w:cs="Arial" w:eastAsia="Arial" w:hAnsi="Arial"/>
          <w:sz w:val="17"/>
          <w:szCs w:val="17"/>
          <w:color w:val="auto"/>
        </w:rPr>
        <w:t>Subject to the provisions of Section 9(a) relating to Capitalization Adjustments, the aggregate maximum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Common Stock that may be issued pursuant to the exercise of Incentive Stock Options will be 4,200,000 shares of Common Stock.</w:t>
      </w:r>
    </w:p>
    <w:p>
      <w:pPr>
        <w:spacing w:after="0" w:line="30" w:lineRule="exact"/>
        <w:rPr>
          <w:rFonts w:ascii="Arial" w:cs="Arial" w:eastAsia="Arial" w:hAnsi="Arial"/>
          <w:sz w:val="17"/>
          <w:szCs w:val="17"/>
          <w:b w:val="1"/>
          <w:bCs w:val="1"/>
          <w:color w:val="auto"/>
        </w:rPr>
      </w:pPr>
    </w:p>
    <w:p>
      <w:pPr>
        <w:ind w:right="240" w:firstLine="526"/>
        <w:spacing w:after="0" w:line="258" w:lineRule="auto"/>
        <w:tabs>
          <w:tab w:leader="none" w:pos="783"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 on Grants to Non-Employee Directors. </w:t>
      </w:r>
      <w:r>
        <w:rPr>
          <w:rFonts w:ascii="Arial" w:cs="Arial" w:eastAsia="Arial" w:hAnsi="Arial"/>
          <w:sz w:val="18"/>
          <w:szCs w:val="18"/>
          <w:color w:val="auto"/>
        </w:rPr>
        <w:t>The maximum number of shares of Common Stock subject to Stock Awards granted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or otherwise during any one calendar year to any Non-Employee Director, taken together with any cash fees paid by the Company to such Non-Employee Director during such calendar year for service on the Board, will not exceed $400,000 in total value (calculating the value of any such Stock Awards based on the grant date fair value of such Stock Awards for financial reporting purposes), or, with respect to the calendar year in which a Non-Employee Director is first appointed or elected to the Board, $600,000.</w:t>
      </w:r>
    </w:p>
    <w:p>
      <w:pPr>
        <w:spacing w:after="0" w:line="75" w:lineRule="exact"/>
        <w:rPr>
          <w:rFonts w:ascii="Arial" w:cs="Arial" w:eastAsia="Arial" w:hAnsi="Arial"/>
          <w:sz w:val="18"/>
          <w:szCs w:val="18"/>
          <w:b w:val="1"/>
          <w:bCs w:val="1"/>
          <w:color w:val="auto"/>
        </w:rPr>
      </w:pPr>
    </w:p>
    <w:p>
      <w:pPr>
        <w:ind w:right="440" w:firstLine="526"/>
        <w:spacing w:after="0" w:line="282" w:lineRule="auto"/>
        <w:tabs>
          <w:tab w:leader="none" w:pos="763"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Shares. </w:t>
      </w:r>
      <w:r>
        <w:rPr>
          <w:rFonts w:ascii="Arial" w:cs="Arial" w:eastAsia="Arial" w:hAnsi="Arial"/>
          <w:sz w:val="18"/>
          <w:szCs w:val="18"/>
          <w:color w:val="auto"/>
        </w:rPr>
        <w:t>The stock issuable under the Plan will be shares of authorized but unissued or reacquired Common Stock, including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repurchased by the Company on the open market or otherwise.</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6" w:name="page37"/>
    <w:bookmarkEnd w:id="36"/>
    <w:p>
      <w:pPr>
        <w:ind w:left="180" w:hanging="172"/>
        <w:spacing w:after="0"/>
        <w:tabs>
          <w:tab w:leader="none" w:pos="1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3"/>
          <w:szCs w:val="13"/>
          <w:b w:val="1"/>
          <w:bCs w:val="1"/>
          <w:color w:val="auto"/>
        </w:rPr>
        <w:t>LIGIBILITY</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right="60" w:firstLine="526"/>
        <w:spacing w:after="0" w:line="272" w:lineRule="auto"/>
        <w:tabs>
          <w:tab w:leader="none" w:pos="773" w:val="left"/>
        </w:tabs>
        <w:numPr>
          <w:ilvl w:val="1"/>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Eligibility for Specific Stock Awards</w:t>
      </w:r>
      <w:r>
        <w:rPr>
          <w:rFonts w:ascii="Arial" w:cs="Arial" w:eastAsia="Arial" w:hAnsi="Arial"/>
          <w:sz w:val="17"/>
          <w:szCs w:val="17"/>
          <w:color w:val="auto"/>
        </w:rPr>
        <w:t>. Incentive Stock Options may be granted only to employees of the Company or a “parent corporation”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“subsidiary corporation” thereof (as such terms are defined in Sections 424(e) and 424(f) of the Code). Stock Awards other than Incentive Stock Options may be granted to Employees, Directors and Consultants; </w:t>
      </w:r>
      <w:r>
        <w:rPr>
          <w:rFonts w:ascii="Arial" w:cs="Arial" w:eastAsia="Arial" w:hAnsi="Arial"/>
          <w:sz w:val="17"/>
          <w:szCs w:val="17"/>
          <w:i w:val="1"/>
          <w:iCs w:val="1"/>
          <w:color w:val="auto"/>
        </w:rPr>
        <w:t>provided, however</w:t>
      </w:r>
      <w:r>
        <w:rPr>
          <w:rFonts w:ascii="Arial" w:cs="Arial" w:eastAsia="Arial" w:hAnsi="Arial"/>
          <w:sz w:val="17"/>
          <w:szCs w:val="17"/>
          <w:color w:val="auto"/>
        </w:rPr>
        <w:t>, that Stock Awards may not be granted to Employees, Directors and Consultants who are providing Continuous Service only to any “parent” of the Company, as such term is defined in Rule 405 of the Securities Act, unless (i) the stock underlying such Stock Awards is treated as “service recipient stock” under Section 409A of the Code (for example, because the Stock Awards are granted pursuant to a corporate transaction such as a spin off transaction), (ii) the Company, in consultation with its legal counsel, has determined that such Stock Awards are otherwise exempt from Section 409A of the Code, or (iii) the Company, in consultation with its legal counsel, has determined that such Stock Awards comply with the distribution requirements of Section 409A of the Code.</w:t>
      </w:r>
    </w:p>
    <w:p>
      <w:pPr>
        <w:spacing w:after="0" w:line="64" w:lineRule="exact"/>
        <w:rPr>
          <w:rFonts w:ascii="Arial" w:cs="Arial" w:eastAsia="Arial" w:hAnsi="Arial"/>
          <w:sz w:val="17"/>
          <w:szCs w:val="17"/>
          <w:b w:val="1"/>
          <w:bCs w:val="1"/>
          <w:color w:val="auto"/>
        </w:rPr>
      </w:pPr>
    </w:p>
    <w:p>
      <w:pPr>
        <w:ind w:right="60" w:firstLine="526"/>
        <w:spacing w:after="0" w:line="347" w:lineRule="auto"/>
        <w:tabs>
          <w:tab w:leader="none" w:pos="783" w:val="left"/>
        </w:tabs>
        <w:numPr>
          <w:ilvl w:val="1"/>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Ten Percent Stockholders. </w:t>
      </w:r>
      <w:r>
        <w:rPr>
          <w:rFonts w:ascii="Arial" w:cs="Arial" w:eastAsia="Arial" w:hAnsi="Arial"/>
          <w:sz w:val="16"/>
          <w:szCs w:val="16"/>
          <w:color w:val="auto"/>
        </w:rPr>
        <w:t>A Ten Percent Stockholder will not be granted an Incentive Stock Option unless the exercise price of such Option is at</w:t>
      </w:r>
      <w:r>
        <w:rPr>
          <w:rFonts w:ascii="Arial" w:cs="Arial" w:eastAsia="Arial" w:hAnsi="Arial"/>
          <w:sz w:val="16"/>
          <w:szCs w:val="16"/>
          <w:b w:val="1"/>
          <w:bCs w:val="1"/>
          <w:color w:val="auto"/>
        </w:rPr>
        <w:t xml:space="preserve"> </w:t>
      </w:r>
      <w:r>
        <w:rPr>
          <w:rFonts w:ascii="Arial" w:cs="Arial" w:eastAsia="Arial" w:hAnsi="Arial"/>
          <w:sz w:val="16"/>
          <w:szCs w:val="16"/>
          <w:color w:val="auto"/>
        </w:rPr>
        <w:t>least 110% of the Fair Market Value on the date of grant and the Option is not exercisable after the expiration of five years from the date of grant.</w:t>
      </w:r>
    </w:p>
    <w:p>
      <w:pPr>
        <w:spacing w:after="0" w:line="116" w:lineRule="exact"/>
        <w:rPr>
          <w:rFonts w:ascii="Arial" w:cs="Arial" w:eastAsia="Arial" w:hAnsi="Arial"/>
          <w:sz w:val="16"/>
          <w:szCs w:val="16"/>
          <w:b w:val="1"/>
          <w:bCs w:val="1"/>
          <w:color w:val="auto"/>
        </w:rPr>
      </w:pPr>
    </w:p>
    <w:p>
      <w:pPr>
        <w:ind w:left="180" w:hanging="172"/>
        <w:spacing w:after="0"/>
        <w:tabs>
          <w:tab w:leader="none" w:pos="1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3"/>
          <w:szCs w:val="13"/>
          <w:b w:val="1"/>
          <w:bCs w:val="1"/>
          <w:color w:val="auto"/>
        </w:rPr>
        <w:t>ROVISIONS</w:t>
      </w:r>
      <w:r>
        <w:rPr>
          <w:rFonts w:ascii="Arial" w:cs="Arial" w:eastAsia="Arial" w:hAnsi="Arial"/>
          <w:sz w:val="18"/>
          <w:szCs w:val="18"/>
          <w:b w:val="1"/>
          <w:bCs w:val="1"/>
          <w:color w:val="auto"/>
        </w:rPr>
        <w:t xml:space="preserve"> R</w:t>
      </w:r>
      <w:r>
        <w:rPr>
          <w:rFonts w:ascii="Arial" w:cs="Arial" w:eastAsia="Arial" w:hAnsi="Arial"/>
          <w:sz w:val="13"/>
          <w:szCs w:val="13"/>
          <w:b w:val="1"/>
          <w:bCs w:val="1"/>
          <w:color w:val="auto"/>
        </w:rPr>
        <w:t>ELATING TO</w:t>
      </w:r>
      <w:r>
        <w:rPr>
          <w:rFonts w:ascii="Arial" w:cs="Arial" w:eastAsia="Arial" w:hAnsi="Arial"/>
          <w:sz w:val="18"/>
          <w:szCs w:val="18"/>
          <w:b w:val="1"/>
          <w:bCs w:val="1"/>
          <w:color w:val="auto"/>
        </w:rPr>
        <w:t xml:space="preserve"> O</w:t>
      </w:r>
      <w:r>
        <w:rPr>
          <w:rFonts w:ascii="Arial" w:cs="Arial" w:eastAsia="Arial" w:hAnsi="Arial"/>
          <w:sz w:val="13"/>
          <w:szCs w:val="13"/>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3"/>
          <w:szCs w:val="13"/>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3"/>
          <w:szCs w:val="13"/>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Arial" w:cs="Arial" w:eastAsia="Arial" w:hAnsi="Arial"/>
          <w:sz w:val="17"/>
          <w:szCs w:val="17"/>
          <w:i w:val="1"/>
          <w:iCs w:val="1"/>
          <w:color w:val="auto"/>
        </w:rPr>
        <w:t>provided, however</w:t>
      </w:r>
      <w:r>
        <w:rPr>
          <w:rFonts w:ascii="Arial" w:cs="Arial" w:eastAsia="Arial" w:hAnsi="Arial"/>
          <w:sz w:val="17"/>
          <w:szCs w:val="17"/>
          <w:color w:val="auto"/>
        </w:rPr>
        <w:t>, that each Award Agreement will conform to (through incorporation of provisions hereof by reference in the applicable Award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or otherwise) the substance of each of the following provisions:</w:t>
      </w:r>
    </w:p>
    <w:p>
      <w:pPr>
        <w:spacing w:after="0" w:line="66" w:lineRule="exact"/>
        <w:rPr>
          <w:sz w:val="20"/>
          <w:szCs w:val="20"/>
          <w:color w:val="auto"/>
        </w:rPr>
      </w:pPr>
    </w:p>
    <w:p>
      <w:pPr>
        <w:ind w:right="200" w:firstLine="526"/>
        <w:spacing w:after="0" w:line="282" w:lineRule="auto"/>
        <w:tabs>
          <w:tab w:leader="none" w:pos="77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Subject to the provisions of Section 4(b) regarding Ten Percent Stockholders, no Option or SAR will be exercisable after the expiration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ten years from the date of its grant or such shorter period specified in the Award Agreement.</w:t>
      </w:r>
    </w:p>
    <w:p>
      <w:pPr>
        <w:spacing w:after="0" w:line="53" w:lineRule="exact"/>
        <w:rPr>
          <w:rFonts w:ascii="Arial" w:cs="Arial" w:eastAsia="Arial" w:hAnsi="Arial"/>
          <w:sz w:val="18"/>
          <w:szCs w:val="18"/>
          <w:b w:val="1"/>
          <w:bCs w:val="1"/>
          <w:color w:val="auto"/>
        </w:rPr>
      </w:pPr>
    </w:p>
    <w:p>
      <w:pPr>
        <w:ind w:firstLine="526"/>
        <w:spacing w:after="0" w:line="256" w:lineRule="auto"/>
        <w:tabs>
          <w:tab w:leader="none" w:pos="783"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Subject to the provisions of Section 4(b) regarding Ten Percent Stockholders, the exercise or strike price of each Option or SAR</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not less than 100% of the Fair Market Value of the Common Stock subject to the Option or SAR on the date the Award is granted. Notwithstanding the foregoing, an Option or SAR may be granted with an exercise or strike price lower than 100% of the Fair Market Value of the Common Stock subject to the Award if such Award is granted pursuant to an assumption of or substitution for another option or stock appreciation right pursuant to a Corporate Transaction and in a manner consistent with the provisions of Section 409A of the Code and, if applicable, Section 424(a) of the Code. Each SAR will be denominated in shares of Common Stock equivalents.</w:t>
      </w:r>
    </w:p>
    <w:p>
      <w:pPr>
        <w:spacing w:after="0" w:line="201" w:lineRule="exact"/>
        <w:rPr>
          <w:rFonts w:ascii="Arial" w:cs="Arial" w:eastAsia="Arial" w:hAnsi="Arial"/>
          <w:sz w:val="18"/>
          <w:szCs w:val="18"/>
          <w:b w:val="1"/>
          <w:bCs w:val="1"/>
          <w:color w:val="auto"/>
        </w:rPr>
      </w:pPr>
    </w:p>
    <w:p>
      <w:pPr>
        <w:ind w:right="120" w:firstLine="526"/>
        <w:spacing w:after="0" w:line="303" w:lineRule="auto"/>
        <w:tabs>
          <w:tab w:leader="none" w:pos="763"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Purchase Price for Options. </w:t>
      </w:r>
      <w:r>
        <w:rPr>
          <w:rFonts w:ascii="Arial" w:cs="Arial" w:eastAsia="Arial" w:hAnsi="Arial"/>
          <w:sz w:val="16"/>
          <w:szCs w:val="16"/>
          <w:color w:val="auto"/>
        </w:rPr>
        <w:t>The purchase price of Common Stock acquired pursuant to the exercise of an Option may be paid, to the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spacing w:after="0" w:line="47" w:lineRule="exact"/>
        <w:rPr>
          <w:rFonts w:ascii="Arial" w:cs="Arial" w:eastAsia="Arial" w:hAnsi="Arial"/>
          <w:sz w:val="16"/>
          <w:szCs w:val="16"/>
          <w:b w:val="1"/>
          <w:bCs w:val="1"/>
          <w:color w:val="auto"/>
        </w:rPr>
      </w:pPr>
    </w:p>
    <w:p>
      <w:pPr>
        <w:ind w:left="1260" w:hanging="218"/>
        <w:spacing w:after="0"/>
        <w:tabs>
          <w:tab w:leader="none" w:pos="1260" w:val="left"/>
        </w:tabs>
        <w:numPr>
          <w:ilvl w:val="1"/>
          <w:numId w:val="34"/>
        </w:numPr>
        <w:rPr>
          <w:rFonts w:ascii="Arial" w:cs="Arial" w:eastAsia="Arial" w:hAnsi="Arial"/>
          <w:sz w:val="18"/>
          <w:szCs w:val="18"/>
          <w:b w:val="1"/>
          <w:bCs w:val="1"/>
          <w:color w:val="auto"/>
        </w:rPr>
      </w:pPr>
      <w:r>
        <w:rPr>
          <w:rFonts w:ascii="Arial" w:cs="Arial" w:eastAsia="Arial" w:hAnsi="Arial"/>
          <w:sz w:val="18"/>
          <w:szCs w:val="18"/>
          <w:color w:val="auto"/>
        </w:rPr>
        <w:t>by cash, check, bank draft or money order payable to the Company;</w:t>
      </w:r>
    </w:p>
    <w:p>
      <w:pPr>
        <w:spacing w:after="0" w:line="117" w:lineRule="exact"/>
        <w:rPr>
          <w:rFonts w:ascii="Arial" w:cs="Arial" w:eastAsia="Arial" w:hAnsi="Arial"/>
          <w:sz w:val="18"/>
          <w:szCs w:val="18"/>
          <w:b w:val="1"/>
          <w:bCs w:val="1"/>
          <w:color w:val="auto"/>
        </w:rPr>
      </w:pPr>
    </w:p>
    <w:p>
      <w:pPr>
        <w:jc w:val="both"/>
        <w:ind w:right="220" w:firstLine="1042"/>
        <w:spacing w:after="0" w:line="264" w:lineRule="auto"/>
        <w:tabs>
          <w:tab w:leader="none" w:pos="1299" w:val="left"/>
        </w:tabs>
        <w:numPr>
          <w:ilvl w:val="1"/>
          <w:numId w:val="34"/>
        </w:numPr>
        <w:rPr>
          <w:rFonts w:ascii="Arial" w:cs="Arial" w:eastAsia="Arial" w:hAnsi="Arial"/>
          <w:sz w:val="18"/>
          <w:szCs w:val="18"/>
          <w:b w:val="1"/>
          <w:bCs w:val="1"/>
          <w:color w:val="auto"/>
        </w:rPr>
      </w:pPr>
      <w:r>
        <w:rPr>
          <w:rFonts w:ascii="Arial" w:cs="Arial" w:eastAsia="Arial" w:hAnsi="Arial"/>
          <w:sz w:val="18"/>
          <w:szCs w:val="18"/>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73" w:lineRule="exact"/>
        <w:rPr>
          <w:rFonts w:ascii="Arial" w:cs="Arial" w:eastAsia="Arial" w:hAnsi="Arial"/>
          <w:sz w:val="18"/>
          <w:szCs w:val="18"/>
          <w:b w:val="1"/>
          <w:bCs w:val="1"/>
          <w:color w:val="auto"/>
        </w:rPr>
      </w:pPr>
    </w:p>
    <w:p>
      <w:pPr>
        <w:ind w:left="1360" w:hanging="318"/>
        <w:spacing w:after="0"/>
        <w:tabs>
          <w:tab w:leader="none" w:pos="1360" w:val="left"/>
        </w:tabs>
        <w:numPr>
          <w:ilvl w:val="1"/>
          <w:numId w:val="34"/>
        </w:numPr>
        <w:rPr>
          <w:rFonts w:ascii="Arial" w:cs="Arial" w:eastAsia="Arial" w:hAnsi="Arial"/>
          <w:sz w:val="18"/>
          <w:szCs w:val="18"/>
          <w:b w:val="1"/>
          <w:bCs w:val="1"/>
          <w:color w:val="auto"/>
        </w:rPr>
      </w:pPr>
      <w:r>
        <w:rPr>
          <w:rFonts w:ascii="Arial" w:cs="Arial" w:eastAsia="Arial" w:hAnsi="Arial"/>
          <w:sz w:val="18"/>
          <w:szCs w:val="18"/>
          <w:color w:val="auto"/>
        </w:rPr>
        <w:t>by delivery to the Company (either by actual delivery or attestation) of shares of Common Stock;</w:t>
      </w:r>
    </w:p>
    <w:p>
      <w:pPr>
        <w:spacing w:after="0" w:line="117" w:lineRule="exact"/>
        <w:rPr>
          <w:rFonts w:ascii="Arial" w:cs="Arial" w:eastAsia="Arial" w:hAnsi="Arial"/>
          <w:sz w:val="18"/>
          <w:szCs w:val="18"/>
          <w:b w:val="1"/>
          <w:bCs w:val="1"/>
          <w:color w:val="auto"/>
        </w:rPr>
      </w:pPr>
    </w:p>
    <w:p>
      <w:pPr>
        <w:ind w:right="40" w:firstLine="1042"/>
        <w:spacing w:after="0" w:line="293" w:lineRule="auto"/>
        <w:tabs>
          <w:tab w:leader="none" w:pos="1339" w:val="left"/>
        </w:tabs>
        <w:numPr>
          <w:ilvl w:val="1"/>
          <w:numId w:val="34"/>
        </w:numPr>
        <w:rPr>
          <w:rFonts w:ascii="Arial" w:cs="Arial" w:eastAsia="Arial" w:hAnsi="Arial"/>
          <w:sz w:val="16"/>
          <w:szCs w:val="16"/>
          <w:b w:val="1"/>
          <w:bCs w:val="1"/>
          <w:color w:val="auto"/>
        </w:rPr>
      </w:pPr>
      <w:r>
        <w:rPr>
          <w:rFonts w:ascii="Arial" w:cs="Arial" w:eastAsia="Arial" w:hAnsi="Arial"/>
          <w:sz w:val="16"/>
          <w:szCs w:val="16"/>
          <w:color w:val="auto"/>
        </w:rPr>
        <w:t xml:space="preserve">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spacing w:after="0" w:line="56" w:lineRule="exact"/>
        <w:rPr>
          <w:rFonts w:ascii="Arial" w:cs="Arial" w:eastAsia="Arial" w:hAnsi="Arial"/>
          <w:sz w:val="16"/>
          <w:szCs w:val="16"/>
          <w:b w:val="1"/>
          <w:bCs w:val="1"/>
          <w:color w:val="auto"/>
        </w:rPr>
      </w:pPr>
    </w:p>
    <w:p>
      <w:pPr>
        <w:ind w:left="1300" w:hanging="258"/>
        <w:spacing w:after="0"/>
        <w:tabs>
          <w:tab w:leader="none" w:pos="1300" w:val="left"/>
        </w:tabs>
        <w:numPr>
          <w:ilvl w:val="1"/>
          <w:numId w:val="34"/>
        </w:numPr>
        <w:rPr>
          <w:rFonts w:ascii="Arial" w:cs="Arial" w:eastAsia="Arial" w:hAnsi="Arial"/>
          <w:sz w:val="18"/>
          <w:szCs w:val="18"/>
          <w:b w:val="1"/>
          <w:bCs w:val="1"/>
          <w:color w:val="auto"/>
        </w:rPr>
      </w:pPr>
      <w:r>
        <w:rPr>
          <w:rFonts w:ascii="Arial" w:cs="Arial" w:eastAsia="Arial" w:hAnsi="Arial"/>
          <w:sz w:val="18"/>
          <w:szCs w:val="18"/>
          <w:color w:val="auto"/>
        </w:rPr>
        <w:t>in any other form of legal consideration that may be acceptable to the Board and specified in the applicable Award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7" w:name="page38"/>
    <w:bookmarkEnd w:id="37"/>
    <w:p>
      <w:pPr>
        <w:ind w:right="20" w:firstLine="526"/>
        <w:spacing w:after="0" w:line="292" w:lineRule="auto"/>
        <w:tabs>
          <w:tab w:leader="none" w:pos="783"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Exercise and Payment of a SAR. </w:t>
      </w:r>
      <w:r>
        <w:rPr>
          <w:rFonts w:ascii="Arial" w:cs="Arial" w:eastAsia="Arial" w:hAnsi="Arial"/>
          <w:sz w:val="16"/>
          <w:szCs w:val="16"/>
          <w:color w:val="auto"/>
        </w:rPr>
        <w:t>To exercise any outstanding SAR, the Participant must provide written notice of exercise to the Company in</w:t>
      </w:r>
      <w:r>
        <w:rPr>
          <w:rFonts w:ascii="Arial" w:cs="Arial" w:eastAsia="Arial" w:hAnsi="Arial"/>
          <w:sz w:val="16"/>
          <w:szCs w:val="16"/>
          <w:b w:val="1"/>
          <w:bCs w:val="1"/>
          <w:color w:val="auto"/>
        </w:rPr>
        <w:t xml:space="preserve"> </w:t>
      </w:r>
      <w:r>
        <w:rPr>
          <w:rFonts w:ascii="Arial" w:cs="Arial" w:eastAsia="Arial" w:hAnsi="Arial"/>
          <w:sz w:val="16"/>
          <w:szCs w:val="16"/>
          <w:color w:val="auto"/>
        </w:rPr>
        <w:t>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Award Agreement evidencing such SAR.</w:t>
      </w:r>
    </w:p>
    <w:p>
      <w:pPr>
        <w:spacing w:after="0" w:line="175" w:lineRule="exact"/>
        <w:rPr>
          <w:rFonts w:ascii="Arial" w:cs="Arial" w:eastAsia="Arial" w:hAnsi="Arial"/>
          <w:sz w:val="16"/>
          <w:szCs w:val="16"/>
          <w:b w:val="1"/>
          <w:bCs w:val="1"/>
          <w:color w:val="auto"/>
        </w:rPr>
      </w:pPr>
    </w:p>
    <w:p>
      <w:pPr>
        <w:ind w:right="180" w:firstLine="526"/>
        <w:spacing w:after="0" w:line="266" w:lineRule="auto"/>
        <w:tabs>
          <w:tab w:leader="none" w:pos="763"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Transferability of Options and SARs. </w:t>
      </w:r>
      <w:r>
        <w:rPr>
          <w:rFonts w:ascii="Arial" w:cs="Arial" w:eastAsia="Arial" w:hAnsi="Arial"/>
          <w:sz w:val="18"/>
          <w:szCs w:val="18"/>
          <w:color w:val="auto"/>
        </w:rPr>
        <w:t>The Board may, in its sole discretion, impose such limitations on the transferability of Options and SARs</w:t>
      </w:r>
      <w:r>
        <w:rPr>
          <w:rFonts w:ascii="Arial" w:cs="Arial" w:eastAsia="Arial" w:hAnsi="Arial"/>
          <w:sz w:val="18"/>
          <w:szCs w:val="18"/>
          <w:b w:val="1"/>
          <w:bCs w:val="1"/>
          <w:color w:val="auto"/>
        </w:rPr>
        <w:t xml:space="preserve"> </w:t>
      </w:r>
      <w:r>
        <w:rPr>
          <w:rFonts w:ascii="Arial" w:cs="Arial" w:eastAsia="Arial" w:hAnsi="Arial"/>
          <w:sz w:val="18"/>
          <w:szCs w:val="18"/>
          <w:color w:val="auto"/>
        </w:rPr>
        <w:t>as the Board will determine. In the absence of such a determination by the Board to the contrary, the following restrictions on the transferability of Options and SARs will apply:</w:t>
      </w:r>
    </w:p>
    <w:p>
      <w:pPr>
        <w:spacing w:after="0" w:line="68" w:lineRule="exact"/>
        <w:rPr>
          <w:rFonts w:ascii="Arial" w:cs="Arial" w:eastAsia="Arial" w:hAnsi="Arial"/>
          <w:sz w:val="18"/>
          <w:szCs w:val="18"/>
          <w:b w:val="1"/>
          <w:bCs w:val="1"/>
          <w:color w:val="auto"/>
        </w:rPr>
      </w:pPr>
    </w:p>
    <w:p>
      <w:pPr>
        <w:jc w:val="both"/>
        <w:ind w:right="40" w:firstLine="1042"/>
        <w:spacing w:after="0" w:line="261" w:lineRule="auto"/>
        <w:tabs>
          <w:tab w:leader="none" w:pos="1249" w:val="left"/>
        </w:tabs>
        <w:numPr>
          <w:ilvl w:val="1"/>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w:t>
      </w:r>
      <w:r>
        <w:rPr>
          <w:rFonts w:ascii="Arial" w:cs="Arial" w:eastAsia="Arial" w:hAnsi="Arial"/>
          <w:sz w:val="18"/>
          <w:szCs w:val="18"/>
          <w:color w:val="auto"/>
        </w:rPr>
        <w:t>An Option or SAR will not be transferable except by will or by the laws of descent and distribution (or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subsections (ii) and (iii) below), and will be exercisable during the lifetime of the Participant only by the Participant. The Board may permit transfer of the Option or SAR in a manner that is not prohibited by applicable tax and securities laws. Except as explicitly provided in the Plan, neither an Option nor a SAR may be transferred for consideration.</w:t>
      </w:r>
    </w:p>
    <w:p>
      <w:pPr>
        <w:spacing w:after="0" w:line="71" w:lineRule="exact"/>
        <w:rPr>
          <w:rFonts w:ascii="Arial" w:cs="Arial" w:eastAsia="Arial" w:hAnsi="Arial"/>
          <w:sz w:val="18"/>
          <w:szCs w:val="18"/>
          <w:b w:val="1"/>
          <w:bCs w:val="1"/>
          <w:color w:val="auto"/>
        </w:rPr>
      </w:pPr>
    </w:p>
    <w:p>
      <w:pPr>
        <w:ind w:right="240" w:firstLine="1042"/>
        <w:spacing w:after="0" w:line="261" w:lineRule="auto"/>
        <w:tabs>
          <w:tab w:leader="none" w:pos="1299" w:val="left"/>
        </w:tabs>
        <w:numPr>
          <w:ilvl w:val="1"/>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Subject to the approval of the Board or a duly authorized Officer, an Option or SAR may be transferred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terms of a domestic relations order, official marital settlement agreement or other divorce or separation instrument as permitted by Treasury Regulations Section 1.421-1(b)(2). If an Option is an Incentive Stock Option, such Option may be deemed to be a Nonstatutory Stock Option as a result of such transfer.</w:t>
      </w:r>
    </w:p>
    <w:p>
      <w:pPr>
        <w:spacing w:after="0" w:line="71" w:lineRule="exact"/>
        <w:rPr>
          <w:rFonts w:ascii="Arial" w:cs="Arial" w:eastAsia="Arial" w:hAnsi="Arial"/>
          <w:sz w:val="18"/>
          <w:szCs w:val="18"/>
          <w:b w:val="1"/>
          <w:bCs w:val="1"/>
          <w:color w:val="auto"/>
        </w:rPr>
      </w:pPr>
    </w:p>
    <w:p>
      <w:pPr>
        <w:ind w:right="40" w:firstLine="1042"/>
        <w:spacing w:after="0" w:line="295" w:lineRule="auto"/>
        <w:tabs>
          <w:tab w:leader="none" w:pos="1349" w:val="left"/>
        </w:tabs>
        <w:numPr>
          <w:ilvl w:val="1"/>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Beneficiary Designation. </w:t>
      </w:r>
      <w:r>
        <w:rPr>
          <w:rFonts w:ascii="Arial" w:cs="Arial" w:eastAsia="Arial" w:hAnsi="Arial"/>
          <w:sz w:val="16"/>
          <w:szCs w:val="16"/>
          <w:color w:val="auto"/>
        </w:rPr>
        <w:t>Subject to the approval of the Board or a duly authorized Officer, a Participant may, by delivering written notice</w:t>
      </w:r>
      <w:r>
        <w:rPr>
          <w:rFonts w:ascii="Arial" w:cs="Arial" w:eastAsia="Arial" w:hAnsi="Arial"/>
          <w:sz w:val="16"/>
          <w:szCs w:val="16"/>
          <w:b w:val="1"/>
          <w:bCs w:val="1"/>
          <w:color w:val="auto"/>
        </w:rPr>
        <w:t xml:space="preserve"> </w:t>
      </w:r>
      <w:r>
        <w:rPr>
          <w:rFonts w:ascii="Arial" w:cs="Arial" w:eastAsia="Arial" w:hAnsi="Arial"/>
          <w:sz w:val="16"/>
          <w:szCs w:val="16"/>
          <w:color w:val="auto"/>
        </w:rPr>
        <w:t>to the Company, in a form approved by the Company (or the designated broker), designate a third party who, 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47" w:lineRule="exact"/>
        <w:rPr>
          <w:rFonts w:ascii="Arial" w:cs="Arial" w:eastAsia="Arial" w:hAnsi="Arial"/>
          <w:sz w:val="16"/>
          <w:szCs w:val="16"/>
          <w:b w:val="1"/>
          <w:bCs w:val="1"/>
          <w:color w:val="auto"/>
        </w:rPr>
      </w:pPr>
    </w:p>
    <w:p>
      <w:pPr>
        <w:ind w:firstLine="526"/>
        <w:spacing w:after="0" w:line="258" w:lineRule="auto"/>
        <w:tabs>
          <w:tab w:leader="none" w:pos="743"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Generally. </w:t>
      </w:r>
      <w:r>
        <w:rPr>
          <w:rFonts w:ascii="Arial" w:cs="Arial" w:eastAsia="Arial" w:hAnsi="Arial"/>
          <w:sz w:val="18"/>
          <w:szCs w:val="18"/>
          <w:color w:val="auto"/>
        </w:rPr>
        <w:t>The total number of shares of Common Stock subject to an Option or SAR may vest and become exercisable in periodic</w:t>
      </w:r>
      <w:r>
        <w:rPr>
          <w:rFonts w:ascii="Arial" w:cs="Arial" w:eastAsia="Arial" w:hAnsi="Arial"/>
          <w:sz w:val="18"/>
          <w:szCs w:val="18"/>
          <w:b w:val="1"/>
          <w:bCs w:val="1"/>
          <w:color w:val="auto"/>
        </w:rPr>
        <w:t xml:space="preserve"> </w:t>
      </w:r>
      <w:r>
        <w:rPr>
          <w:rFonts w:ascii="Arial" w:cs="Arial" w:eastAsia="Arial" w:hAnsi="Arial"/>
          <w:sz w:val="18"/>
          <w:szCs w:val="18"/>
          <w:color w:val="auto"/>
        </w:rPr>
        <w:t>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75" w:lineRule="exact"/>
        <w:rPr>
          <w:rFonts w:ascii="Arial" w:cs="Arial" w:eastAsia="Arial" w:hAnsi="Arial"/>
          <w:sz w:val="18"/>
          <w:szCs w:val="18"/>
          <w:b w:val="1"/>
          <w:bCs w:val="1"/>
          <w:color w:val="auto"/>
        </w:rPr>
      </w:pPr>
    </w:p>
    <w:p>
      <w:pPr>
        <w:ind w:firstLine="526"/>
        <w:spacing w:after="0" w:line="255" w:lineRule="auto"/>
        <w:tabs>
          <w:tab w:leader="none" w:pos="773"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Continuous Service. </w:t>
      </w:r>
      <w:r>
        <w:rPr>
          <w:rFonts w:ascii="Arial" w:cs="Arial" w:eastAsia="Arial" w:hAnsi="Arial"/>
          <w:sz w:val="18"/>
          <w:szCs w:val="18"/>
          <w:color w:val="auto"/>
        </w:rPr>
        <w:t>Except as otherwise provided in the applicable Award Agreement or other agreement between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within the period of time ending on the earlier of (i) the date that is 90 days following the termination of the Participant’s Continuous Service (or such longer or shorter period specified in the applicable Award Agreement), and (ii) the expiration of the term of the Option or SAR as set forth in the Award Agreement. If, after termination of Continuous Service, the Participant does not exercise his or her Option or SAR (as applicable) within the applicable time frame, the Option or SAR will terminate.</w:t>
      </w:r>
    </w:p>
    <w:p>
      <w:pPr>
        <w:spacing w:after="0" w:line="81" w:lineRule="exact"/>
        <w:rPr>
          <w:rFonts w:ascii="Arial" w:cs="Arial" w:eastAsia="Arial" w:hAnsi="Arial"/>
          <w:sz w:val="18"/>
          <w:szCs w:val="18"/>
          <w:b w:val="1"/>
          <w:bCs w:val="1"/>
          <w:color w:val="auto"/>
        </w:rPr>
      </w:pPr>
    </w:p>
    <w:p>
      <w:pPr>
        <w:ind w:firstLine="526"/>
        <w:spacing w:after="0" w:line="270" w:lineRule="auto"/>
        <w:tabs>
          <w:tab w:leader="none" w:pos="783"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Extension of Termination Date. </w:t>
      </w:r>
      <w:r>
        <w:rPr>
          <w:rFonts w:ascii="Arial" w:cs="Arial" w:eastAsia="Arial" w:hAnsi="Arial"/>
          <w:sz w:val="17"/>
          <w:szCs w:val="17"/>
          <w:color w:val="auto"/>
        </w:rPr>
        <w:t>If the exercise of an Option or SAR following the termination of the Participant’s Continuous Service (other than</w:t>
      </w:r>
      <w:r>
        <w:rPr>
          <w:rFonts w:ascii="Arial" w:cs="Arial" w:eastAsia="Arial" w:hAnsi="Arial"/>
          <w:sz w:val="17"/>
          <w:szCs w:val="17"/>
          <w:b w:val="1"/>
          <w:bCs w:val="1"/>
          <w:color w:val="auto"/>
        </w:rPr>
        <w:t xml:space="preserve"> </w:t>
      </w:r>
      <w:r>
        <w:rPr>
          <w:rFonts w:ascii="Arial" w:cs="Arial" w:eastAsia="Arial" w:hAnsi="Arial"/>
          <w:sz w:val="17"/>
          <w:szCs w:val="17"/>
          <w:color w:val="auto"/>
        </w:rPr>
        <w:t>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 termination exercise period after the termination of the Participant’s Continuous Service during which the exercise of the Option or SAR would not be in violation of such registration requirements, and (ii) the expiration of the term of the Option or SAR as set forth in the applicable Award Agreement. In addition, unless otherwise provided in a Participant’s Award Agreement, if the sale of any Common Stock received on exercise of an Option or SAR following the termination of the Participant’s Continuous Service (other than for Cause) would violate the Company’s insider trading policy, then the Option or SAR will terminate on the earlier of (i) the expiration of a period of months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8" w:name="page39"/>
    <w:bookmarkEnd w:id="38"/>
    <w:p>
      <w:pPr>
        <w:ind w:left="-8" w:firstLine="526"/>
        <w:spacing w:after="0" w:line="295" w:lineRule="auto"/>
        <w:tabs>
          <w:tab w:leader="none" w:pos="725" w:val="left"/>
        </w:tabs>
        <w:numPr>
          <w:ilvl w:val="1"/>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Disability of Participant. </w:t>
      </w:r>
      <w:r>
        <w:rPr>
          <w:rFonts w:ascii="Arial" w:cs="Arial" w:eastAsia="Arial" w:hAnsi="Arial"/>
          <w:sz w:val="16"/>
          <w:szCs w:val="16"/>
          <w:color w:val="auto"/>
        </w:rPr>
        <w:t>Except as otherwise provided in the applicable Award Agreement or other agreement between the Participant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12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spacing w:after="0" w:line="47" w:lineRule="exact"/>
        <w:rPr>
          <w:rFonts w:ascii="Arial" w:cs="Arial" w:eastAsia="Arial" w:hAnsi="Arial"/>
          <w:sz w:val="16"/>
          <w:szCs w:val="16"/>
          <w:b w:val="1"/>
          <w:bCs w:val="1"/>
          <w:color w:val="auto"/>
        </w:rPr>
      </w:pPr>
    </w:p>
    <w:p>
      <w:pPr>
        <w:ind w:left="-8" w:right="40" w:firstLine="526"/>
        <w:spacing w:after="0" w:line="272" w:lineRule="auto"/>
        <w:tabs>
          <w:tab w:leader="none" w:pos="735" w:val="left"/>
        </w:tabs>
        <w:numPr>
          <w:ilvl w:val="1"/>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Death of Participant. </w:t>
      </w:r>
      <w:r>
        <w:rPr>
          <w:rFonts w:ascii="Arial" w:cs="Arial" w:eastAsia="Arial" w:hAnsi="Arial"/>
          <w:sz w:val="17"/>
          <w:szCs w:val="17"/>
          <w:color w:val="auto"/>
        </w:rPr>
        <w:t>Except as otherwise provided in the applicable Award Agreement or other agreement between the Participant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18 months following the date of death (or such longer or shorter period specified in the Award Agreement), and (ii) the expiration of the term of such Option or SAR as set forth in the Award Agreement. If, after the Participant’s death, the Option or SAR is not exercised within the applicable time frame, the Option or SAR (as applicable) will terminate.</w:t>
      </w:r>
    </w:p>
    <w:p>
      <w:pPr>
        <w:spacing w:after="0" w:line="185" w:lineRule="exact"/>
        <w:rPr>
          <w:rFonts w:ascii="Arial" w:cs="Arial" w:eastAsia="Arial" w:hAnsi="Arial"/>
          <w:sz w:val="17"/>
          <w:szCs w:val="17"/>
          <w:b w:val="1"/>
          <w:bCs w:val="1"/>
          <w:color w:val="auto"/>
        </w:rPr>
      </w:pPr>
    </w:p>
    <w:p>
      <w:pPr>
        <w:ind w:left="-8" w:right="80" w:firstLine="526"/>
        <w:spacing w:after="0" w:line="261" w:lineRule="auto"/>
        <w:tabs>
          <w:tab w:leader="none" w:pos="775" w:val="left"/>
        </w:tabs>
        <w:numPr>
          <w:ilvl w:val="1"/>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Except as explicitly provided otherwise in a Participant’s Award Agreement or other individual written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Company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time of such termination of Continuous Service.</w:t>
      </w:r>
    </w:p>
    <w:p>
      <w:pPr>
        <w:spacing w:after="0" w:line="71" w:lineRule="exact"/>
        <w:rPr>
          <w:rFonts w:ascii="Arial" w:cs="Arial" w:eastAsia="Arial" w:hAnsi="Arial"/>
          <w:sz w:val="18"/>
          <w:szCs w:val="18"/>
          <w:b w:val="1"/>
          <w:bCs w:val="1"/>
          <w:color w:val="auto"/>
        </w:rPr>
      </w:pPr>
    </w:p>
    <w:p>
      <w:pPr>
        <w:jc w:val="both"/>
        <w:ind w:left="-8" w:firstLine="526"/>
        <w:spacing w:after="0" w:line="287" w:lineRule="auto"/>
        <w:tabs>
          <w:tab w:leader="none" w:pos="725" w:val="left"/>
        </w:tabs>
        <w:numPr>
          <w:ilvl w:val="1"/>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Non-Exempt Employees</w:t>
      </w:r>
      <w:r>
        <w:rPr>
          <w:rFonts w:ascii="Arial" w:cs="Arial" w:eastAsia="Arial" w:hAnsi="Arial"/>
          <w:sz w:val="16"/>
          <w:szCs w:val="16"/>
          <w:color w:val="auto"/>
        </w:rPr>
        <w:t>. If an Option or SAR is granted to an Employee who is a non-exempt employee for purposes of the Fair Labor Standards</w:t>
      </w:r>
      <w:r>
        <w:rPr>
          <w:rFonts w:ascii="Arial" w:cs="Arial" w:eastAsia="Arial" w:hAnsi="Arial"/>
          <w:sz w:val="16"/>
          <w:szCs w:val="16"/>
          <w:b w:val="1"/>
          <w:bCs w:val="1"/>
          <w:color w:val="auto"/>
        </w:rPr>
        <w:t xml:space="preserve"> </w:t>
      </w:r>
      <w:r>
        <w:rPr>
          <w:rFonts w:ascii="Arial" w:cs="Arial" w:eastAsia="Arial" w:hAnsi="Arial"/>
          <w:sz w:val="16"/>
          <w:szCs w:val="16"/>
          <w:color w:val="auto"/>
        </w:rPr>
        <w:t>Act of 1938, as amended, the Option or SAR will not be first exercisable for any shares of Common Stock until at least six months following the date of grant of the Option or SAR (although the Award may vest prior to such date). Consistent with the provisions of the Worker Economic Opportunity Act, (i) if such non-exempt Employee dies or suffers a Disability, (ii) upon a Corporate Transaction in which such Option or SAR is not assumed, continued, or substituted,</w:t>
      </w:r>
    </w:p>
    <w:p>
      <w:pPr>
        <w:spacing w:after="0" w:line="2" w:lineRule="exact"/>
        <w:rPr>
          <w:rFonts w:ascii="Arial" w:cs="Arial" w:eastAsia="Arial" w:hAnsi="Arial"/>
          <w:sz w:val="16"/>
          <w:szCs w:val="16"/>
          <w:b w:val="1"/>
          <w:bCs w:val="1"/>
          <w:color w:val="auto"/>
        </w:rPr>
      </w:pPr>
    </w:p>
    <w:p>
      <w:pPr>
        <w:ind w:left="-8" w:right="140" w:firstLine="8"/>
        <w:spacing w:after="0" w:line="252" w:lineRule="auto"/>
        <w:tabs>
          <w:tab w:leader="none" w:pos="307"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a Change in Control, or (iv) upon the Participant’s retirement (as such term may be defined in the Participant’s Award Agreement in another agreement between the Participant and the Company, or, if no such definition, in accordance with the Company’s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188" w:lineRule="exact"/>
        <w:rPr>
          <w:sz w:val="20"/>
          <w:szCs w:val="20"/>
          <w:color w:val="auto"/>
        </w:rPr>
      </w:pPr>
    </w:p>
    <w:p>
      <w:pPr>
        <w:ind w:left="172" w:hanging="172"/>
        <w:spacing w:after="0"/>
        <w:tabs>
          <w:tab w:leader="none" w:pos="17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3"/>
          <w:szCs w:val="13"/>
          <w:b w:val="1"/>
          <w:bCs w:val="1"/>
          <w:color w:val="auto"/>
        </w:rPr>
        <w:t>ROVISIONS OF</w:t>
      </w:r>
      <w:r>
        <w:rPr>
          <w:rFonts w:ascii="Arial" w:cs="Arial" w:eastAsia="Arial" w:hAnsi="Arial"/>
          <w:sz w:val="18"/>
          <w:szCs w:val="18"/>
          <w:b w:val="1"/>
          <w:bCs w:val="1"/>
          <w:color w:val="auto"/>
        </w:rPr>
        <w:t xml:space="preserve"> S</w:t>
      </w:r>
      <w:r>
        <w:rPr>
          <w:rFonts w:ascii="Arial" w:cs="Arial" w:eastAsia="Arial" w:hAnsi="Arial"/>
          <w:sz w:val="13"/>
          <w:szCs w:val="13"/>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3"/>
          <w:szCs w:val="13"/>
          <w:b w:val="1"/>
          <w:bCs w:val="1"/>
          <w:color w:val="auto"/>
        </w:rPr>
        <w:t>WARDS OTHER THAN</w:t>
      </w:r>
      <w:r>
        <w:rPr>
          <w:rFonts w:ascii="Arial" w:cs="Arial" w:eastAsia="Arial" w:hAnsi="Arial"/>
          <w:sz w:val="18"/>
          <w:szCs w:val="18"/>
          <w:b w:val="1"/>
          <w:bCs w:val="1"/>
          <w:color w:val="auto"/>
        </w:rPr>
        <w:t xml:space="preserve"> O</w:t>
      </w:r>
      <w:r>
        <w:rPr>
          <w:rFonts w:ascii="Arial" w:cs="Arial" w:eastAsia="Arial" w:hAnsi="Arial"/>
          <w:sz w:val="13"/>
          <w:szCs w:val="13"/>
          <w:b w:val="1"/>
          <w:bCs w:val="1"/>
          <w:color w:val="auto"/>
        </w:rPr>
        <w:t>PTIONS AND</w:t>
      </w:r>
      <w:r>
        <w:rPr>
          <w:rFonts w:ascii="Arial" w:cs="Arial" w:eastAsia="Arial" w:hAnsi="Arial"/>
          <w:sz w:val="18"/>
          <w:szCs w:val="18"/>
          <w:b w:val="1"/>
          <w:bCs w:val="1"/>
          <w:color w:val="auto"/>
        </w:rPr>
        <w:t xml:space="preserve"> SAR</w:t>
      </w:r>
      <w:r>
        <w:rPr>
          <w:rFonts w:ascii="Arial" w:cs="Arial" w:eastAsia="Arial" w:hAnsi="Arial"/>
          <w:sz w:val="13"/>
          <w:szCs w:val="13"/>
          <w:b w:val="1"/>
          <w:bCs w:val="1"/>
          <w:color w:val="auto"/>
        </w:rPr>
        <w: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8" w:right="20" w:firstLine="526"/>
        <w:spacing w:after="0" w:line="255" w:lineRule="auto"/>
        <w:tabs>
          <w:tab w:leader="none" w:pos="765" w:val="left"/>
        </w:tabs>
        <w:numPr>
          <w:ilvl w:val="1"/>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Restricted Stock Awards. </w:t>
      </w:r>
      <w:r>
        <w:rPr>
          <w:rFonts w:ascii="Arial" w:cs="Arial" w:eastAsia="Arial" w:hAnsi="Arial"/>
          <w:sz w:val="18"/>
          <w:szCs w:val="18"/>
          <w:color w:val="auto"/>
        </w:rPr>
        <w:t>Each Restricted Stock Award Agreement will be in such form and will contain such terms and conditions as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will deem appropriate. To the extent consistent with the Company’s bylaws, at the Board’s election, shares of Common Stock may be (x) held in book entry form subject to the Company’s instructions until any restrictions relating to the Restricted Stock Award lapse; or (y)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81" w:lineRule="exact"/>
        <w:rPr>
          <w:rFonts w:ascii="Arial" w:cs="Arial" w:eastAsia="Arial" w:hAnsi="Arial"/>
          <w:sz w:val="18"/>
          <w:szCs w:val="18"/>
          <w:b w:val="1"/>
          <w:bCs w:val="1"/>
          <w:color w:val="auto"/>
        </w:rPr>
      </w:pPr>
    </w:p>
    <w:p>
      <w:pPr>
        <w:jc w:val="both"/>
        <w:ind w:left="-8" w:right="180" w:firstLine="1042"/>
        <w:spacing w:after="0" w:line="266" w:lineRule="auto"/>
        <w:tabs>
          <w:tab w:leader="none" w:pos="1241" w:val="left"/>
        </w:tabs>
        <w:numPr>
          <w:ilvl w:val="2"/>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 Restricted Stock Award may be awarded in consideration for (A) cash, check, bank draft or money order payable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(B) past or future services to the Company or an Affiliate, or (C) any other form of legal consideration that may be acceptable to the Board, in its sole discretion, and permissible under applicable law.</w:t>
      </w:r>
    </w:p>
    <w:p>
      <w:pPr>
        <w:spacing w:after="0" w:line="189" w:lineRule="exact"/>
        <w:rPr>
          <w:rFonts w:ascii="Arial" w:cs="Arial" w:eastAsia="Arial" w:hAnsi="Arial"/>
          <w:sz w:val="18"/>
          <w:szCs w:val="18"/>
          <w:b w:val="1"/>
          <w:bCs w:val="1"/>
          <w:color w:val="auto"/>
        </w:rPr>
      </w:pPr>
    </w:p>
    <w:p>
      <w:pPr>
        <w:ind w:left="-8" w:right="220" w:firstLine="1042"/>
        <w:spacing w:after="0" w:line="282" w:lineRule="auto"/>
        <w:tabs>
          <w:tab w:leader="none" w:pos="1291" w:val="left"/>
        </w:tabs>
        <w:numPr>
          <w:ilvl w:val="2"/>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Shares of Common Stock awarded under the Restricted Stock Award Agreement may be subject to forfeiture to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a vesting schedule to be determined by the Board.</w:t>
      </w:r>
    </w:p>
    <w:p>
      <w:pPr>
        <w:spacing w:after="0" w:line="53" w:lineRule="exact"/>
        <w:rPr>
          <w:rFonts w:ascii="Arial" w:cs="Arial" w:eastAsia="Arial" w:hAnsi="Arial"/>
          <w:sz w:val="18"/>
          <w:szCs w:val="18"/>
          <w:b w:val="1"/>
          <w:bCs w:val="1"/>
          <w:color w:val="auto"/>
        </w:rPr>
      </w:pPr>
    </w:p>
    <w:p>
      <w:pPr>
        <w:ind w:left="-8" w:firstLine="1042"/>
        <w:spacing w:after="0" w:line="266" w:lineRule="auto"/>
        <w:tabs>
          <w:tab w:leader="none" w:pos="1341" w:val="left"/>
        </w:tabs>
        <w:numPr>
          <w:ilvl w:val="2"/>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Participant’s Continuous Service. </w:t>
      </w:r>
      <w:r>
        <w:rPr>
          <w:rFonts w:ascii="Arial" w:cs="Arial" w:eastAsia="Arial" w:hAnsi="Arial"/>
          <w:sz w:val="18"/>
          <w:szCs w:val="18"/>
          <w:color w:val="auto"/>
        </w:rPr>
        <w:t>If a Participant’s Continuous Service terminates, the Company may receive through a</w:t>
      </w:r>
      <w:r>
        <w:rPr>
          <w:rFonts w:ascii="Arial" w:cs="Arial" w:eastAsia="Arial" w:hAnsi="Arial"/>
          <w:sz w:val="18"/>
          <w:szCs w:val="18"/>
          <w:b w:val="1"/>
          <w:bCs w:val="1"/>
          <w:color w:val="auto"/>
        </w:rPr>
        <w:t xml:space="preserve"> </w:t>
      </w:r>
      <w:r>
        <w:rPr>
          <w:rFonts w:ascii="Arial" w:cs="Arial" w:eastAsia="Arial" w:hAnsi="Arial"/>
          <w:sz w:val="18"/>
          <w:szCs w:val="18"/>
          <w:color w:val="auto"/>
        </w:rPr>
        <w:t>forfeiture condition or a repurchase right any or all of the shares of Common Stock held by the Participant that have not vested as of the date of termination of Continuous Service under the terms of the Restricted Stock Award Agreement.</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445" w:right="259" w:bottom="1440" w:gutter="0" w:footer="0" w:header="0"/>
        </w:sectPr>
      </w:pPr>
    </w:p>
    <w:bookmarkStart w:id="39" w:name="page40"/>
    <w:bookmarkEnd w:id="39"/>
    <w:p>
      <w:pPr>
        <w:ind w:left="-20" w:right="160" w:firstLine="1042"/>
        <w:spacing w:after="0" w:line="314" w:lineRule="auto"/>
        <w:tabs>
          <w:tab w:leader="none" w:pos="1319" w:val="left"/>
        </w:tabs>
        <w:numPr>
          <w:ilvl w:val="1"/>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Transferability. </w:t>
      </w:r>
      <w:r>
        <w:rPr>
          <w:rFonts w:ascii="Arial" w:cs="Arial" w:eastAsia="Arial" w:hAnsi="Arial"/>
          <w:sz w:val="16"/>
          <w:szCs w:val="16"/>
          <w:color w:val="auto"/>
        </w:rPr>
        <w:t>Rights to acquire shares of Common Stock under the Restricted Stock Award Agreement will be transferable by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spacing w:after="0" w:line="34" w:lineRule="exact"/>
        <w:rPr>
          <w:rFonts w:ascii="Arial" w:cs="Arial" w:eastAsia="Arial" w:hAnsi="Arial"/>
          <w:sz w:val="16"/>
          <w:szCs w:val="16"/>
          <w:b w:val="1"/>
          <w:bCs w:val="1"/>
          <w:color w:val="auto"/>
        </w:rPr>
      </w:pPr>
    </w:p>
    <w:p>
      <w:pPr>
        <w:ind w:left="-20" w:right="440" w:firstLine="1042"/>
        <w:spacing w:after="0" w:line="282" w:lineRule="auto"/>
        <w:tabs>
          <w:tab w:leader="none" w:pos="1269" w:val="left"/>
        </w:tabs>
        <w:numPr>
          <w:ilvl w:val="1"/>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A Restricted Stock Award Agreement may provide that any dividends paid on Restricted Stock will be subject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and forfeiture restrictions as apply to the shares subject to the Restricted Stock Award to which they relate.</w:t>
      </w:r>
    </w:p>
    <w:p>
      <w:pPr>
        <w:spacing w:after="0" w:line="53" w:lineRule="exact"/>
        <w:rPr>
          <w:rFonts w:ascii="Arial" w:cs="Arial" w:eastAsia="Arial" w:hAnsi="Arial"/>
          <w:sz w:val="18"/>
          <w:szCs w:val="18"/>
          <w:b w:val="1"/>
          <w:bCs w:val="1"/>
          <w:color w:val="auto"/>
        </w:rPr>
      </w:pPr>
    </w:p>
    <w:p>
      <w:pPr>
        <w:ind w:left="-20" w:firstLine="526"/>
        <w:spacing w:after="0" w:line="303" w:lineRule="auto"/>
        <w:tabs>
          <w:tab w:leader="none" w:pos="763"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Restricted Stock Unit Awards. </w:t>
      </w:r>
      <w:r>
        <w:rPr>
          <w:rFonts w:ascii="Arial" w:cs="Arial" w:eastAsia="Arial" w:hAnsi="Arial"/>
          <w:sz w:val="16"/>
          <w:szCs w:val="16"/>
          <w:color w:val="auto"/>
        </w:rPr>
        <w:t>Each Restricted Stock Unit Award Agreement will be in such form and will contain such terms and conditions as</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will deem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43" w:lineRule="exact"/>
        <w:rPr>
          <w:rFonts w:ascii="Arial" w:cs="Arial" w:eastAsia="Arial" w:hAnsi="Arial"/>
          <w:sz w:val="16"/>
          <w:szCs w:val="16"/>
          <w:b w:val="1"/>
          <w:bCs w:val="1"/>
          <w:color w:val="auto"/>
        </w:rPr>
      </w:pPr>
    </w:p>
    <w:p>
      <w:pPr>
        <w:ind w:left="-20" w:right="60" w:firstLine="1042"/>
        <w:spacing w:after="0" w:line="261" w:lineRule="auto"/>
        <w:tabs>
          <w:tab w:leader="none" w:pos="1229" w:val="left"/>
        </w:tabs>
        <w:numPr>
          <w:ilvl w:val="1"/>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At the time of grant of a Restricted Stock Unit Award, the Board will determine the consideration, if any, to be paid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71" w:lineRule="exact"/>
        <w:rPr>
          <w:rFonts w:ascii="Arial" w:cs="Arial" w:eastAsia="Arial" w:hAnsi="Arial"/>
          <w:sz w:val="18"/>
          <w:szCs w:val="18"/>
          <w:b w:val="1"/>
          <w:bCs w:val="1"/>
          <w:color w:val="auto"/>
        </w:rPr>
      </w:pPr>
    </w:p>
    <w:p>
      <w:pPr>
        <w:ind w:left="-20" w:right="160" w:firstLine="1042"/>
        <w:spacing w:after="0" w:line="282" w:lineRule="auto"/>
        <w:tabs>
          <w:tab w:leader="none" w:pos="1279" w:val="left"/>
        </w:tabs>
        <w:numPr>
          <w:ilvl w:val="1"/>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At the time of the grant of a Restricted Stock Unit Award, the Board may impose such restrictions on or conditions to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of the Restricted Stock Unit Award as it, in its sole discretion, deems appropriate.</w:t>
      </w:r>
    </w:p>
    <w:p>
      <w:pPr>
        <w:spacing w:after="0" w:line="53" w:lineRule="exact"/>
        <w:rPr>
          <w:rFonts w:ascii="Arial" w:cs="Arial" w:eastAsia="Arial" w:hAnsi="Arial"/>
          <w:sz w:val="18"/>
          <w:szCs w:val="18"/>
          <w:b w:val="1"/>
          <w:bCs w:val="1"/>
          <w:color w:val="auto"/>
        </w:rPr>
      </w:pPr>
    </w:p>
    <w:p>
      <w:pPr>
        <w:ind w:left="-20" w:right="660" w:firstLine="1042"/>
        <w:spacing w:after="0" w:line="347" w:lineRule="auto"/>
        <w:tabs>
          <w:tab w:leader="none" w:pos="1329" w:val="left"/>
        </w:tabs>
        <w:numPr>
          <w:ilvl w:val="1"/>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Payment</w:t>
      </w:r>
      <w:r>
        <w:rPr>
          <w:rFonts w:ascii="Arial" w:cs="Arial" w:eastAsia="Arial" w:hAnsi="Arial"/>
          <w:sz w:val="16"/>
          <w:szCs w:val="16"/>
          <w:color w:val="auto"/>
        </w:rPr>
        <w:t>. A Restricted Stock Unit Award may be settled by the delivery of shares of Common Stock, their cash equivalent, any</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thereof or in any other form of consideration, as determined by the Board and contained in the Restricted Stock Unit Award Agreement.</w:t>
      </w:r>
    </w:p>
    <w:p>
      <w:pPr>
        <w:spacing w:after="0" w:line="8" w:lineRule="exact"/>
        <w:rPr>
          <w:rFonts w:ascii="Arial" w:cs="Arial" w:eastAsia="Arial" w:hAnsi="Arial"/>
          <w:sz w:val="16"/>
          <w:szCs w:val="16"/>
          <w:b w:val="1"/>
          <w:bCs w:val="1"/>
          <w:color w:val="auto"/>
        </w:rPr>
      </w:pPr>
    </w:p>
    <w:p>
      <w:pPr>
        <w:jc w:val="both"/>
        <w:ind w:left="-20" w:right="140" w:firstLine="1042"/>
        <w:spacing w:after="0" w:line="266" w:lineRule="auto"/>
        <w:tabs>
          <w:tab w:leader="none" w:pos="1319" w:val="left"/>
        </w:tabs>
        <w:numPr>
          <w:ilvl w:val="1"/>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Restrictions. </w:t>
      </w:r>
      <w:r>
        <w:rPr>
          <w:rFonts w:ascii="Arial" w:cs="Arial" w:eastAsia="Arial" w:hAnsi="Arial"/>
          <w:sz w:val="18"/>
          <w:szCs w:val="18"/>
          <w:color w:val="auto"/>
        </w:rPr>
        <w:t>At the time of the grant of a Restricted Stock Unit Award, the Board, as it deems appropriate, may impose such</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or conditions that delay the delivery of the shares of Common Stock (or their cash equivalent) subject to a Restricted Stock Unit Award to a time after the vesting of such Restricted Stock Unit Award.</w:t>
      </w:r>
    </w:p>
    <w:p>
      <w:pPr>
        <w:spacing w:after="0" w:line="189" w:lineRule="exact"/>
        <w:rPr>
          <w:rFonts w:ascii="Arial" w:cs="Arial" w:eastAsia="Arial" w:hAnsi="Arial"/>
          <w:sz w:val="18"/>
          <w:szCs w:val="18"/>
          <w:b w:val="1"/>
          <w:bCs w:val="1"/>
          <w:color w:val="auto"/>
        </w:rPr>
      </w:pPr>
    </w:p>
    <w:p>
      <w:pPr>
        <w:ind w:left="-20" w:right="220" w:firstLine="1042"/>
        <w:spacing w:after="0" w:line="277" w:lineRule="auto"/>
        <w:tabs>
          <w:tab w:leader="none" w:pos="1269" w:val="left"/>
        </w:tabs>
        <w:numPr>
          <w:ilvl w:val="1"/>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Dividend Equivalents. </w:t>
      </w:r>
      <w:r>
        <w:rPr>
          <w:rFonts w:ascii="Arial" w:cs="Arial" w:eastAsia="Arial" w:hAnsi="Arial"/>
          <w:sz w:val="17"/>
          <w:szCs w:val="17"/>
          <w:color w:val="auto"/>
        </w:rPr>
        <w:t>Dividend equivalents may be credited in respect of shares of Common Stock covered by a Restricted Stock Unit</w:t>
      </w:r>
      <w:r>
        <w:rPr>
          <w:rFonts w:ascii="Arial" w:cs="Arial" w:eastAsia="Arial" w:hAnsi="Arial"/>
          <w:sz w:val="17"/>
          <w:szCs w:val="17"/>
          <w:b w:val="1"/>
          <w:bCs w:val="1"/>
          <w:color w:val="auto"/>
        </w:rPr>
        <w:t xml:space="preserve"> </w:t>
      </w:r>
      <w:r>
        <w:rPr>
          <w:rFonts w:ascii="Arial" w:cs="Arial" w:eastAsia="Arial" w:hAnsi="Arial"/>
          <w:sz w:val="17"/>
          <w:szCs w:val="17"/>
          <w:color w:val="auto"/>
        </w:rPr>
        <w:t>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spacing w:after="0" w:line="60" w:lineRule="exact"/>
        <w:rPr>
          <w:rFonts w:ascii="Arial" w:cs="Arial" w:eastAsia="Arial" w:hAnsi="Arial"/>
          <w:sz w:val="17"/>
          <w:szCs w:val="17"/>
          <w:b w:val="1"/>
          <w:bCs w:val="1"/>
          <w:color w:val="auto"/>
        </w:rPr>
      </w:pPr>
    </w:p>
    <w:p>
      <w:pPr>
        <w:ind w:left="-20" w:right="260" w:firstLine="1042"/>
        <w:spacing w:after="0" w:line="347" w:lineRule="auto"/>
        <w:tabs>
          <w:tab w:leader="none" w:pos="1319" w:val="left"/>
        </w:tabs>
        <w:numPr>
          <w:ilvl w:val="1"/>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Participant’s Continuous Service. </w:t>
      </w:r>
      <w:r>
        <w:rPr>
          <w:rFonts w:ascii="Arial" w:cs="Arial" w:eastAsia="Arial" w:hAnsi="Arial"/>
          <w:sz w:val="16"/>
          <w:szCs w:val="16"/>
          <w:color w:val="auto"/>
        </w:rPr>
        <w:t>Except as otherwise provided in the applicable Restricted Stock Unit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such portion of the Restricted Stock Unit Award that has not vested will be forfeited upon the Participant’s termination of Continuous Service.</w:t>
      </w:r>
    </w:p>
    <w:p>
      <w:pPr>
        <w:spacing w:after="0" w:line="8" w:lineRule="exact"/>
        <w:rPr>
          <w:rFonts w:ascii="Arial" w:cs="Arial" w:eastAsia="Arial" w:hAnsi="Arial"/>
          <w:sz w:val="16"/>
          <w:szCs w:val="16"/>
          <w:b w:val="1"/>
          <w:bCs w:val="1"/>
          <w:color w:val="auto"/>
        </w:rPr>
      </w:pPr>
    </w:p>
    <w:p>
      <w:pPr>
        <w:ind w:left="760" w:hanging="254"/>
        <w:spacing w:after="0"/>
        <w:tabs>
          <w:tab w:leader="none" w:pos="7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Awards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20" w:firstLine="1042"/>
        <w:spacing w:after="0" w:line="274" w:lineRule="auto"/>
        <w:tabs>
          <w:tab w:leader="none" w:pos="1229" w:val="left"/>
        </w:tabs>
        <w:numPr>
          <w:ilvl w:val="1"/>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Performance Stock Awards</w:t>
      </w:r>
      <w:r>
        <w:rPr>
          <w:rFonts w:ascii="Arial" w:cs="Arial" w:eastAsia="Arial" w:hAnsi="Arial"/>
          <w:sz w:val="17"/>
          <w:szCs w:val="17"/>
          <w:color w:val="auto"/>
        </w:rPr>
        <w:t>. A Performance Stock Award is a Stock Award that is payable (including that may be granted, may vest or may</w:t>
      </w:r>
      <w:r>
        <w:rPr>
          <w:rFonts w:ascii="Arial" w:cs="Arial" w:eastAsia="Arial" w:hAnsi="Arial"/>
          <w:sz w:val="17"/>
          <w:szCs w:val="17"/>
          <w:b w:val="1"/>
          <w:bCs w:val="1"/>
          <w:color w:val="auto"/>
        </w:rPr>
        <w:t xml:space="preserve"> </w:t>
      </w:r>
      <w:r>
        <w:rPr>
          <w:rFonts w:ascii="Arial" w:cs="Arial" w:eastAsia="Arial" w:hAnsi="Arial"/>
          <w:sz w:val="17"/>
          <w:szCs w:val="17"/>
          <w:color w:val="auto"/>
        </w:rPr>
        <w:t>be 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Board or Committee, in its sole discretion. In addition, to the extent permitted by applicable law and the applicable Award Agreement, the Board (or Committee, as the case may be) may determine that cash may be used in payment of Performance Stock Awards.</w:t>
      </w:r>
    </w:p>
    <w:p>
      <w:pPr>
        <w:spacing w:after="0" w:line="65" w:lineRule="exact"/>
        <w:rPr>
          <w:rFonts w:ascii="Arial" w:cs="Arial" w:eastAsia="Arial" w:hAnsi="Arial"/>
          <w:sz w:val="17"/>
          <w:szCs w:val="17"/>
          <w:b w:val="1"/>
          <w:bCs w:val="1"/>
          <w:color w:val="auto"/>
        </w:rPr>
      </w:pPr>
    </w:p>
    <w:p>
      <w:pPr>
        <w:ind w:left="-20" w:right="60" w:firstLine="1042"/>
        <w:spacing w:after="0" w:line="273" w:lineRule="auto"/>
        <w:tabs>
          <w:tab w:leader="none" w:pos="1279" w:val="left"/>
        </w:tabs>
        <w:numPr>
          <w:ilvl w:val="1"/>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Performance Cash Awards</w:t>
      </w:r>
      <w:r>
        <w:rPr>
          <w:rFonts w:ascii="Arial" w:cs="Arial" w:eastAsia="Arial" w:hAnsi="Arial"/>
          <w:sz w:val="17"/>
          <w:szCs w:val="17"/>
          <w:color w:val="auto"/>
        </w:rPr>
        <w:t>. A Performance Cash Award is a cash award that is payable contingent upon the attainment during a</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Period of certain Performance Goals. A Performance Cash Award may also require the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the Board or Committee, in its sole discretion. The Board (or Committee, as the case may be) may specify the form of payment of Performance Cash Awards, which may be cash or other property, or may provide for a Participant to have the option for his or her Performance Cash Award, or such portion thereof as the Board (or Committee, as the case may be) may specify, to be paid in whole or in part in cash or other property.</w:t>
      </w:r>
    </w:p>
    <w:p>
      <w:pPr>
        <w:spacing w:after="0" w:line="64" w:lineRule="exact"/>
        <w:rPr>
          <w:rFonts w:ascii="Arial" w:cs="Arial" w:eastAsia="Arial" w:hAnsi="Arial"/>
          <w:sz w:val="17"/>
          <w:szCs w:val="17"/>
          <w:b w:val="1"/>
          <w:bCs w:val="1"/>
          <w:color w:val="auto"/>
        </w:rPr>
      </w:pPr>
    </w:p>
    <w:p>
      <w:pPr>
        <w:ind w:left="-20" w:right="300" w:firstLine="1042"/>
        <w:spacing w:after="0" w:line="281" w:lineRule="auto"/>
        <w:tabs>
          <w:tab w:leader="none" w:pos="1313" w:val="left"/>
        </w:tabs>
        <w:numPr>
          <w:ilvl w:val="1"/>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Board Discretion</w:t>
      </w:r>
      <w:r>
        <w:rPr>
          <w:rFonts w:ascii="Arial" w:cs="Arial" w:eastAsia="Arial" w:hAnsi="Arial"/>
          <w:sz w:val="17"/>
          <w:szCs w:val="17"/>
          <w:color w:val="auto"/>
        </w:rPr>
        <w:t>. The Board (or Committee, as the case may be) retains the discretion to adjust or eliminate the compensation or economic</w:t>
      </w:r>
      <w:r>
        <w:rPr>
          <w:rFonts w:ascii="Arial" w:cs="Arial" w:eastAsia="Arial" w:hAnsi="Arial"/>
          <w:sz w:val="17"/>
          <w:szCs w:val="17"/>
          <w:b w:val="1"/>
          <w:bCs w:val="1"/>
          <w:color w:val="auto"/>
        </w:rPr>
        <w:t xml:space="preserve"> </w:t>
      </w:r>
      <w:r>
        <w:rPr>
          <w:rFonts w:ascii="Arial" w:cs="Arial" w:eastAsia="Arial" w:hAnsi="Arial"/>
          <w:sz w:val="17"/>
          <w:szCs w:val="17"/>
          <w:color w:val="auto"/>
        </w:rPr>
        <w:t>benefit due upon attainment of Performance Goals and to define the manner of calculating the Performance Criteria it selects to use for a Performance Period. Partial achievement of the specified criteria may result in the payment or vesting corresponding to the degree of achievement as specified in the Stock Award Agreement or the written terms of a Performance Cash Award.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445" w:right="259" w:bottom="1440" w:gutter="0" w:footer="0" w:header="0"/>
        </w:sectPr>
      </w:pPr>
    </w:p>
    <w:bookmarkStart w:id="40" w:name="page41"/>
    <w:bookmarkEnd w:id="40"/>
    <w:p>
      <w:pPr>
        <w:ind w:left="-8" w:right="40" w:firstLine="526"/>
        <w:spacing w:after="0" w:line="274" w:lineRule="auto"/>
        <w:tabs>
          <w:tab w:leader="none" w:pos="775" w:val="left"/>
        </w:tabs>
        <w:numPr>
          <w:ilvl w:val="1"/>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Other Stock Awards</w:t>
      </w:r>
      <w:r>
        <w:rPr>
          <w:rFonts w:ascii="Arial" w:cs="Arial" w:eastAsia="Arial" w:hAnsi="Arial"/>
          <w:sz w:val="17"/>
          <w:szCs w:val="17"/>
          <w:color w:val="auto"/>
        </w:rPr>
        <w:t>. Other forms of Stock Awards valued in whole or in part by reference to, or otherwise based on, Common Stock,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the appreciation in value thereof (e.g., options or stock rights with an exercise price or strike price less than 100% of the Fair Market Value of the Common Stock at the time of grant) may be granted either alone or in addition to Stock Awards provided for under Section 5 and the preceding provisions of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173" w:lineRule="exact"/>
        <w:rPr>
          <w:rFonts w:ascii="Arial" w:cs="Arial" w:eastAsia="Arial" w:hAnsi="Arial"/>
          <w:sz w:val="17"/>
          <w:szCs w:val="17"/>
          <w:b w:val="1"/>
          <w:bCs w:val="1"/>
          <w:color w:val="auto"/>
        </w:rPr>
      </w:pPr>
    </w:p>
    <w:p>
      <w:pPr>
        <w:ind w:left="172" w:hanging="172"/>
        <w:spacing w:after="0"/>
        <w:tabs>
          <w:tab w:leader="none" w:pos="172"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3"/>
          <w:szCs w:val="13"/>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OMPANY</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8" w:right="120" w:firstLine="526"/>
        <w:spacing w:after="0" w:line="282" w:lineRule="auto"/>
        <w:tabs>
          <w:tab w:leader="none" w:pos="765"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Availability of Shares. </w:t>
      </w:r>
      <w:r>
        <w:rPr>
          <w:rFonts w:ascii="Arial" w:cs="Arial" w:eastAsia="Arial" w:hAnsi="Arial"/>
          <w:sz w:val="18"/>
          <w:szCs w:val="18"/>
          <w:color w:val="auto"/>
        </w:rPr>
        <w:t>The Company will keep available at all times the number of shares of Common Stock reasonably required to satisfy then-outstanding Awards.</w:t>
      </w:r>
    </w:p>
    <w:p>
      <w:pPr>
        <w:spacing w:after="0" w:line="53" w:lineRule="exact"/>
        <w:rPr>
          <w:rFonts w:ascii="Arial" w:cs="Arial" w:eastAsia="Arial" w:hAnsi="Arial"/>
          <w:sz w:val="18"/>
          <w:szCs w:val="18"/>
          <w:b w:val="1"/>
          <w:bCs w:val="1"/>
          <w:color w:val="auto"/>
        </w:rPr>
      </w:pPr>
    </w:p>
    <w:p>
      <w:pPr>
        <w:ind w:left="-8" w:right="100" w:firstLine="526"/>
        <w:spacing w:after="0" w:line="291" w:lineRule="auto"/>
        <w:tabs>
          <w:tab w:leader="none" w:pos="775" w:val="left"/>
        </w:tabs>
        <w:numPr>
          <w:ilvl w:val="1"/>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Securities Law Compliance. </w:t>
      </w:r>
      <w:r>
        <w:rPr>
          <w:rFonts w:ascii="Arial" w:cs="Arial" w:eastAsia="Arial" w:hAnsi="Arial"/>
          <w:sz w:val="16"/>
          <w:szCs w:val="16"/>
          <w:color w:val="auto"/>
        </w:rPr>
        <w:t>The Company will seek to obtain from each regulatory commission or agency, as necessary, such authority as may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 required to grant Stock Awards and to issue and sell shares of Common Stock upon exercise or vesting of the Stock Awards;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this undertaking will not require the Company to register under the Securities Act or other securities or applicable laws, the Plan, any Stock Award or any Common Stock issued or issuable pursuant to any such Stock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Stock Awards unless and until such authority is obtained. A Participant will not be eligible for the grant of an Award or the subsequent issuance of cash or Common Stock pursuant to the Award if such grant or issuance would be in violation of any applicable law.</w:t>
      </w:r>
    </w:p>
    <w:p>
      <w:pPr>
        <w:spacing w:after="0" w:line="52" w:lineRule="exact"/>
        <w:rPr>
          <w:rFonts w:ascii="Arial" w:cs="Arial" w:eastAsia="Arial" w:hAnsi="Arial"/>
          <w:sz w:val="16"/>
          <w:szCs w:val="16"/>
          <w:b w:val="1"/>
          <w:bCs w:val="1"/>
          <w:color w:val="auto"/>
        </w:rPr>
      </w:pPr>
    </w:p>
    <w:p>
      <w:pPr>
        <w:ind w:left="-8" w:right="180" w:firstLine="526"/>
        <w:spacing w:after="0" w:line="261" w:lineRule="auto"/>
        <w:tabs>
          <w:tab w:leader="none" w:pos="755"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Notify or Minimize Taxes. </w:t>
      </w:r>
      <w:r>
        <w:rPr>
          <w:rFonts w:ascii="Arial" w:cs="Arial" w:eastAsia="Arial" w:hAnsi="Arial"/>
          <w:sz w:val="18"/>
          <w:szCs w:val="18"/>
          <w:color w:val="auto"/>
        </w:rPr>
        <w:t>The Company will have no duty or obligation to any Participant to advise such holder as to the tax</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or time or manner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180" w:lineRule="exact"/>
        <w:rPr>
          <w:rFonts w:ascii="Arial" w:cs="Arial" w:eastAsia="Arial" w:hAnsi="Arial"/>
          <w:sz w:val="18"/>
          <w:szCs w:val="18"/>
          <w:b w:val="1"/>
          <w:bCs w:val="1"/>
          <w:color w:val="auto"/>
        </w:rPr>
      </w:pPr>
    </w:p>
    <w:p>
      <w:pPr>
        <w:ind w:left="172" w:hanging="172"/>
        <w:spacing w:after="0"/>
        <w:tabs>
          <w:tab w:leader="none" w:pos="172"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3"/>
          <w:szCs w:val="13"/>
          <w:b w:val="1"/>
          <w:bCs w:val="1"/>
          <w:color w:val="auto"/>
        </w:rPr>
        <w:t>ISCELLANEOUS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8" w:right="260" w:firstLine="526"/>
        <w:spacing w:after="0" w:line="282" w:lineRule="auto"/>
        <w:tabs>
          <w:tab w:leader="none" w:pos="765"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from Sales of Common Stock. </w:t>
      </w:r>
      <w:r>
        <w:rPr>
          <w:rFonts w:ascii="Arial" w:cs="Arial" w:eastAsia="Arial" w:hAnsi="Arial"/>
          <w:sz w:val="18"/>
          <w:szCs w:val="18"/>
          <w:color w:val="auto"/>
        </w:rPr>
        <w:t>Proceeds from the sale of shares of Common Stock pursuant to Awards will constitute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funds of the Company.</w:t>
      </w:r>
    </w:p>
    <w:p>
      <w:pPr>
        <w:spacing w:after="0" w:line="53" w:lineRule="exact"/>
        <w:rPr>
          <w:rFonts w:ascii="Arial" w:cs="Arial" w:eastAsia="Arial" w:hAnsi="Arial"/>
          <w:sz w:val="18"/>
          <w:szCs w:val="18"/>
          <w:b w:val="1"/>
          <w:bCs w:val="1"/>
          <w:color w:val="auto"/>
        </w:rPr>
      </w:pPr>
    </w:p>
    <w:p>
      <w:pPr>
        <w:ind w:left="-8" w:firstLine="526"/>
        <w:spacing w:after="0" w:line="255" w:lineRule="auto"/>
        <w:tabs>
          <w:tab w:leader="none" w:pos="775"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Action Constituting Grant of Awards. </w:t>
      </w:r>
      <w:r>
        <w:rPr>
          <w:rFonts w:ascii="Arial" w:cs="Arial" w:eastAsia="Arial" w:hAnsi="Arial"/>
          <w:sz w:val="18"/>
          <w:szCs w:val="18"/>
          <w:color w:val="auto"/>
        </w:rPr>
        <w:t>Corporate action constituting a grant by the Company of an Award to any Participant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81" w:lineRule="exact"/>
        <w:rPr>
          <w:rFonts w:ascii="Arial" w:cs="Arial" w:eastAsia="Arial" w:hAnsi="Arial"/>
          <w:sz w:val="18"/>
          <w:szCs w:val="18"/>
          <w:b w:val="1"/>
          <w:bCs w:val="1"/>
          <w:color w:val="auto"/>
        </w:rPr>
      </w:pPr>
    </w:p>
    <w:p>
      <w:pPr>
        <w:ind w:left="-8" w:right="20" w:firstLine="526"/>
        <w:spacing w:after="0" w:line="261" w:lineRule="auto"/>
        <w:tabs>
          <w:tab w:leader="none" w:pos="755"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 Rights. </w:t>
      </w:r>
      <w:r>
        <w:rPr>
          <w:rFonts w:ascii="Arial" w:cs="Arial" w:eastAsia="Arial" w:hAnsi="Arial"/>
          <w:sz w:val="18"/>
          <w:szCs w:val="18"/>
          <w:color w:val="auto"/>
        </w:rPr>
        <w:t>No Participant will be deemed to be the holder of, or to have any of the rights of a holder with respect to, any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subject to an Award unless and until (i) such Participant has satisfied all requirements for exercise of, or the issuance of shares of Common Stock under, the Award pursuant to its terms, and (ii) the issuance of the Common Stock subject to such Award has been entered into the books and records of the Company.</w:t>
      </w:r>
    </w:p>
    <w:p>
      <w:pPr>
        <w:spacing w:after="0" w:line="71" w:lineRule="exact"/>
        <w:rPr>
          <w:rFonts w:ascii="Arial" w:cs="Arial" w:eastAsia="Arial" w:hAnsi="Arial"/>
          <w:sz w:val="18"/>
          <w:szCs w:val="18"/>
          <w:b w:val="1"/>
          <w:bCs w:val="1"/>
          <w:color w:val="auto"/>
        </w:rPr>
      </w:pPr>
    </w:p>
    <w:p>
      <w:pPr>
        <w:ind w:left="-8" w:right="120" w:firstLine="526"/>
        <w:spacing w:after="0" w:line="274" w:lineRule="auto"/>
        <w:tabs>
          <w:tab w:leader="none" w:pos="775" w:val="left"/>
        </w:tabs>
        <w:numPr>
          <w:ilvl w:val="1"/>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Employment or Other Service Rights. </w:t>
      </w:r>
      <w:r>
        <w:rPr>
          <w:rFonts w:ascii="Arial" w:cs="Arial" w:eastAsia="Arial" w:hAnsi="Arial"/>
          <w:sz w:val="17"/>
          <w:szCs w:val="17"/>
          <w:color w:val="auto"/>
        </w:rPr>
        <w:t>Nothing in the Plan, any Award Agreement or any other instrument executed thereunder or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any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domiciled or incorporated, as the case may be.</w:t>
      </w:r>
    </w:p>
    <w:p>
      <w:pPr>
        <w:spacing w:after="0" w:line="65" w:lineRule="exact"/>
        <w:rPr>
          <w:rFonts w:ascii="Arial" w:cs="Arial" w:eastAsia="Arial" w:hAnsi="Arial"/>
          <w:sz w:val="17"/>
          <w:szCs w:val="17"/>
          <w:b w:val="1"/>
          <w:bCs w:val="1"/>
          <w:color w:val="auto"/>
        </w:rPr>
      </w:pPr>
    </w:p>
    <w:p>
      <w:pPr>
        <w:ind w:left="-8" w:firstLine="526"/>
        <w:spacing w:after="0" w:line="255" w:lineRule="auto"/>
        <w:tabs>
          <w:tab w:leader="none" w:pos="755"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Time Commitment. </w:t>
      </w:r>
      <w:r>
        <w:rPr>
          <w:rFonts w:ascii="Arial" w:cs="Arial" w:eastAsia="Arial" w:hAnsi="Arial"/>
          <w:sz w:val="18"/>
          <w:szCs w:val="18"/>
          <w:color w:val="auto"/>
        </w:rPr>
        <w:t>In the event a Participant’s regular level of time commitment in the performance of his or her services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has the right in its sole discretion to (x) 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9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567" w:right="259" w:bottom="1440" w:gutter="0" w:footer="0" w:header="0"/>
        </w:sectPr>
      </w:pPr>
    </w:p>
    <w:bookmarkStart w:id="41" w:name="page42"/>
    <w:bookmarkEnd w:id="41"/>
    <w:p>
      <w:pPr>
        <w:ind w:right="20" w:firstLine="526"/>
        <w:spacing w:after="0" w:line="277" w:lineRule="auto"/>
        <w:tabs>
          <w:tab w:leader="none" w:pos="743"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Incentive Stock Option Limitations. </w:t>
      </w:r>
      <w:r>
        <w:rPr>
          <w:rFonts w:ascii="Arial" w:cs="Arial" w:eastAsia="Arial" w:hAnsi="Arial"/>
          <w:sz w:val="17"/>
          <w:szCs w:val="17"/>
          <w:color w:val="auto"/>
        </w:rPr>
        <w:t>To the extent that the aggregate Fair Market Value (determined at the time of grant) of Common Stock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81" w:lineRule="exact"/>
        <w:rPr>
          <w:rFonts w:ascii="Arial" w:cs="Arial" w:eastAsia="Arial" w:hAnsi="Arial"/>
          <w:sz w:val="17"/>
          <w:szCs w:val="17"/>
          <w:b w:val="1"/>
          <w:bCs w:val="1"/>
          <w:color w:val="auto"/>
        </w:rPr>
      </w:pPr>
    </w:p>
    <w:p>
      <w:pPr>
        <w:ind w:firstLine="526"/>
        <w:spacing w:after="0" w:line="288" w:lineRule="auto"/>
        <w:tabs>
          <w:tab w:leader="none" w:pos="773"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Investment Assurances. </w:t>
      </w:r>
      <w:r>
        <w:rPr>
          <w:rFonts w:ascii="Arial" w:cs="Arial" w:eastAsia="Arial" w:hAnsi="Arial"/>
          <w:sz w:val="16"/>
          <w:szCs w:val="16"/>
          <w:color w:val="auto"/>
        </w:rPr>
        <w:t>The Company may require a Participant, as a condition of exercising or acquiring Common Stock under any Award, (i) to</w:t>
      </w:r>
      <w:r>
        <w:rPr>
          <w:rFonts w:ascii="Arial" w:cs="Arial" w:eastAsia="Arial" w:hAnsi="Arial"/>
          <w:sz w:val="16"/>
          <w:szCs w:val="16"/>
          <w:b w:val="1"/>
          <w:bCs w:val="1"/>
          <w:color w:val="auto"/>
        </w:rPr>
        <w:t xml:space="preserve"> </w:t>
      </w:r>
      <w:r>
        <w:rPr>
          <w:rFonts w:ascii="Arial" w:cs="Arial" w:eastAsia="Arial" w:hAnsi="Arial"/>
          <w:sz w:val="16"/>
          <w:szCs w:val="16"/>
          <w:color w:val="auto"/>
        </w:rPr>
        <w:t>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such Participant is capable of evaluating, alone or together with the purchaser representative, the merits and risks of exercising the Award; and (ii) to give written assurances satisfactory to the Company stating that the Participant is acquiring Common Stock subject to the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56" w:lineRule="exact"/>
        <w:rPr>
          <w:rFonts w:ascii="Arial" w:cs="Arial" w:eastAsia="Arial" w:hAnsi="Arial"/>
          <w:sz w:val="16"/>
          <w:szCs w:val="16"/>
          <w:b w:val="1"/>
          <w:bCs w:val="1"/>
          <w:color w:val="auto"/>
        </w:rPr>
      </w:pPr>
    </w:p>
    <w:p>
      <w:pPr>
        <w:ind w:firstLine="526"/>
        <w:spacing w:after="0" w:line="255" w:lineRule="auto"/>
        <w:tabs>
          <w:tab w:leader="none" w:pos="783"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Obligations. </w:t>
      </w:r>
      <w:r>
        <w:rPr>
          <w:rFonts w:ascii="Arial" w:cs="Arial" w:eastAsia="Arial" w:hAnsi="Arial"/>
          <w:sz w:val="18"/>
          <w:szCs w:val="18"/>
          <w:color w:val="auto"/>
        </w:rPr>
        <w:t>Unless prohibited by the terms of an Award Agreement, the Company may, in its sole discretion, satisfy any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state or local tax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shares of Common Stock are withheld with a value exceeding the maximum amount of tax required to be withheld by law (or such lesser amount as may be necessary to avoid classification of the Stock Award as a liability for financial accounting purposes); (iii) withholding cash from an Award settled in cash; (iv) withholding payment from any amounts otherwise payable to the Participant; or (v) by such other method as may be set forth in the Award Agreement.</w:t>
      </w:r>
    </w:p>
    <w:p>
      <w:pPr>
        <w:spacing w:after="0" w:line="81" w:lineRule="exact"/>
        <w:rPr>
          <w:rFonts w:ascii="Arial" w:cs="Arial" w:eastAsia="Arial" w:hAnsi="Arial"/>
          <w:sz w:val="18"/>
          <w:szCs w:val="18"/>
          <w:b w:val="1"/>
          <w:bCs w:val="1"/>
          <w:color w:val="auto"/>
        </w:rPr>
      </w:pPr>
    </w:p>
    <w:p>
      <w:pPr>
        <w:ind w:right="100" w:firstLine="526"/>
        <w:spacing w:after="0" w:line="266" w:lineRule="auto"/>
        <w:tabs>
          <w:tab w:leader="none" w:pos="733"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w:t>
      </w:r>
      <w:r>
        <w:rPr>
          <w:rFonts w:ascii="Arial" w:cs="Arial" w:eastAsia="Arial" w:hAnsi="Arial"/>
          <w:sz w:val="18"/>
          <w:szCs w:val="18"/>
          <w:color w:val="auto"/>
        </w:rPr>
        <w:t>. Any reference herein to a “written” agreement or document will include any agreement or document delivered electronically,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filed publicly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any successor website thereto) or posted on the Company’s intranet (or other shared electronic medium controlled by the Company to which the Participant has access).</w:t>
      </w:r>
    </w:p>
    <w:p>
      <w:pPr>
        <w:spacing w:after="0" w:line="68" w:lineRule="exact"/>
        <w:rPr>
          <w:rFonts w:ascii="Arial" w:cs="Arial" w:eastAsia="Arial" w:hAnsi="Arial"/>
          <w:sz w:val="18"/>
          <w:szCs w:val="18"/>
          <w:b w:val="1"/>
          <w:bCs w:val="1"/>
          <w:color w:val="auto"/>
        </w:rPr>
      </w:pPr>
    </w:p>
    <w:p>
      <w:pPr>
        <w:ind w:right="220" w:firstLine="526"/>
        <w:spacing w:after="0" w:line="273" w:lineRule="auto"/>
        <w:tabs>
          <w:tab w:leader="none" w:pos="743"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Deferrals. </w:t>
      </w:r>
      <w:r>
        <w:rPr>
          <w:rFonts w:ascii="Arial" w:cs="Arial" w:eastAsia="Arial" w:hAnsi="Arial"/>
          <w:sz w:val="17"/>
          <w:szCs w:val="17"/>
          <w:color w:val="auto"/>
        </w:rPr>
        <w:t>To the extent permitted by applicable law, the Board, in its sole discretion, may determine that the delivery of Common Stock or the</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85" w:lineRule="exact"/>
        <w:rPr>
          <w:rFonts w:ascii="Arial" w:cs="Arial" w:eastAsia="Arial" w:hAnsi="Arial"/>
          <w:sz w:val="17"/>
          <w:szCs w:val="17"/>
          <w:b w:val="1"/>
          <w:bCs w:val="1"/>
          <w:color w:val="auto"/>
        </w:rPr>
      </w:pPr>
    </w:p>
    <w:p>
      <w:pPr>
        <w:ind w:right="40" w:firstLine="526"/>
        <w:spacing w:after="0" w:line="287" w:lineRule="auto"/>
        <w:tabs>
          <w:tab w:leader="none" w:pos="783"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Section 409A of the Code. </w:t>
      </w:r>
      <w:r>
        <w:rPr>
          <w:rFonts w:ascii="Arial" w:cs="Arial" w:eastAsia="Arial" w:hAnsi="Arial"/>
          <w:sz w:val="16"/>
          <w:szCs w:val="16"/>
          <w:color w:val="auto"/>
        </w:rPr>
        <w:t>Unless otherwise expressly provided for in an Award Agreement, the Plan and Award Agreements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(as defined in Section 409A of the Code without regard to alternative definitions thereunder)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2" w:name="page43"/>
    <w:bookmarkEnd w:id="42"/>
    <w:p>
      <w:pPr>
        <w:ind w:right="120" w:firstLine="526"/>
        <w:spacing w:after="0" w:line="273" w:lineRule="auto"/>
        <w:tabs>
          <w:tab w:leader="none" w:pos="733" w:val="left"/>
        </w:tabs>
        <w:numPr>
          <w:ilvl w:val="1"/>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Clawback/Recovery</w:t>
      </w:r>
      <w:r>
        <w:rPr>
          <w:rFonts w:ascii="Arial" w:cs="Arial" w:eastAsia="Arial" w:hAnsi="Arial"/>
          <w:sz w:val="17"/>
          <w:szCs w:val="17"/>
          <w:color w:val="auto"/>
        </w:rPr>
        <w:t>. All Awards granted under the Plan will be subject to recoupment in accordance with any clawback policy that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an event constituting Cause. No recovery of compensation under such a clawback policy will be an event giving rise to a right to resign for “good reason” or “constructive termination” (or similar term) under any agreement with the Company.</w:t>
      </w:r>
    </w:p>
    <w:p>
      <w:pPr>
        <w:spacing w:after="0" w:line="172" w:lineRule="exact"/>
        <w:rPr>
          <w:rFonts w:ascii="Arial" w:cs="Arial" w:eastAsia="Arial" w:hAnsi="Arial"/>
          <w:sz w:val="17"/>
          <w:szCs w:val="17"/>
          <w:b w:val="1"/>
          <w:bCs w:val="1"/>
          <w:color w:val="auto"/>
        </w:rPr>
      </w:pPr>
    </w:p>
    <w:p>
      <w:pPr>
        <w:ind w:left="180" w:hanging="172"/>
        <w:spacing w:after="0"/>
        <w:tabs>
          <w:tab w:leader="none" w:pos="1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3"/>
          <w:szCs w:val="13"/>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3"/>
          <w:szCs w:val="13"/>
          <w:b w:val="1"/>
          <w:bCs w:val="1"/>
          <w:color w:val="auto"/>
        </w:rPr>
        <w:t>TOCK</w:t>
      </w:r>
      <w:r>
        <w:rPr>
          <w:rFonts w:ascii="Arial" w:cs="Arial" w:eastAsia="Arial" w:hAnsi="Arial"/>
          <w:sz w:val="18"/>
          <w:szCs w:val="18"/>
          <w:b w:val="1"/>
          <w:bCs w:val="1"/>
          <w:color w:val="auto"/>
        </w:rPr>
        <w:t>; O</w:t>
      </w:r>
      <w:r>
        <w:rPr>
          <w:rFonts w:ascii="Arial" w:cs="Arial" w:eastAsia="Arial" w:hAnsi="Arial"/>
          <w:sz w:val="13"/>
          <w:szCs w:val="13"/>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3"/>
          <w:szCs w:val="13"/>
          <w:b w:val="1"/>
          <w:bCs w:val="1"/>
          <w:color w:val="auto"/>
        </w:rPr>
        <w:t>VENTS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firstLine="526"/>
        <w:spacing w:after="0" w:line="277" w:lineRule="auto"/>
        <w:tabs>
          <w:tab w:leader="none" w:pos="773" w:val="left"/>
        </w:tabs>
        <w:numPr>
          <w:ilvl w:val="1"/>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Capitalization Adjustments</w:t>
      </w:r>
      <w:r>
        <w:rPr>
          <w:rFonts w:ascii="Arial" w:cs="Arial" w:eastAsia="Arial" w:hAnsi="Arial"/>
          <w:sz w:val="17"/>
          <w:szCs w:val="17"/>
          <w:color w:val="auto"/>
        </w:rPr>
        <w:t>. In the event of a Capitalization Adjustment, the Board will appropriately and proportionately adjust: (i) the class(es)</w:t>
      </w:r>
      <w:r>
        <w:rPr>
          <w:rFonts w:ascii="Arial" w:cs="Arial" w:eastAsia="Arial" w:hAnsi="Arial"/>
          <w:sz w:val="17"/>
          <w:szCs w:val="17"/>
          <w:b w:val="1"/>
          <w:bCs w:val="1"/>
          <w:color w:val="auto"/>
        </w:rPr>
        <w:t xml:space="preserve"> </w:t>
      </w:r>
      <w:r>
        <w:rPr>
          <w:rFonts w:ascii="Arial" w:cs="Arial" w:eastAsia="Arial" w:hAnsi="Arial"/>
          <w:sz w:val="17"/>
          <w:szCs w:val="17"/>
          <w:color w:val="auto"/>
        </w:rPr>
        <w:t>and maximum number of securities subject to the Plan pursuant to Section 3(a), (ii) the class(es) of securities by which the share reserve is to increase automatically each year pursuant to Section 3(a), (iii) the class(es) and maximum number of securities that may be issued pursuant to the exercise of Incentive Stock Options pursuant to Section 3(c) and (iv) the class(es) and number of securities and price per share of stock subject to outstanding Stock Awards. The Board will make such adjustments, and its determination will be final, binding and conclusive.</w:t>
      </w:r>
    </w:p>
    <w:p>
      <w:pPr>
        <w:spacing w:after="0" w:line="60" w:lineRule="exact"/>
        <w:rPr>
          <w:rFonts w:ascii="Arial" w:cs="Arial" w:eastAsia="Arial" w:hAnsi="Arial"/>
          <w:sz w:val="17"/>
          <w:szCs w:val="17"/>
          <w:b w:val="1"/>
          <w:bCs w:val="1"/>
          <w:color w:val="auto"/>
        </w:rPr>
      </w:pPr>
    </w:p>
    <w:p>
      <w:pPr>
        <w:ind w:right="40" w:firstLine="526"/>
        <w:spacing w:after="0" w:line="273" w:lineRule="auto"/>
        <w:tabs>
          <w:tab w:leader="none" w:pos="783" w:val="left"/>
        </w:tabs>
        <w:numPr>
          <w:ilvl w:val="1"/>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Dissolution</w:t>
      </w:r>
      <w:r>
        <w:rPr>
          <w:rFonts w:ascii="Arial" w:cs="Arial" w:eastAsia="Arial" w:hAnsi="Arial"/>
          <w:sz w:val="17"/>
          <w:szCs w:val="17"/>
          <w:color w:val="auto"/>
        </w:rPr>
        <w:t>. Except as otherwise provided in the Stock Award Agreement, in the event of a Dissolution of the Company, all outstanding Stock</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Awards (other than Stock Awards consisting of vested and outstanding shares of Common Stock not subject to a forfeiture condition or the Company’s right of repurchase) will terminate immediately prior to the completion of such Dissolution,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Board may, in its sole discretion, cause some or all Stock Awards to become fully vested, exercisable and/or no longer subject to repurchase or forfeiture (to the extent such Stock Awards have not previously expired or terminated) before the Dissolution is completed but contingent on its completion.</w:t>
      </w:r>
    </w:p>
    <w:p>
      <w:pPr>
        <w:spacing w:after="0" w:line="64" w:lineRule="exact"/>
        <w:rPr>
          <w:rFonts w:ascii="Arial" w:cs="Arial" w:eastAsia="Arial" w:hAnsi="Arial"/>
          <w:sz w:val="17"/>
          <w:szCs w:val="17"/>
          <w:b w:val="1"/>
          <w:bCs w:val="1"/>
          <w:color w:val="auto"/>
        </w:rPr>
      </w:pPr>
    </w:p>
    <w:p>
      <w:pPr>
        <w:ind w:right="60" w:firstLine="526"/>
        <w:spacing w:after="0" w:line="281" w:lineRule="auto"/>
        <w:tabs>
          <w:tab w:leader="none" w:pos="763" w:val="left"/>
        </w:tabs>
        <w:numPr>
          <w:ilvl w:val="1"/>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Transaction. </w:t>
      </w:r>
      <w:r>
        <w:rPr>
          <w:rFonts w:ascii="Arial" w:cs="Arial" w:eastAsia="Arial" w:hAnsi="Arial"/>
          <w:sz w:val="17"/>
          <w:szCs w:val="17"/>
          <w:color w:val="auto"/>
        </w:rPr>
        <w:t>The following provisions shall apply to Stock Awards in the event of a Transaction unless otherwise provided in the instrument</w:t>
      </w:r>
      <w:r>
        <w:rPr>
          <w:rFonts w:ascii="Arial" w:cs="Arial" w:eastAsia="Arial" w:hAnsi="Arial"/>
          <w:sz w:val="17"/>
          <w:szCs w:val="17"/>
          <w:b w:val="1"/>
          <w:bCs w:val="1"/>
          <w:color w:val="auto"/>
        </w:rPr>
        <w:t xml:space="preserve"> </w:t>
      </w:r>
      <w:r>
        <w:rPr>
          <w:rFonts w:ascii="Arial" w:cs="Arial" w:eastAsia="Arial" w:hAnsi="Arial"/>
          <w:sz w:val="17"/>
          <w:szCs w:val="17"/>
          <w:color w:val="auto"/>
        </w:rPr>
        <w:t>evidencing the Stock Award or any other written agreement between the Company or any Affiliate and the Participant or unless otherwise expressly provided by the Board at the time of grant of a Stock Award. In the event of a Transaction, then, notwithstanding any other provision of the Plan, the Board shall take one or more of the following actions with respect to Stock Awards, contingent upon the closing or completion of the Transaction:</w:t>
      </w:r>
    </w:p>
    <w:p>
      <w:pPr>
        <w:spacing w:after="0" w:line="60" w:lineRule="exact"/>
        <w:rPr>
          <w:rFonts w:ascii="Arial" w:cs="Arial" w:eastAsia="Arial" w:hAnsi="Arial"/>
          <w:sz w:val="17"/>
          <w:szCs w:val="17"/>
          <w:b w:val="1"/>
          <w:bCs w:val="1"/>
          <w:color w:val="auto"/>
        </w:rPr>
      </w:pPr>
    </w:p>
    <w:p>
      <w:pPr>
        <w:ind w:right="20" w:firstLine="1042"/>
        <w:spacing w:after="0" w:line="264" w:lineRule="auto"/>
        <w:tabs>
          <w:tab w:leader="none" w:pos="1249" w:val="left"/>
        </w:tabs>
        <w:numPr>
          <w:ilvl w:val="2"/>
          <w:numId w:val="45"/>
        </w:numPr>
        <w:rPr>
          <w:rFonts w:ascii="Arial" w:cs="Arial" w:eastAsia="Arial" w:hAnsi="Arial"/>
          <w:sz w:val="18"/>
          <w:szCs w:val="18"/>
          <w:b w:val="1"/>
          <w:bCs w:val="1"/>
          <w:color w:val="auto"/>
        </w:rPr>
      </w:pPr>
      <w:r>
        <w:rPr>
          <w:rFonts w:ascii="Arial" w:cs="Arial" w:eastAsia="Arial" w:hAnsi="Arial"/>
          <w:sz w:val="18"/>
          <w:szCs w:val="18"/>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Transaction);</w:t>
      </w:r>
    </w:p>
    <w:p>
      <w:pPr>
        <w:spacing w:after="0" w:line="73" w:lineRule="exact"/>
        <w:rPr>
          <w:rFonts w:ascii="Arial" w:cs="Arial" w:eastAsia="Arial" w:hAnsi="Arial"/>
          <w:sz w:val="18"/>
          <w:szCs w:val="18"/>
          <w:b w:val="1"/>
          <w:bCs w:val="1"/>
          <w:color w:val="auto"/>
        </w:rPr>
      </w:pPr>
    </w:p>
    <w:p>
      <w:pPr>
        <w:ind w:right="200" w:firstLine="1042"/>
        <w:spacing w:after="0" w:line="308" w:lineRule="auto"/>
        <w:tabs>
          <w:tab w:leader="none" w:pos="1299" w:val="left"/>
        </w:tabs>
        <w:numPr>
          <w:ilvl w:val="2"/>
          <w:numId w:val="45"/>
        </w:numPr>
        <w:rPr>
          <w:rFonts w:ascii="Arial" w:cs="Arial" w:eastAsia="Arial" w:hAnsi="Arial"/>
          <w:sz w:val="17"/>
          <w:szCs w:val="17"/>
          <w:b w:val="1"/>
          <w:bCs w:val="1"/>
          <w:color w:val="auto"/>
        </w:rPr>
      </w:pPr>
      <w:r>
        <w:rPr>
          <w:rFonts w:ascii="Arial" w:cs="Arial" w:eastAsia="Arial" w:hAnsi="Arial"/>
          <w:sz w:val="17"/>
          <w:szCs w:val="17"/>
          <w:color w:val="auto"/>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38" w:lineRule="exact"/>
        <w:rPr>
          <w:rFonts w:ascii="Arial" w:cs="Arial" w:eastAsia="Arial" w:hAnsi="Arial"/>
          <w:sz w:val="17"/>
          <w:szCs w:val="17"/>
          <w:b w:val="1"/>
          <w:bCs w:val="1"/>
          <w:color w:val="auto"/>
        </w:rPr>
      </w:pPr>
    </w:p>
    <w:p>
      <w:pPr>
        <w:ind w:firstLine="1042"/>
        <w:spacing w:after="0" w:line="259" w:lineRule="auto"/>
        <w:tabs>
          <w:tab w:leader="none" w:pos="1349" w:val="left"/>
        </w:tabs>
        <w:numPr>
          <w:ilvl w:val="2"/>
          <w:numId w:val="45"/>
        </w:numPr>
        <w:rPr>
          <w:rFonts w:ascii="Arial" w:cs="Arial" w:eastAsia="Arial" w:hAnsi="Arial"/>
          <w:sz w:val="18"/>
          <w:szCs w:val="18"/>
          <w:b w:val="1"/>
          <w:bCs w:val="1"/>
          <w:color w:val="auto"/>
        </w:rPr>
      </w:pPr>
      <w:r>
        <w:rPr>
          <w:rFonts w:ascii="Arial" w:cs="Arial" w:eastAsia="Arial" w:hAnsi="Arial"/>
          <w:sz w:val="18"/>
          <w:szCs w:val="18"/>
          <w:color w:val="auto"/>
        </w:rPr>
        <w:t>accelerate the vesting, in whole or in part, of the Stock Award (and, if applicable, the time at which the Stock Award may be exercised) to a date prior to the effective time of such Transaction as the Board shall determine (or, if the Board shall not determine such a date, to the date that is five days prior to the effective date of the Transaction), with such Stock Award terminating if not exercised (if applicable) at or prior to the effective time of the Transaction;</w:t>
      </w:r>
    </w:p>
    <w:p>
      <w:pPr>
        <w:spacing w:after="0" w:line="78" w:lineRule="exact"/>
        <w:rPr>
          <w:rFonts w:ascii="Arial" w:cs="Arial" w:eastAsia="Arial" w:hAnsi="Arial"/>
          <w:sz w:val="18"/>
          <w:szCs w:val="18"/>
          <w:b w:val="1"/>
          <w:bCs w:val="1"/>
          <w:color w:val="auto"/>
        </w:rPr>
      </w:pPr>
    </w:p>
    <w:p>
      <w:pPr>
        <w:ind w:left="1340" w:hanging="298"/>
        <w:spacing w:after="0"/>
        <w:tabs>
          <w:tab w:leader="none" w:pos="1340" w:val="left"/>
        </w:tabs>
        <w:numPr>
          <w:ilvl w:val="2"/>
          <w:numId w:val="45"/>
        </w:numPr>
        <w:rPr>
          <w:rFonts w:ascii="Arial" w:cs="Arial" w:eastAsia="Arial" w:hAnsi="Arial"/>
          <w:sz w:val="16"/>
          <w:szCs w:val="16"/>
          <w:b w:val="1"/>
          <w:bCs w:val="1"/>
          <w:color w:val="auto"/>
        </w:rPr>
      </w:pPr>
      <w:r>
        <w:rPr>
          <w:rFonts w:ascii="Arial" w:cs="Arial" w:eastAsia="Arial" w:hAnsi="Arial"/>
          <w:sz w:val="16"/>
          <w:szCs w:val="16"/>
          <w:color w:val="auto"/>
        </w:rPr>
        <w:t>arrange for the lapse, in whole or in part, of any reacquisition or repurchase rights held by the Company with respect to the Stock Award;</w:t>
      </w:r>
    </w:p>
    <w:p>
      <w:pPr>
        <w:spacing w:after="0" w:line="140" w:lineRule="exact"/>
        <w:rPr>
          <w:rFonts w:ascii="Arial" w:cs="Arial" w:eastAsia="Arial" w:hAnsi="Arial"/>
          <w:sz w:val="16"/>
          <w:szCs w:val="16"/>
          <w:b w:val="1"/>
          <w:bCs w:val="1"/>
          <w:color w:val="auto"/>
        </w:rPr>
      </w:pPr>
    </w:p>
    <w:p>
      <w:pPr>
        <w:ind w:right="700" w:firstLine="1042"/>
        <w:spacing w:after="0" w:line="308" w:lineRule="auto"/>
        <w:tabs>
          <w:tab w:leader="none" w:pos="1289" w:val="left"/>
        </w:tabs>
        <w:numPr>
          <w:ilvl w:val="2"/>
          <w:numId w:val="45"/>
        </w:numPr>
        <w:rPr>
          <w:rFonts w:ascii="Arial" w:cs="Arial" w:eastAsia="Arial" w:hAnsi="Arial"/>
          <w:sz w:val="17"/>
          <w:szCs w:val="17"/>
          <w:b w:val="1"/>
          <w:bCs w:val="1"/>
          <w:color w:val="auto"/>
        </w:rPr>
      </w:pPr>
      <w:r>
        <w:rPr>
          <w:rFonts w:ascii="Arial" w:cs="Arial" w:eastAsia="Arial" w:hAnsi="Arial"/>
          <w:sz w:val="17"/>
          <w:szCs w:val="17"/>
          <w:color w:val="auto"/>
        </w:rPr>
        <w:t>cancel or arrange for the cancellation of the Stock Award, to the extent not vested or not exercised prior to the effective time of the Transaction, in exchange for such cash consideration, if any, as the Board, in its sole discretion, may consider appropriate; and</w:t>
      </w:r>
    </w:p>
    <w:p>
      <w:pPr>
        <w:spacing w:after="0" w:line="38" w:lineRule="exact"/>
        <w:rPr>
          <w:rFonts w:ascii="Arial" w:cs="Arial" w:eastAsia="Arial" w:hAnsi="Arial"/>
          <w:sz w:val="17"/>
          <w:szCs w:val="17"/>
          <w:b w:val="1"/>
          <w:bCs w:val="1"/>
          <w:color w:val="auto"/>
        </w:rPr>
      </w:pPr>
    </w:p>
    <w:p>
      <w:pPr>
        <w:ind w:firstLine="1042"/>
        <w:spacing w:after="0" w:line="276" w:lineRule="auto"/>
        <w:tabs>
          <w:tab w:leader="none" w:pos="1339" w:val="left"/>
        </w:tabs>
        <w:numPr>
          <w:ilvl w:val="2"/>
          <w:numId w:val="45"/>
        </w:numPr>
        <w:rPr>
          <w:rFonts w:ascii="Arial" w:cs="Arial" w:eastAsia="Arial" w:hAnsi="Arial"/>
          <w:sz w:val="17"/>
          <w:szCs w:val="17"/>
          <w:b w:val="1"/>
          <w:bCs w:val="1"/>
          <w:color w:val="auto"/>
        </w:rPr>
      </w:pPr>
      <w:r>
        <w:rPr>
          <w:rFonts w:ascii="Arial" w:cs="Arial" w:eastAsia="Arial" w:hAnsi="Arial"/>
          <w:sz w:val="17"/>
          <w:szCs w:val="17"/>
          <w:color w:val="auto"/>
        </w:rPr>
        <w:t>make a payment, in such form as may be determined by the Board equal to the excess, if any, of (A) the value of the property the Participant would have received upon the exercise of the Stock Award immediately prior to the effective time of the Transaction, over (B) any exercise price payable by such holder in connection with such exercise. For clarity, this payment may be zero ($0) if the value of the property is equal to or less than the exercise price. Payments under this provision may be delayed to the same extent that payment of consideration to the holders of Common Stock in connection with the Transaction is delayed as a result of escrows, earn outs, holdbacks or other contingencies.</w:t>
      </w:r>
    </w:p>
    <w:p>
      <w:pPr>
        <w:spacing w:after="0" w:line="64"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Board need not take the same action or actions with respect to all Stock Awards or portions thereof or with respect to all Participants. The Board may take different actions with respect to the vested and unvested portions of a Stock Award.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43" w:name="page44"/>
    <w:bookmarkEnd w:id="43"/>
    <w:p>
      <w:pPr>
        <w:jc w:val="both"/>
        <w:ind w:right="240" w:firstLine="526"/>
        <w:spacing w:after="0" w:line="266" w:lineRule="auto"/>
        <w:tabs>
          <w:tab w:leader="none" w:pos="783" w:val="left"/>
        </w:tabs>
        <w:numPr>
          <w:ilvl w:val="1"/>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A Stock Award may be subject to additional acceleration of vesting and exercisability upon or after a Change in Control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provided in the Stock Award Agreement for such Stock Award or as may be provided in any other written agreement between the Company or any Affiliate and the Participant.</w:t>
      </w:r>
    </w:p>
    <w:p>
      <w:pPr>
        <w:spacing w:after="0" w:line="176" w:lineRule="exact"/>
        <w:rPr>
          <w:rFonts w:ascii="Arial" w:cs="Arial" w:eastAsia="Arial" w:hAnsi="Arial"/>
          <w:sz w:val="18"/>
          <w:szCs w:val="18"/>
          <w:b w:val="1"/>
          <w:bCs w:val="1"/>
          <w:color w:val="auto"/>
        </w:rPr>
      </w:pPr>
    </w:p>
    <w:p>
      <w:pPr>
        <w:ind w:left="280" w:hanging="272"/>
        <w:spacing w:after="0"/>
        <w:tabs>
          <w:tab w:leader="none" w:pos="2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3"/>
          <w:szCs w:val="13"/>
          <w:b w:val="1"/>
          <w:bCs w:val="1"/>
          <w:color w:val="auto"/>
        </w:rPr>
        <w:t>LAN</w:t>
      </w:r>
      <w:r>
        <w:rPr>
          <w:rFonts w:ascii="Arial" w:cs="Arial" w:eastAsia="Arial" w:hAnsi="Arial"/>
          <w:sz w:val="18"/>
          <w:szCs w:val="18"/>
          <w:b w:val="1"/>
          <w:bCs w:val="1"/>
          <w:color w:val="auto"/>
        </w:rPr>
        <w:t xml:space="preserve"> T</w:t>
      </w:r>
      <w:r>
        <w:rPr>
          <w:rFonts w:ascii="Arial" w:cs="Arial" w:eastAsia="Arial" w:hAnsi="Arial"/>
          <w:sz w:val="13"/>
          <w:szCs w:val="13"/>
          <w:b w:val="1"/>
          <w:bCs w:val="1"/>
          <w:color w:val="auto"/>
        </w:rPr>
        <w:t>ERM</w:t>
      </w:r>
      <w:r>
        <w:rPr>
          <w:rFonts w:ascii="Arial" w:cs="Arial" w:eastAsia="Arial" w:hAnsi="Arial"/>
          <w:sz w:val="18"/>
          <w:szCs w:val="18"/>
          <w:b w:val="1"/>
          <w:bCs w:val="1"/>
          <w:color w:val="auto"/>
        </w:rPr>
        <w:t>; E</w:t>
      </w:r>
      <w:r>
        <w:rPr>
          <w:rFonts w:ascii="Arial" w:cs="Arial" w:eastAsia="Arial" w:hAnsi="Arial"/>
          <w:sz w:val="13"/>
          <w:szCs w:val="13"/>
          <w:b w:val="1"/>
          <w:bCs w:val="1"/>
          <w:color w:val="auto"/>
        </w:rPr>
        <w:t>ARLIER</w:t>
      </w:r>
      <w:r>
        <w:rPr>
          <w:rFonts w:ascii="Arial" w:cs="Arial" w:eastAsia="Arial" w:hAnsi="Arial"/>
          <w:sz w:val="18"/>
          <w:szCs w:val="18"/>
          <w:b w:val="1"/>
          <w:bCs w:val="1"/>
          <w:color w:val="auto"/>
        </w:rPr>
        <w:t xml:space="preserve"> T</w:t>
      </w:r>
      <w:r>
        <w:rPr>
          <w:rFonts w:ascii="Arial" w:cs="Arial" w:eastAsia="Arial" w:hAnsi="Arial"/>
          <w:sz w:val="13"/>
          <w:szCs w:val="13"/>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3"/>
          <w:szCs w:val="13"/>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18"/>
          <w:szCs w:val="18"/>
          <w:b w:val="1"/>
          <w:bCs w:val="1"/>
          <w:color w:val="auto"/>
        </w:rPr>
        <w: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Board may suspend or terminate the Plan at any time. No Incentive Stock Options may be granted after the tenth anniversary of the earlier of</w:t>
      </w:r>
    </w:p>
    <w:p>
      <w:pPr>
        <w:spacing w:after="0" w:line="46" w:lineRule="exact"/>
        <w:rPr>
          <w:sz w:val="20"/>
          <w:szCs w:val="20"/>
          <w:color w:val="auto"/>
        </w:rPr>
      </w:pPr>
    </w:p>
    <w:p>
      <w:pPr>
        <w:ind w:right="20" w:firstLine="8"/>
        <w:spacing w:after="0" w:line="261" w:lineRule="auto"/>
        <w:tabs>
          <w:tab w:leader="none" w:pos="2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date the Plan is adopted by the Board (the “</w:t>
      </w:r>
      <w:r>
        <w:rPr>
          <w:rFonts w:ascii="Arial" w:cs="Arial" w:eastAsia="Arial" w:hAnsi="Arial"/>
          <w:sz w:val="18"/>
          <w:szCs w:val="18"/>
          <w:b w:val="1"/>
          <w:bCs w:val="1"/>
          <w:i w:val="1"/>
          <w:iCs w:val="1"/>
          <w:color w:val="auto"/>
        </w:rPr>
        <w:t>Adoption Date</w:t>
      </w:r>
      <w:r>
        <w:rPr>
          <w:rFonts w:ascii="Arial" w:cs="Arial" w:eastAsia="Arial" w:hAnsi="Arial"/>
          <w:sz w:val="18"/>
          <w:szCs w:val="18"/>
          <w:color w:val="auto"/>
        </w:rPr>
        <w:t>”), or (ii) the date the Plan is approved by the stockholders of the Company. No Awards may be granted under the Plan while the Plan is suspended or after it is terminated.</w:t>
      </w:r>
    </w:p>
    <w:p>
      <w:pPr>
        <w:spacing w:after="0" w:line="180" w:lineRule="exact"/>
        <w:rPr>
          <w:sz w:val="20"/>
          <w:szCs w:val="20"/>
          <w:color w:val="auto"/>
        </w:rPr>
      </w:pPr>
    </w:p>
    <w:p>
      <w:pPr>
        <w:ind w:left="260" w:hanging="252"/>
        <w:spacing w:after="0"/>
        <w:tabs>
          <w:tab w:leader="none" w:pos="2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3"/>
          <w:szCs w:val="13"/>
          <w:b w:val="1"/>
          <w:bCs w:val="1"/>
          <w:color w:val="auto"/>
        </w:rPr>
        <w:t>XISTENCE OF THE</w:t>
      </w:r>
      <w:r>
        <w:rPr>
          <w:rFonts w:ascii="Arial" w:cs="Arial" w:eastAsia="Arial" w:hAnsi="Arial"/>
          <w:sz w:val="18"/>
          <w:szCs w:val="18"/>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18"/>
          <w:szCs w:val="18"/>
          <w:b w:val="1"/>
          <w:bCs w:val="1"/>
          <w:color w:val="auto"/>
        </w:rPr>
        <w:t>; T</w:t>
      </w:r>
      <w:r>
        <w:rPr>
          <w:rFonts w:ascii="Arial" w:cs="Arial" w:eastAsia="Arial" w:hAnsi="Arial"/>
          <w:sz w:val="13"/>
          <w:szCs w:val="13"/>
          <w:b w:val="1"/>
          <w:bCs w:val="1"/>
          <w:color w:val="auto"/>
        </w:rPr>
        <w:t>IMING OF</w:t>
      </w:r>
      <w:r>
        <w:rPr>
          <w:rFonts w:ascii="Arial" w:cs="Arial" w:eastAsia="Arial" w:hAnsi="Arial"/>
          <w:sz w:val="18"/>
          <w:szCs w:val="18"/>
          <w:b w:val="1"/>
          <w:bCs w:val="1"/>
          <w:color w:val="auto"/>
        </w:rPr>
        <w:t xml:space="preserve"> F</w:t>
      </w:r>
      <w:r>
        <w:rPr>
          <w:rFonts w:ascii="Arial" w:cs="Arial" w:eastAsia="Arial" w:hAnsi="Arial"/>
          <w:sz w:val="13"/>
          <w:szCs w:val="13"/>
          <w:b w:val="1"/>
          <w:bCs w:val="1"/>
          <w:color w:val="auto"/>
        </w:rPr>
        <w:t>IRST</w:t>
      </w:r>
      <w:r>
        <w:rPr>
          <w:rFonts w:ascii="Arial" w:cs="Arial" w:eastAsia="Arial" w:hAnsi="Arial"/>
          <w:sz w:val="18"/>
          <w:szCs w:val="18"/>
          <w:b w:val="1"/>
          <w:bCs w:val="1"/>
          <w:color w:val="auto"/>
        </w:rPr>
        <w:t xml:space="preserve"> G</w:t>
      </w:r>
      <w:r>
        <w:rPr>
          <w:rFonts w:ascii="Arial" w:cs="Arial" w:eastAsia="Arial" w:hAnsi="Arial"/>
          <w:sz w:val="13"/>
          <w:szCs w:val="13"/>
          <w:b w:val="1"/>
          <w:bCs w:val="1"/>
          <w:color w:val="auto"/>
        </w:rPr>
        <w:t>RANT OR</w:t>
      </w:r>
      <w:r>
        <w:rPr>
          <w:rFonts w:ascii="Arial" w:cs="Arial" w:eastAsia="Arial" w:hAnsi="Arial"/>
          <w:sz w:val="18"/>
          <w:szCs w:val="18"/>
          <w:b w:val="1"/>
          <w:bCs w:val="1"/>
          <w:color w:val="auto"/>
        </w:rPr>
        <w:t xml:space="preserve"> E</w:t>
      </w:r>
      <w:r>
        <w:rPr>
          <w:rFonts w:ascii="Arial" w:cs="Arial" w:eastAsia="Arial" w:hAnsi="Arial"/>
          <w:sz w:val="13"/>
          <w:szCs w:val="13"/>
          <w:b w:val="1"/>
          <w:bCs w:val="1"/>
          <w:color w:val="auto"/>
        </w:rPr>
        <w:t>XERCISE</w:t>
      </w:r>
      <w:r>
        <w:rPr>
          <w:rFonts w:ascii="Arial" w:cs="Arial" w:eastAsia="Arial" w:hAnsi="Arial"/>
          <w:sz w:val="18"/>
          <w:szCs w:val="18"/>
          <w:b w:val="1"/>
          <w:bCs w:val="1"/>
          <w:color w:val="auto"/>
        </w:rPr>
        <w:t>.</w:t>
      </w:r>
    </w:p>
    <w:p>
      <w:pPr>
        <w:spacing w:after="0" w:line="121"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 xml:space="preserve">The Plan will come into existence on the Adoption Date;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Stock Award may be granted prior to the IPO Date. In addition, no Stock Award will be exercised (or, in the case of a Restricted Stock Award, Restricted Stock Unit Award, Performance Stock Award, or Other Stock Award, no Stock Award will be granted) and no Performance Cash Award will be settled unless and until the Plan has been approved by the stockholders of the Company, which approval will be within 12 months after the date the Plan is adopted by the Board.</w:t>
      </w:r>
    </w:p>
    <w:p>
      <w:pPr>
        <w:spacing w:after="0" w:line="167" w:lineRule="exact"/>
        <w:rPr>
          <w:sz w:val="20"/>
          <w:szCs w:val="20"/>
          <w:color w:val="auto"/>
        </w:rPr>
      </w:pPr>
    </w:p>
    <w:p>
      <w:pPr>
        <w:ind w:left="280" w:hanging="272"/>
        <w:spacing w:after="0"/>
        <w:tabs>
          <w:tab w:leader="none" w:pos="2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3"/>
          <w:szCs w:val="13"/>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3"/>
          <w:szCs w:val="13"/>
          <w:b w:val="1"/>
          <w:bCs w:val="1"/>
          <w:color w:val="auto"/>
        </w:rPr>
        <w:t>AW</w:t>
      </w:r>
      <w:r>
        <w:rPr>
          <w:rFonts w:ascii="Arial" w:cs="Arial" w:eastAsia="Arial" w:hAnsi="Arial"/>
          <w:sz w:val="18"/>
          <w:szCs w:val="18"/>
          <w:b w:val="1"/>
          <w:bCs w:val="1"/>
          <w:color w:val="auto"/>
        </w:rPr>
        <w:t>.</w:t>
      </w:r>
    </w:p>
    <w:p>
      <w:pPr>
        <w:spacing w:after="0" w:line="12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law of the State of Delaware will govern all questions concerning the construction, validity and interpretation of this Plan, without regard to that state’s conflict of laws rules.</w:t>
      </w:r>
    </w:p>
    <w:p>
      <w:pPr>
        <w:spacing w:after="0" w:line="166" w:lineRule="exact"/>
        <w:rPr>
          <w:sz w:val="20"/>
          <w:szCs w:val="20"/>
          <w:color w:val="auto"/>
        </w:rPr>
      </w:pPr>
    </w:p>
    <w:p>
      <w:pPr>
        <w:ind w:left="280" w:hanging="272"/>
        <w:spacing w:after="0"/>
        <w:tabs>
          <w:tab w:leader="none" w:pos="2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3"/>
          <w:szCs w:val="13"/>
          <w:b w:val="1"/>
          <w:bCs w:val="1"/>
          <w:color w:val="auto"/>
        </w:rPr>
        <w:t>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the Plan, the following definitions will apply to the capitalized terms indicated below:</w:t>
      </w:r>
    </w:p>
    <w:p>
      <w:pPr>
        <w:spacing w:after="0" w:line="121" w:lineRule="exact"/>
        <w:rPr>
          <w:rFonts w:ascii="Arial" w:cs="Arial" w:eastAsia="Arial" w:hAnsi="Arial"/>
          <w:sz w:val="18"/>
          <w:szCs w:val="18"/>
          <w:b w:val="1"/>
          <w:bCs w:val="1"/>
          <w:color w:val="auto"/>
        </w:rPr>
      </w:pPr>
    </w:p>
    <w:p>
      <w:pPr>
        <w:ind w:right="180" w:firstLine="526"/>
        <w:spacing w:after="0" w:line="264" w:lineRule="auto"/>
        <w:tabs>
          <w:tab w:leader="none" w:pos="773" w:val="left"/>
        </w:tabs>
        <w:numPr>
          <w:ilvl w:val="1"/>
          <w:numId w:val="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at the time of determination, any “parent” or “subsidiary” of the Company as such terms are defined in Rule 405 of the Securities Act. The Board will have the authority to determine the time or times at which “parent” or “subsidiary” status is determined within the foregoing definition.</w:t>
      </w:r>
    </w:p>
    <w:p>
      <w:pPr>
        <w:spacing w:after="0" w:line="73" w:lineRule="exact"/>
        <w:rPr>
          <w:rFonts w:ascii="Arial" w:cs="Arial" w:eastAsia="Arial" w:hAnsi="Arial"/>
          <w:sz w:val="18"/>
          <w:szCs w:val="18"/>
          <w:b w:val="1"/>
          <w:bCs w:val="1"/>
          <w:color w:val="auto"/>
        </w:rPr>
      </w:pPr>
    </w:p>
    <w:p>
      <w:pPr>
        <w:ind w:left="800" w:hanging="274"/>
        <w:spacing w:after="0"/>
        <w:tabs>
          <w:tab w:leader="none" w:pos="800" w:val="left"/>
        </w:tabs>
        <w:numPr>
          <w:ilvl w:val="1"/>
          <w:numId w:val="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 Stock Award or a Performance Cash Award.</w:t>
      </w:r>
    </w:p>
    <w:p>
      <w:pPr>
        <w:spacing w:after="0" w:line="238" w:lineRule="exact"/>
        <w:rPr>
          <w:rFonts w:ascii="Arial" w:cs="Arial" w:eastAsia="Arial" w:hAnsi="Arial"/>
          <w:sz w:val="18"/>
          <w:szCs w:val="18"/>
          <w:b w:val="1"/>
          <w:bCs w:val="1"/>
          <w:color w:val="auto"/>
        </w:rPr>
      </w:pPr>
    </w:p>
    <w:p>
      <w:pPr>
        <w:ind w:left="780" w:hanging="254"/>
        <w:spacing w:after="0"/>
        <w:tabs>
          <w:tab w:leader="none" w:pos="780" w:val="left"/>
        </w:tabs>
        <w:numPr>
          <w:ilvl w:val="1"/>
          <w:numId w:val="5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 means a written agreement between the Company and a Participant evidencing the terms and conditions of an Award.</w:t>
      </w:r>
    </w:p>
    <w:p>
      <w:pPr>
        <w:spacing w:after="0" w:line="128" w:lineRule="exact"/>
        <w:rPr>
          <w:rFonts w:ascii="Arial" w:cs="Arial" w:eastAsia="Arial" w:hAnsi="Arial"/>
          <w:sz w:val="17"/>
          <w:szCs w:val="17"/>
          <w:b w:val="1"/>
          <w:bCs w:val="1"/>
          <w:color w:val="auto"/>
        </w:rPr>
      </w:pPr>
    </w:p>
    <w:p>
      <w:pPr>
        <w:ind w:left="800" w:hanging="274"/>
        <w:spacing w:after="0"/>
        <w:tabs>
          <w:tab w:leader="none" w:pos="800" w:val="left"/>
        </w:tabs>
        <w:numPr>
          <w:ilvl w:val="1"/>
          <w:numId w:val="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17" w:lineRule="exact"/>
        <w:rPr>
          <w:rFonts w:ascii="Arial" w:cs="Arial" w:eastAsia="Arial" w:hAnsi="Arial"/>
          <w:sz w:val="18"/>
          <w:szCs w:val="18"/>
          <w:b w:val="1"/>
          <w:bCs w:val="1"/>
          <w:color w:val="auto"/>
        </w:rPr>
      </w:pPr>
    </w:p>
    <w:p>
      <w:pPr>
        <w:ind w:left="780" w:hanging="254"/>
        <w:spacing w:after="0"/>
        <w:tabs>
          <w:tab w:leader="none" w:pos="780" w:val="left"/>
        </w:tabs>
        <w:numPr>
          <w:ilvl w:val="1"/>
          <w:numId w:val="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Stock</w:t>
      </w:r>
      <w:r>
        <w:rPr>
          <w:rFonts w:ascii="Arial" w:cs="Arial" w:eastAsia="Arial" w:hAnsi="Arial"/>
          <w:sz w:val="18"/>
          <w:szCs w:val="18"/>
          <w:color w:val="auto"/>
        </w:rPr>
        <w:t>” means each and every class of common stock of the Company, regardless of the number of votes per share.</w:t>
      </w:r>
    </w:p>
    <w:p>
      <w:pPr>
        <w:spacing w:after="0" w:line="117" w:lineRule="exact"/>
        <w:rPr>
          <w:rFonts w:ascii="Arial" w:cs="Arial" w:eastAsia="Arial" w:hAnsi="Arial"/>
          <w:sz w:val="18"/>
          <w:szCs w:val="18"/>
          <w:b w:val="1"/>
          <w:bCs w:val="1"/>
          <w:color w:val="auto"/>
        </w:rPr>
      </w:pPr>
    </w:p>
    <w:p>
      <w:pPr>
        <w:ind w:firstLine="526"/>
        <w:spacing w:after="0" w:line="273" w:lineRule="auto"/>
        <w:tabs>
          <w:tab w:leader="none" w:pos="743" w:val="left"/>
        </w:tabs>
        <w:numPr>
          <w:ilvl w:val="1"/>
          <w:numId w:val="5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Capitalization Adjustment</w:t>
      </w:r>
      <w:r>
        <w:rPr>
          <w:rFonts w:ascii="Arial" w:cs="Arial" w:eastAsia="Arial" w:hAnsi="Arial"/>
          <w:sz w:val="17"/>
          <w:szCs w:val="17"/>
          <w:color w:val="auto"/>
        </w:rPr>
        <w:t>” means any change that is made in, or other events that occur with respect to, the Common Stock subject to the Plan or subject to any Stock Award after the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70" w:lineRule="exact"/>
        <w:rPr>
          <w:rFonts w:ascii="Arial" w:cs="Arial" w:eastAsia="Arial" w:hAnsi="Arial"/>
          <w:sz w:val="17"/>
          <w:szCs w:val="17"/>
          <w:b w:val="1"/>
          <w:bCs w:val="1"/>
          <w:color w:val="auto"/>
        </w:rPr>
      </w:pPr>
    </w:p>
    <w:p>
      <w:pPr>
        <w:ind w:right="60" w:firstLine="526"/>
        <w:spacing w:after="0" w:line="291" w:lineRule="auto"/>
        <w:tabs>
          <w:tab w:leader="none" w:pos="773" w:val="left"/>
        </w:tabs>
        <w:numPr>
          <w:ilvl w:val="1"/>
          <w:numId w:val="5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shall have the meaning ascribed to such term in any written agreement between the Participant and the Company defining such term and, in the absence of such agreement, such term means the termination of a Participant’s Continuous Service with the Company and its subsidiaries due to</w:t>
      </w:r>
    </w:p>
    <w:p>
      <w:pPr>
        <w:spacing w:after="0" w:line="281" w:lineRule="auto"/>
        <w:rPr>
          <w:rFonts w:ascii="Arial" w:cs="Arial" w:eastAsia="Arial" w:hAnsi="Arial"/>
          <w:sz w:val="16"/>
          <w:szCs w:val="16"/>
          <w:b w:val="1"/>
          <w:bCs w:val="1"/>
          <w:color w:val="auto"/>
        </w:rPr>
      </w:pPr>
      <w:r>
        <w:rPr>
          <w:rFonts w:ascii="Arial" w:cs="Arial" w:eastAsia="Arial" w:hAnsi="Arial"/>
          <w:sz w:val="16"/>
          <w:szCs w:val="16"/>
          <w:color w:val="auto"/>
        </w:rPr>
        <w:t>(i) such Participant’s commission of any felony or any crime involving fraud, dishonesty or moral turpitude under the laws of the United States or any state thereof; (ii) such Participant’s attempted commission of, or participation in, a fraud or act of dishonesty against the Company and/or its subsidiaries; (iii) such Participant’s material violation of (A) any contract or agreement between the Participant and the Company and/or a subsidiary of the Company or (B) any statutory duty owed to the Company and/or its subsidiaries; (iv) such Participant’s unauthorized use or disclosure of confidential information or trade secrets of the Company and/or its subsidiaries; or (v) such Participant’s gross negligence or willful misconduct in the performance of the Participant’s duties. The determination that a termination of the Participant’s Continuous Service is either for Cause or without Cause (within the meaning of the preceding clauses</w:t>
      </w:r>
    </w:p>
    <w:p>
      <w:pPr>
        <w:spacing w:after="0" w:line="4" w:lineRule="exact"/>
        <w:rPr>
          <w:rFonts w:ascii="Arial" w:cs="Arial" w:eastAsia="Arial" w:hAnsi="Arial"/>
          <w:sz w:val="16"/>
          <w:szCs w:val="16"/>
          <w:b w:val="1"/>
          <w:bCs w:val="1"/>
          <w:color w:val="auto"/>
        </w:rPr>
      </w:pPr>
    </w:p>
    <w:p>
      <w:pPr>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(i) through (v)) shall be made by the Company, in its sole discretion. Any determination by the Company that the Continuous Service of a Participant was terminated with or without Cause for the purposes of outstanding Awards held by such Participant shall have no effect upon any determination of the rights or obligations of the Company or such Participant for any other purpose.</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44" w:name="page45"/>
    <w:bookmarkEnd w:id="44"/>
    <w:p>
      <w:pPr>
        <w:ind w:left="800" w:hanging="274"/>
        <w:spacing w:after="0"/>
        <w:tabs>
          <w:tab w:leader="none" w:pos="800" w:val="left"/>
        </w:tabs>
        <w:numPr>
          <w:ilvl w:val="0"/>
          <w:numId w:val="5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means the occurrence, in a single transaction or in a series of related transactions, of any one or more of the following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events:</w:t>
      </w:r>
    </w:p>
    <w:p>
      <w:pPr>
        <w:spacing w:after="0" w:line="103" w:lineRule="exact"/>
        <w:rPr>
          <w:sz w:val="20"/>
          <w:szCs w:val="20"/>
          <w:color w:val="auto"/>
        </w:rPr>
      </w:pPr>
    </w:p>
    <w:p>
      <w:pPr>
        <w:ind w:right="140" w:firstLine="1042"/>
        <w:spacing w:after="0" w:line="288" w:lineRule="auto"/>
        <w:tabs>
          <w:tab w:leader="none" w:pos="1249" w:val="left"/>
        </w:tabs>
        <w:numPr>
          <w:ilvl w:val="1"/>
          <w:numId w:val="53"/>
        </w:numPr>
        <w:rPr>
          <w:rFonts w:ascii="Arial" w:cs="Arial" w:eastAsia="Arial" w:hAnsi="Arial"/>
          <w:sz w:val="16"/>
          <w:szCs w:val="16"/>
          <w:b w:val="1"/>
          <w:bCs w:val="1"/>
          <w:color w:val="auto"/>
        </w:rPr>
      </w:pPr>
      <w:r>
        <w:rPr>
          <w:rFonts w:ascii="Arial" w:cs="Arial" w:eastAsia="Arial" w:hAnsi="Arial"/>
          <w:sz w:val="16"/>
          <w:szCs w:val="16"/>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w:t>
      </w:r>
    </w:p>
    <w:p>
      <w:pPr>
        <w:ind w:firstLine="8"/>
        <w:spacing w:after="0" w:line="285" w:lineRule="auto"/>
        <w:tabs>
          <w:tab w:leader="none" w:pos="285" w:val="left"/>
        </w:tabs>
        <w:numPr>
          <w:ilvl w:val="0"/>
          <w:numId w:val="54"/>
        </w:numPr>
        <w:rPr>
          <w:rFonts w:ascii="Arial" w:cs="Arial" w:eastAsia="Arial" w:hAnsi="Arial"/>
          <w:sz w:val="16"/>
          <w:szCs w:val="16"/>
          <w:color w:val="auto"/>
        </w:rPr>
      </w:pPr>
      <w:r>
        <w:rPr>
          <w:rFonts w:ascii="Arial" w:cs="Arial" w:eastAsia="Arial" w:hAnsi="Arial"/>
          <w:sz w:val="16"/>
          <w:szCs w:val="16"/>
          <w:color w:val="auto"/>
        </w:rPr>
        <w:t>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(C) on account of the acquisition of securities of the Company by any individual who is, on the IPO Date, either an executive officer or a Director (either, an “</w:t>
      </w:r>
      <w:r>
        <w:rPr>
          <w:rFonts w:ascii="Arial" w:cs="Arial" w:eastAsia="Arial" w:hAnsi="Arial"/>
          <w:sz w:val="16"/>
          <w:szCs w:val="16"/>
          <w:b w:val="1"/>
          <w:bCs w:val="1"/>
          <w:i w:val="1"/>
          <w:iCs w:val="1"/>
          <w:color w:val="auto"/>
        </w:rPr>
        <w:t>IPO Investor</w:t>
      </w:r>
      <w:r>
        <w:rPr>
          <w:rFonts w:ascii="Arial" w:cs="Arial" w:eastAsia="Arial" w:hAnsi="Arial"/>
          <w:sz w:val="16"/>
          <w:szCs w:val="16"/>
          <w:color w:val="auto"/>
        </w:rPr>
        <w:t>”) and/or any entity in which an IPO Investor has a direct or indirect interest (whether in the form of voting rights or participation in profits or capital contributions) of more than 50% (collectively, the “</w:t>
      </w:r>
      <w:r>
        <w:rPr>
          <w:rFonts w:ascii="Arial" w:cs="Arial" w:eastAsia="Arial" w:hAnsi="Arial"/>
          <w:sz w:val="16"/>
          <w:szCs w:val="16"/>
          <w:b w:val="1"/>
          <w:bCs w:val="1"/>
          <w:i w:val="1"/>
          <w:iCs w:val="1"/>
          <w:color w:val="auto"/>
        </w:rPr>
        <w:t>IPO Entities</w:t>
      </w:r>
      <w:r>
        <w:rPr>
          <w:rFonts w:ascii="Arial" w:cs="Arial" w:eastAsia="Arial" w:hAnsi="Arial"/>
          <w:sz w:val="16"/>
          <w:szCs w:val="16"/>
          <w:color w:val="auto"/>
        </w:rPr>
        <w:t>”) or on account of the IPO Entities continuing to hold shares that come to represent more than 50% of the combined voting power of the Company’s then outstanding securities as a result of the conversion of any class of the Company’s securities into another class of the Company’s securities having a different number of votes per share pursuant to the conversion provisions set forth in the Company’s Amended and Restated Certificate of Incorporation; or (D) solely because the level of Ownership held by any Exchange Act Person (the “</w:t>
      </w:r>
      <w:r>
        <w:rPr>
          <w:rFonts w:ascii="Arial" w:cs="Arial" w:eastAsia="Arial" w:hAnsi="Arial"/>
          <w:sz w:val="16"/>
          <w:szCs w:val="16"/>
          <w:b w:val="1"/>
          <w:bCs w:val="1"/>
          <w:i w:val="1"/>
          <w:iCs w:val="1"/>
          <w:color w:val="auto"/>
        </w:rPr>
        <w:t>Subject Person</w:t>
      </w:r>
      <w:r>
        <w:rPr>
          <w:rFonts w:ascii="Arial" w:cs="Arial" w:eastAsia="Arial" w:hAnsi="Arial"/>
          <w:sz w:val="16"/>
          <w:szCs w:val="16"/>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62" w:lineRule="exact"/>
        <w:rPr>
          <w:rFonts w:ascii="Arial" w:cs="Arial" w:eastAsia="Arial" w:hAnsi="Arial"/>
          <w:sz w:val="16"/>
          <w:szCs w:val="16"/>
          <w:color w:val="auto"/>
        </w:rPr>
      </w:pPr>
    </w:p>
    <w:p>
      <w:pPr>
        <w:ind w:right="20" w:firstLine="1042"/>
        <w:spacing w:after="0" w:line="254" w:lineRule="auto"/>
        <w:tabs>
          <w:tab w:leader="none" w:pos="1299" w:val="left"/>
        </w:tabs>
        <w:numPr>
          <w:ilvl w:val="1"/>
          <w:numId w:val="54"/>
        </w:numPr>
        <w:rPr>
          <w:rFonts w:ascii="Arial" w:cs="Arial" w:eastAsia="Arial" w:hAnsi="Arial"/>
          <w:sz w:val="18"/>
          <w:szCs w:val="18"/>
          <w:b w:val="1"/>
          <w:bCs w:val="1"/>
          <w:color w:val="auto"/>
        </w:rPr>
      </w:pPr>
      <w:r>
        <w:rPr>
          <w:rFonts w:ascii="Arial" w:cs="Arial" w:eastAsia="Arial" w:hAnsi="Arial"/>
          <w:sz w:val="18"/>
          <w:szCs w:val="18"/>
          <w:color w:val="auto"/>
        </w:rPr>
        <w:t xml:space="preserve">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a merger, consolidation or similar transaction will not constitute a Change in Control under this prong of the definition if the outstanding voting securities representing more than 50% of the combined voting power of the surviving Entity or its parent are owned by the IPO Entities;</w:t>
      </w:r>
    </w:p>
    <w:p>
      <w:pPr>
        <w:spacing w:after="0" w:line="84" w:lineRule="exact"/>
        <w:rPr>
          <w:rFonts w:ascii="Arial" w:cs="Arial" w:eastAsia="Arial" w:hAnsi="Arial"/>
          <w:sz w:val="18"/>
          <w:szCs w:val="18"/>
          <w:b w:val="1"/>
          <w:bCs w:val="1"/>
          <w:color w:val="auto"/>
        </w:rPr>
      </w:pPr>
    </w:p>
    <w:p>
      <w:pPr>
        <w:ind w:right="80" w:firstLine="1042"/>
        <w:spacing w:after="0" w:line="272" w:lineRule="auto"/>
        <w:tabs>
          <w:tab w:leader="none" w:pos="1349" w:val="left"/>
        </w:tabs>
        <w:numPr>
          <w:ilvl w:val="1"/>
          <w:numId w:val="54"/>
        </w:numPr>
        <w:rPr>
          <w:rFonts w:ascii="Arial" w:cs="Arial" w:eastAsia="Arial" w:hAnsi="Arial"/>
          <w:sz w:val="17"/>
          <w:szCs w:val="17"/>
          <w:b w:val="1"/>
          <w:bCs w:val="1"/>
          <w:color w:val="auto"/>
        </w:rPr>
      </w:pPr>
      <w:r>
        <w:rPr>
          <w:rFonts w:ascii="Arial" w:cs="Arial" w:eastAsia="Arial" w:hAnsi="Arial"/>
          <w:sz w:val="17"/>
          <w:szCs w:val="17"/>
          <w:color w:val="auto"/>
        </w:rPr>
        <w:t xml:space="preserve">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a sale, lease, exclusive license or other disposition of all or substantially all of the consolidated assets of the Company and its Subsidiaries will not constitute a Change in Control under this prong of the definition if the outstanding voting securities representing more than 50% of the combined voting power of the acquiring Entity or its parent are owned by the IPO Entities;</w:t>
      </w:r>
    </w:p>
    <w:p>
      <w:pPr>
        <w:spacing w:after="0" w:line="191" w:lineRule="exact"/>
        <w:rPr>
          <w:rFonts w:ascii="Arial" w:cs="Arial" w:eastAsia="Arial" w:hAnsi="Arial"/>
          <w:sz w:val="17"/>
          <w:szCs w:val="17"/>
          <w:b w:val="1"/>
          <w:bCs w:val="1"/>
          <w:color w:val="auto"/>
        </w:rPr>
      </w:pPr>
    </w:p>
    <w:p>
      <w:pPr>
        <w:ind w:right="620" w:firstLine="1042"/>
        <w:spacing w:after="0" w:line="308" w:lineRule="auto"/>
        <w:tabs>
          <w:tab w:leader="none" w:pos="1339" w:val="left"/>
        </w:tabs>
        <w:numPr>
          <w:ilvl w:val="1"/>
          <w:numId w:val="54"/>
        </w:numPr>
        <w:rPr>
          <w:rFonts w:ascii="Arial" w:cs="Arial" w:eastAsia="Arial" w:hAnsi="Arial"/>
          <w:sz w:val="17"/>
          <w:szCs w:val="17"/>
          <w:b w:val="1"/>
          <w:bCs w:val="1"/>
          <w:color w:val="auto"/>
        </w:rPr>
      </w:pPr>
      <w:r>
        <w:rPr>
          <w:rFonts w:ascii="Arial" w:cs="Arial" w:eastAsia="Arial" w:hAnsi="Arial"/>
          <w:sz w:val="17"/>
          <w:szCs w:val="17"/>
          <w:color w:val="auto"/>
        </w:rPr>
        <w:t>the stockholders of the Company approve or the Board approves a plan of complete dissolution or liquidation of the Company, or a complete dissolution or liquidation of the Company will otherwise occur, except for a liquidation into a parent corporation; or</w:t>
      </w:r>
    </w:p>
    <w:p>
      <w:pPr>
        <w:spacing w:after="0" w:line="38" w:lineRule="exact"/>
        <w:rPr>
          <w:rFonts w:ascii="Arial" w:cs="Arial" w:eastAsia="Arial" w:hAnsi="Arial"/>
          <w:sz w:val="17"/>
          <w:szCs w:val="17"/>
          <w:b w:val="1"/>
          <w:bCs w:val="1"/>
          <w:color w:val="auto"/>
        </w:rPr>
      </w:pPr>
    </w:p>
    <w:p>
      <w:pPr>
        <w:ind w:right="120" w:firstLine="1042"/>
        <w:spacing w:after="0" w:line="259" w:lineRule="auto"/>
        <w:tabs>
          <w:tab w:leader="none" w:pos="1289" w:val="left"/>
        </w:tabs>
        <w:numPr>
          <w:ilvl w:val="1"/>
          <w:numId w:val="54"/>
        </w:numPr>
        <w:rPr>
          <w:rFonts w:ascii="Arial" w:cs="Arial" w:eastAsia="Arial" w:hAnsi="Arial"/>
          <w:sz w:val="18"/>
          <w:szCs w:val="18"/>
          <w:b w:val="1"/>
          <w:bCs w:val="1"/>
          <w:color w:val="auto"/>
        </w:rPr>
      </w:pPr>
      <w:r>
        <w:rPr>
          <w:rFonts w:ascii="Arial" w:cs="Arial" w:eastAsia="Arial" w:hAnsi="Arial"/>
          <w:sz w:val="18"/>
          <w:szCs w:val="18"/>
          <w:color w:val="auto"/>
        </w:rPr>
        <w:t>individuals who, on the date the Plan is adopted by the Board, are members of the Board (the “</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xml:space="preserve">”) cease for any reason to constitute at least a majority of the members of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79" w:lineRule="exact"/>
        <w:rPr>
          <w:sz w:val="20"/>
          <w:szCs w:val="20"/>
          <w:color w:val="auto"/>
        </w:rPr>
      </w:pPr>
    </w:p>
    <w:p>
      <w:pPr>
        <w:ind w:right="300" w:firstLine="518"/>
        <w:spacing w:after="0" w:line="257" w:lineRule="auto"/>
        <w:rPr>
          <w:sz w:val="20"/>
          <w:szCs w:val="20"/>
          <w:color w:val="auto"/>
        </w:rPr>
      </w:pPr>
      <w:r>
        <w:rPr>
          <w:rFonts w:ascii="Arial" w:cs="Arial" w:eastAsia="Arial" w:hAnsi="Arial"/>
          <w:sz w:val="18"/>
          <w:szCs w:val="18"/>
          <w:color w:val="auto"/>
        </w:rPr>
        <w:t xml:space="preserve">Notwithstanding the foregoing definition or any other provision of the Plan, the term Change in Control will not include a sale of assets, merger or other transaction effected exclusively for the purpose of changing the domicile of the Company and the definition of Change in Control (or any analogous term) in an individual written agreement between the Company or any Affiliate and the Participant will supersede the foregoing definition with respect to Awards subject to such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no definition of Change in Control or any analogous term is set forth in such an individual written agreement, the foregoing definition will apply.</w:t>
      </w:r>
    </w:p>
    <w:p>
      <w:pPr>
        <w:spacing w:after="0" w:line="80" w:lineRule="exact"/>
        <w:rPr>
          <w:sz w:val="20"/>
          <w:szCs w:val="20"/>
          <w:color w:val="auto"/>
        </w:rPr>
      </w:pPr>
    </w:p>
    <w:p>
      <w:pPr>
        <w:ind w:left="5620" w:right="1560" w:hanging="5094"/>
        <w:spacing w:after="0" w:line="528" w:lineRule="auto"/>
        <w:tabs>
          <w:tab w:leader="none" w:pos="737"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including any applicable regulations and guidance thereunder.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5" w:name="page46"/>
    <w:bookmarkEnd w:id="45"/>
    <w:p>
      <w:pPr>
        <w:ind w:left="740" w:hanging="234"/>
        <w:spacing w:after="0"/>
        <w:tabs>
          <w:tab w:leader="none" w:pos="740" w:val="left"/>
        </w:tabs>
        <w:numPr>
          <w:ilvl w:val="0"/>
          <w:numId w:val="5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a committee of one or more Directors to whom authority has been delegated by the Board in accordance with Section 2(c).</w:t>
      </w:r>
    </w:p>
    <w:p>
      <w:pPr>
        <w:spacing w:after="0" w:line="140" w:lineRule="exact"/>
        <w:rPr>
          <w:rFonts w:ascii="Arial" w:cs="Arial" w:eastAsia="Arial" w:hAnsi="Arial"/>
          <w:sz w:val="16"/>
          <w:szCs w:val="16"/>
          <w:b w:val="1"/>
          <w:bCs w:val="1"/>
          <w:color w:val="auto"/>
        </w:rPr>
      </w:pPr>
    </w:p>
    <w:p>
      <w:pPr>
        <w:ind w:left="780" w:hanging="274"/>
        <w:spacing w:after="0"/>
        <w:tabs>
          <w:tab w:leader="none" w:pos="78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as of the IPO Date, the common stock of the Company, having one vote per share.</w:t>
      </w:r>
    </w:p>
    <w:p>
      <w:pPr>
        <w:spacing w:after="0" w:line="117" w:lineRule="exact"/>
        <w:rPr>
          <w:rFonts w:ascii="Arial" w:cs="Arial" w:eastAsia="Arial" w:hAnsi="Arial"/>
          <w:sz w:val="18"/>
          <w:szCs w:val="18"/>
          <w:b w:val="1"/>
          <w:bCs w:val="1"/>
          <w:color w:val="auto"/>
        </w:rPr>
      </w:pPr>
    </w:p>
    <w:p>
      <w:pPr>
        <w:ind w:left="720" w:hanging="214"/>
        <w:spacing w:after="0"/>
        <w:tabs>
          <w:tab w:leader="none" w:pos="72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Neuronetics, Inc., a Delaware corporation.</w:t>
      </w:r>
    </w:p>
    <w:p>
      <w:pPr>
        <w:spacing w:after="0" w:line="117" w:lineRule="exact"/>
        <w:rPr>
          <w:rFonts w:ascii="Arial" w:cs="Arial" w:eastAsia="Arial" w:hAnsi="Arial"/>
          <w:sz w:val="18"/>
          <w:szCs w:val="18"/>
          <w:b w:val="1"/>
          <w:bCs w:val="1"/>
          <w:color w:val="auto"/>
        </w:rPr>
      </w:pPr>
    </w:p>
    <w:p>
      <w:pPr>
        <w:ind w:left="-20" w:firstLine="526"/>
        <w:spacing w:after="0" w:line="257" w:lineRule="auto"/>
        <w:tabs>
          <w:tab w:leader="none" w:pos="813"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80" w:lineRule="exact"/>
        <w:rPr>
          <w:rFonts w:ascii="Arial" w:cs="Arial" w:eastAsia="Arial" w:hAnsi="Arial"/>
          <w:sz w:val="18"/>
          <w:szCs w:val="18"/>
          <w:b w:val="1"/>
          <w:bCs w:val="1"/>
          <w:color w:val="auto"/>
        </w:rPr>
      </w:pPr>
    </w:p>
    <w:p>
      <w:pPr>
        <w:ind w:left="-20" w:firstLine="526"/>
        <w:spacing w:after="0" w:line="269" w:lineRule="auto"/>
        <w:tabs>
          <w:tab w:leader="none" w:pos="763" w:val="left"/>
        </w:tabs>
        <w:numPr>
          <w:ilvl w:val="0"/>
          <w:numId w:val="5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Continuous Service</w:t>
      </w:r>
      <w:r>
        <w:rPr>
          <w:rFonts w:ascii="Arial" w:cs="Arial" w:eastAsia="Arial" w:hAnsi="Arial"/>
          <w:sz w:val="17"/>
          <w:szCs w:val="17"/>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will not terminate a Participant’s Continuous Service;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w:t>
      </w:r>
    </w:p>
    <w:p>
      <w:pPr>
        <w:spacing w:after="0" w:line="74" w:lineRule="exact"/>
        <w:rPr>
          <w:rFonts w:ascii="Arial" w:cs="Arial" w:eastAsia="Arial" w:hAnsi="Arial"/>
          <w:sz w:val="17"/>
          <w:szCs w:val="17"/>
          <w:b w:val="1"/>
          <w:bCs w:val="1"/>
          <w:color w:val="auto"/>
        </w:rPr>
      </w:pPr>
    </w:p>
    <w:p>
      <w:pPr>
        <w:ind w:left="-20" w:right="720" w:firstLine="526"/>
        <w:spacing w:after="0" w:line="277" w:lineRule="auto"/>
        <w:tabs>
          <w:tab w:leader="none" w:pos="753"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in a single transaction or in a series of related transactions, of any one or more of the following events:</w:t>
      </w:r>
    </w:p>
    <w:p>
      <w:pPr>
        <w:spacing w:after="0" w:line="62" w:lineRule="exact"/>
        <w:rPr>
          <w:rFonts w:ascii="Arial" w:cs="Arial" w:eastAsia="Arial" w:hAnsi="Arial"/>
          <w:sz w:val="18"/>
          <w:szCs w:val="18"/>
          <w:b w:val="1"/>
          <w:bCs w:val="1"/>
          <w:color w:val="auto"/>
        </w:rPr>
      </w:pPr>
    </w:p>
    <w:p>
      <w:pPr>
        <w:ind w:left="-20" w:right="520" w:firstLine="1042"/>
        <w:spacing w:after="0" w:line="277" w:lineRule="auto"/>
        <w:tabs>
          <w:tab w:leader="none" w:pos="1229" w:val="left"/>
        </w:tabs>
        <w:numPr>
          <w:ilvl w:val="1"/>
          <w:numId w:val="56"/>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62" w:lineRule="exact"/>
        <w:rPr>
          <w:rFonts w:ascii="Arial" w:cs="Arial" w:eastAsia="Arial" w:hAnsi="Arial"/>
          <w:sz w:val="18"/>
          <w:szCs w:val="18"/>
          <w:b w:val="1"/>
          <w:bCs w:val="1"/>
          <w:color w:val="auto"/>
        </w:rPr>
      </w:pPr>
    </w:p>
    <w:p>
      <w:pPr>
        <w:ind w:left="1280" w:hanging="258"/>
        <w:spacing w:after="0"/>
        <w:tabs>
          <w:tab w:leader="none" w:pos="1280" w:val="left"/>
        </w:tabs>
        <w:numPr>
          <w:ilvl w:val="1"/>
          <w:numId w:val="56"/>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more than 50% of the outstanding securities of the Company;</w:t>
      </w:r>
    </w:p>
    <w:p>
      <w:pPr>
        <w:spacing w:after="0" w:line="117" w:lineRule="exact"/>
        <w:rPr>
          <w:rFonts w:ascii="Arial" w:cs="Arial" w:eastAsia="Arial" w:hAnsi="Arial"/>
          <w:sz w:val="18"/>
          <w:szCs w:val="18"/>
          <w:b w:val="1"/>
          <w:bCs w:val="1"/>
          <w:color w:val="auto"/>
        </w:rPr>
      </w:pPr>
    </w:p>
    <w:p>
      <w:pPr>
        <w:ind w:left="1340" w:hanging="318"/>
        <w:spacing w:after="0"/>
        <w:tabs>
          <w:tab w:leader="none" w:pos="1340" w:val="left"/>
        </w:tabs>
        <w:numPr>
          <w:ilvl w:val="1"/>
          <w:numId w:val="56"/>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117" w:lineRule="exact"/>
        <w:rPr>
          <w:rFonts w:ascii="Arial" w:cs="Arial" w:eastAsia="Arial" w:hAnsi="Arial"/>
          <w:sz w:val="18"/>
          <w:szCs w:val="18"/>
          <w:b w:val="1"/>
          <w:bCs w:val="1"/>
          <w:color w:val="auto"/>
        </w:rPr>
      </w:pPr>
    </w:p>
    <w:p>
      <w:pPr>
        <w:ind w:left="-20" w:right="120" w:firstLine="1042"/>
        <w:spacing w:after="0" w:line="264" w:lineRule="auto"/>
        <w:tabs>
          <w:tab w:leader="none" w:pos="1319" w:val="left"/>
        </w:tabs>
        <w:numPr>
          <w:ilvl w:val="1"/>
          <w:numId w:val="56"/>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73" w:lineRule="exact"/>
        <w:rPr>
          <w:rFonts w:ascii="Arial" w:cs="Arial" w:eastAsia="Arial" w:hAnsi="Arial"/>
          <w:sz w:val="18"/>
          <w:szCs w:val="18"/>
          <w:b w:val="1"/>
          <w:bCs w:val="1"/>
          <w:color w:val="auto"/>
        </w:rPr>
      </w:pPr>
    </w:p>
    <w:p>
      <w:pPr>
        <w:ind w:left="780" w:hanging="274"/>
        <w:spacing w:after="0"/>
        <w:tabs>
          <w:tab w:leader="none" w:pos="78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117" w:lineRule="exact"/>
        <w:rPr>
          <w:rFonts w:ascii="Arial" w:cs="Arial" w:eastAsia="Arial" w:hAnsi="Arial"/>
          <w:sz w:val="18"/>
          <w:szCs w:val="18"/>
          <w:b w:val="1"/>
          <w:bCs w:val="1"/>
          <w:color w:val="auto"/>
        </w:rPr>
      </w:pPr>
    </w:p>
    <w:p>
      <w:pPr>
        <w:jc w:val="both"/>
        <w:ind w:left="-20" w:firstLine="526"/>
        <w:spacing w:after="0" w:line="259" w:lineRule="auto"/>
        <w:tabs>
          <w:tab w:leader="none" w:pos="763"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spacing w:after="0" w:line="78" w:lineRule="exact"/>
        <w:rPr>
          <w:rFonts w:ascii="Arial" w:cs="Arial" w:eastAsia="Arial" w:hAnsi="Arial"/>
          <w:sz w:val="18"/>
          <w:szCs w:val="18"/>
          <w:b w:val="1"/>
          <w:bCs w:val="1"/>
          <w:color w:val="auto"/>
        </w:rPr>
      </w:pPr>
    </w:p>
    <w:p>
      <w:pPr>
        <w:ind w:left="-20" w:firstLine="526"/>
        <w:spacing w:after="0" w:line="264" w:lineRule="auto"/>
        <w:tabs>
          <w:tab w:leader="none" w:pos="743"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Dissolution</w:t>
      </w:r>
      <w:r>
        <w:rPr>
          <w:rFonts w:ascii="Arial" w:cs="Arial" w:eastAsia="Arial" w:hAnsi="Arial"/>
          <w:sz w:val="18"/>
          <w:szCs w:val="18"/>
          <w:color w:val="auto"/>
        </w:rPr>
        <w:t>” means when the Company, after having executed a certificate of dissolution with the State of Delaware (or other applicable state), has completely wound up its affairs. Conversion of the Company into a Limited Liability Company (or any other pass-through entity) will not be considered a “Dissolution” for purposes of the Plan.</w:t>
      </w:r>
    </w:p>
    <w:p>
      <w:pPr>
        <w:spacing w:after="0" w:line="73" w:lineRule="exact"/>
        <w:rPr>
          <w:rFonts w:ascii="Arial" w:cs="Arial" w:eastAsia="Arial" w:hAnsi="Arial"/>
          <w:sz w:val="18"/>
          <w:szCs w:val="18"/>
          <w:b w:val="1"/>
          <w:bCs w:val="1"/>
          <w:color w:val="auto"/>
        </w:rPr>
      </w:pPr>
    </w:p>
    <w:p>
      <w:pPr>
        <w:ind w:left="-20" w:right="480" w:firstLine="526"/>
        <w:spacing w:after="0" w:line="277" w:lineRule="auto"/>
        <w:tabs>
          <w:tab w:leader="none" w:pos="733"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83" w:lineRule="exact"/>
        <w:rPr>
          <w:rFonts w:ascii="Arial" w:cs="Arial" w:eastAsia="Arial" w:hAnsi="Arial"/>
          <w:sz w:val="18"/>
          <w:szCs w:val="18"/>
          <w:b w:val="1"/>
          <w:bCs w:val="1"/>
          <w:color w:val="auto"/>
        </w:rPr>
      </w:pPr>
    </w:p>
    <w:p>
      <w:pPr>
        <w:ind w:left="740" w:hanging="234"/>
        <w:spacing w:after="0"/>
        <w:tabs>
          <w:tab w:leader="none" w:pos="74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117" w:lineRule="exact"/>
        <w:rPr>
          <w:rFonts w:ascii="Arial" w:cs="Arial" w:eastAsia="Arial" w:hAnsi="Arial"/>
          <w:sz w:val="18"/>
          <w:szCs w:val="18"/>
          <w:b w:val="1"/>
          <w:bCs w:val="1"/>
          <w:color w:val="auto"/>
        </w:rPr>
      </w:pPr>
    </w:p>
    <w:p>
      <w:pPr>
        <w:ind w:left="780" w:hanging="274"/>
        <w:spacing w:after="0"/>
        <w:tabs>
          <w:tab w:leader="none" w:pos="78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449" w:right="259" w:bottom="1440" w:gutter="0" w:footer="0" w:header="0"/>
        </w:sectPr>
      </w:pPr>
    </w:p>
    <w:bookmarkStart w:id="46" w:name="page47"/>
    <w:bookmarkEnd w:id="46"/>
    <w:p>
      <w:pPr>
        <w:ind w:right="140" w:firstLine="526"/>
        <w:spacing w:after="0" w:line="291" w:lineRule="auto"/>
        <w:tabs>
          <w:tab w:leader="none" w:pos="773" w:val="left"/>
        </w:tabs>
        <w:numPr>
          <w:ilvl w:val="0"/>
          <w:numId w:val="5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 Person</w:t>
      </w:r>
      <w:r>
        <w:rPr>
          <w:rFonts w:ascii="Arial" w:cs="Arial" w:eastAsia="Arial" w:hAnsi="Arial"/>
          <w:sz w:val="16"/>
          <w:szCs w:val="16"/>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IPO Date, is the Owner, directly or indirectly, of securities of the Company representing more than 50% of the combined voting power of the Company’s then outstanding securities.</w:t>
      </w:r>
    </w:p>
    <w:p>
      <w:pPr>
        <w:spacing w:after="0" w:line="59" w:lineRule="exact"/>
        <w:rPr>
          <w:rFonts w:ascii="Arial" w:cs="Arial" w:eastAsia="Arial" w:hAnsi="Arial"/>
          <w:sz w:val="16"/>
          <w:szCs w:val="16"/>
          <w:b w:val="1"/>
          <w:bCs w:val="1"/>
          <w:color w:val="auto"/>
        </w:rPr>
      </w:pPr>
    </w:p>
    <w:p>
      <w:pPr>
        <w:ind w:left="820" w:hanging="294"/>
        <w:spacing w:after="0"/>
        <w:tabs>
          <w:tab w:leader="none" w:pos="82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Common Stock determined as follows:</w:t>
      </w:r>
    </w:p>
    <w:p>
      <w:pPr>
        <w:spacing w:after="0" w:line="117" w:lineRule="exact"/>
        <w:rPr>
          <w:rFonts w:ascii="Arial" w:cs="Arial" w:eastAsia="Arial" w:hAnsi="Arial"/>
          <w:sz w:val="18"/>
          <w:szCs w:val="18"/>
          <w:b w:val="1"/>
          <w:bCs w:val="1"/>
          <w:color w:val="auto"/>
        </w:rPr>
      </w:pPr>
    </w:p>
    <w:p>
      <w:pPr>
        <w:ind w:right="60" w:firstLine="1042"/>
        <w:spacing w:after="0" w:line="312" w:lineRule="auto"/>
        <w:tabs>
          <w:tab w:leader="none" w:pos="1249" w:val="left"/>
        </w:tabs>
        <w:numPr>
          <w:ilvl w:val="1"/>
          <w:numId w:val="57"/>
        </w:numPr>
        <w:rPr>
          <w:rFonts w:ascii="Arial" w:cs="Arial" w:eastAsia="Arial" w:hAnsi="Arial"/>
          <w:sz w:val="16"/>
          <w:szCs w:val="16"/>
          <w:b w:val="1"/>
          <w:bCs w:val="1"/>
          <w:color w:val="auto"/>
        </w:rPr>
      </w:pPr>
      <w:r>
        <w:rPr>
          <w:rFonts w:ascii="Arial" w:cs="Arial" w:eastAsia="Arial" w:hAnsi="Arial"/>
          <w:sz w:val="16"/>
          <w:szCs w:val="16"/>
          <w:color w:val="auto"/>
        </w:rPr>
        <w:t>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spacing w:after="0" w:line="38" w:lineRule="exact"/>
        <w:rPr>
          <w:rFonts w:ascii="Arial" w:cs="Arial" w:eastAsia="Arial" w:hAnsi="Arial"/>
          <w:sz w:val="16"/>
          <w:szCs w:val="16"/>
          <w:b w:val="1"/>
          <w:bCs w:val="1"/>
          <w:color w:val="auto"/>
        </w:rPr>
      </w:pPr>
    </w:p>
    <w:p>
      <w:pPr>
        <w:ind w:right="80" w:firstLine="1042"/>
        <w:spacing w:after="0" w:line="277" w:lineRule="auto"/>
        <w:tabs>
          <w:tab w:leader="none" w:pos="1299" w:val="left"/>
        </w:tabs>
        <w:numPr>
          <w:ilvl w:val="1"/>
          <w:numId w:val="57"/>
        </w:numPr>
        <w:rPr>
          <w:rFonts w:ascii="Arial" w:cs="Arial" w:eastAsia="Arial" w:hAnsi="Arial"/>
          <w:sz w:val="18"/>
          <w:szCs w:val="18"/>
          <w:b w:val="1"/>
          <w:bCs w:val="1"/>
          <w:color w:val="auto"/>
        </w:rPr>
      </w:pPr>
      <w:r>
        <w:rPr>
          <w:rFonts w:ascii="Arial" w:cs="Arial" w:eastAsia="Arial" w:hAnsi="Arial"/>
          <w:sz w:val="18"/>
          <w:szCs w:val="18"/>
          <w:color w:val="auto"/>
        </w:rPr>
        <w:t>Unless otherwise provided by the Board, if there is no closing sales price for the Common Stock on the date of determination, then the Fair Market Value will be the closing selling price on the last preceding date for which such quotation exists.</w:t>
      </w:r>
    </w:p>
    <w:p>
      <w:pPr>
        <w:spacing w:after="0" w:line="62" w:lineRule="exact"/>
        <w:rPr>
          <w:rFonts w:ascii="Arial" w:cs="Arial" w:eastAsia="Arial" w:hAnsi="Arial"/>
          <w:sz w:val="18"/>
          <w:szCs w:val="18"/>
          <w:b w:val="1"/>
          <w:bCs w:val="1"/>
          <w:color w:val="auto"/>
        </w:rPr>
      </w:pPr>
    </w:p>
    <w:p>
      <w:pPr>
        <w:ind w:right="520" w:firstLine="1042"/>
        <w:spacing w:after="0" w:line="277" w:lineRule="auto"/>
        <w:tabs>
          <w:tab w:leader="none" w:pos="1349" w:val="left"/>
        </w:tabs>
        <w:numPr>
          <w:ilvl w:val="1"/>
          <w:numId w:val="57"/>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Common Stock, the Fair Market Value will be determined by the Board in good faith and in a manner that complies with Sections 409A and 422 of the Code.</w:t>
      </w:r>
    </w:p>
    <w:p>
      <w:pPr>
        <w:spacing w:after="0" w:line="62" w:lineRule="exact"/>
        <w:rPr>
          <w:rFonts w:ascii="Arial" w:cs="Arial" w:eastAsia="Arial" w:hAnsi="Arial"/>
          <w:sz w:val="18"/>
          <w:szCs w:val="18"/>
          <w:b w:val="1"/>
          <w:bCs w:val="1"/>
          <w:color w:val="auto"/>
        </w:rPr>
      </w:pPr>
    </w:p>
    <w:p>
      <w:pPr>
        <w:ind w:right="340" w:firstLine="526"/>
        <w:spacing w:after="0" w:line="277" w:lineRule="auto"/>
        <w:tabs>
          <w:tab w:leader="none" w:pos="773"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granted pursuant to Section 5 of the Plan that is intended to be, and qualifies as, an “incentive stock option” within the meaning of Section 422 of the Code.</w:t>
      </w:r>
    </w:p>
    <w:p>
      <w:pPr>
        <w:spacing w:after="0" w:line="62" w:lineRule="exact"/>
        <w:rPr>
          <w:rFonts w:ascii="Arial" w:cs="Arial" w:eastAsia="Arial" w:hAnsi="Arial"/>
          <w:sz w:val="18"/>
          <w:szCs w:val="18"/>
          <w:b w:val="1"/>
          <w:bCs w:val="1"/>
          <w:color w:val="auto"/>
        </w:rPr>
      </w:pPr>
    </w:p>
    <w:p>
      <w:pPr>
        <w:ind w:right="60" w:firstLine="526"/>
        <w:spacing w:after="0" w:line="277" w:lineRule="auto"/>
        <w:tabs>
          <w:tab w:leader="none" w:pos="773"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 Date</w:t>
      </w:r>
      <w:r>
        <w:rPr>
          <w:rFonts w:ascii="Arial" w:cs="Arial" w:eastAsia="Arial" w:hAnsi="Arial"/>
          <w:sz w:val="18"/>
          <w:szCs w:val="18"/>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62" w:lineRule="exact"/>
        <w:rPr>
          <w:rFonts w:ascii="Arial" w:cs="Arial" w:eastAsia="Arial" w:hAnsi="Arial"/>
          <w:sz w:val="18"/>
          <w:szCs w:val="18"/>
          <w:b w:val="1"/>
          <w:bCs w:val="1"/>
          <w:color w:val="auto"/>
        </w:rPr>
      </w:pPr>
    </w:p>
    <w:p>
      <w:pPr>
        <w:ind w:firstLine="526"/>
        <w:spacing w:after="0" w:line="255" w:lineRule="auto"/>
        <w:tabs>
          <w:tab w:leader="none" w:pos="763"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Non-Employee Director</w:t>
      </w:r>
      <w:r>
        <w:rPr>
          <w:rFonts w:ascii="Arial" w:cs="Arial" w:eastAsia="Arial" w:hAnsi="Arial"/>
          <w:sz w:val="18"/>
          <w:szCs w:val="18"/>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8"/>
          <w:szCs w:val="18"/>
          <w:b w:val="1"/>
          <w:bCs w:val="1"/>
          <w:i w:val="1"/>
          <w:iCs w:val="1"/>
          <w:color w:val="auto"/>
        </w:rPr>
        <w:t>Regulation S-K</w:t>
      </w:r>
      <w:r>
        <w:rPr>
          <w:rFonts w:ascii="Arial" w:cs="Arial" w:eastAsia="Arial" w:hAnsi="Arial"/>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85" w:lineRule="exact"/>
        <w:rPr>
          <w:sz w:val="20"/>
          <w:szCs w:val="20"/>
          <w:color w:val="auto"/>
        </w:rPr>
      </w:pPr>
    </w:p>
    <w:p>
      <w:pPr>
        <w:ind w:left="880" w:hanging="354"/>
        <w:spacing w:after="0"/>
        <w:tabs>
          <w:tab w:leader="none" w:pos="880" w:val="left"/>
        </w:tabs>
        <w:numPr>
          <w:ilvl w:val="0"/>
          <w:numId w:val="5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Nonstatutory Stock Option</w:t>
      </w:r>
      <w:r>
        <w:rPr>
          <w:rFonts w:ascii="Arial" w:cs="Arial" w:eastAsia="Arial" w:hAnsi="Arial"/>
          <w:sz w:val="16"/>
          <w:szCs w:val="16"/>
          <w:color w:val="auto"/>
        </w:rPr>
        <w:t>” means any Option granted pursuant to Section 5 of the Plan that does not qualify as an Incentive Stock Option.</w:t>
      </w:r>
    </w:p>
    <w:p>
      <w:pPr>
        <w:spacing w:after="0" w:line="140" w:lineRule="exact"/>
        <w:rPr>
          <w:rFonts w:ascii="Arial" w:cs="Arial" w:eastAsia="Arial" w:hAnsi="Arial"/>
          <w:sz w:val="16"/>
          <w:szCs w:val="16"/>
          <w:b w:val="1"/>
          <w:bCs w:val="1"/>
          <w:color w:val="auto"/>
        </w:rPr>
      </w:pPr>
    </w:p>
    <w:p>
      <w:pPr>
        <w:ind w:left="900" w:hanging="374"/>
        <w:spacing w:after="0"/>
        <w:tabs>
          <w:tab w:leader="none" w:pos="90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 person who is an officer of the Company within the meaning of Section 16 of the Exchange Act.</w:t>
      </w:r>
    </w:p>
    <w:p>
      <w:pPr>
        <w:spacing w:after="0" w:line="117" w:lineRule="exact"/>
        <w:rPr>
          <w:rFonts w:ascii="Arial" w:cs="Arial" w:eastAsia="Arial" w:hAnsi="Arial"/>
          <w:sz w:val="18"/>
          <w:szCs w:val="18"/>
          <w:b w:val="1"/>
          <w:bCs w:val="1"/>
          <w:color w:val="auto"/>
        </w:rPr>
      </w:pPr>
    </w:p>
    <w:p>
      <w:pPr>
        <w:ind w:left="860" w:hanging="334"/>
        <w:spacing w:after="0"/>
        <w:tabs>
          <w:tab w:leader="none" w:pos="860" w:val="left"/>
        </w:tabs>
        <w:numPr>
          <w:ilvl w:val="0"/>
          <w:numId w:val="5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Incentive Stock Option or a Nonstatutory Stock Option to purchase shares of Common Stock granted pursuant to the Plan.</w:t>
      </w:r>
    </w:p>
    <w:p>
      <w:pPr>
        <w:spacing w:after="0" w:line="140" w:lineRule="exact"/>
        <w:rPr>
          <w:rFonts w:ascii="Arial" w:cs="Arial" w:eastAsia="Arial" w:hAnsi="Arial"/>
          <w:sz w:val="16"/>
          <w:szCs w:val="16"/>
          <w:b w:val="1"/>
          <w:bCs w:val="1"/>
          <w:color w:val="auto"/>
        </w:rPr>
      </w:pPr>
    </w:p>
    <w:p>
      <w:pPr>
        <w:ind w:right="220" w:firstLine="526"/>
        <w:spacing w:after="0" w:line="277" w:lineRule="auto"/>
        <w:tabs>
          <w:tab w:leader="none" w:pos="883"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means a written agreement between the Company and an Optionholder evidencing the terms and conditions of an Option grant. Each Option Agreement will be subject to the terms and conditions of the Plan.</w:t>
      </w:r>
    </w:p>
    <w:p>
      <w:pPr>
        <w:spacing w:after="0" w:line="62" w:lineRule="exact"/>
        <w:rPr>
          <w:rFonts w:ascii="Arial" w:cs="Arial" w:eastAsia="Arial" w:hAnsi="Arial"/>
          <w:sz w:val="18"/>
          <w:szCs w:val="18"/>
          <w:b w:val="1"/>
          <w:bCs w:val="1"/>
          <w:color w:val="auto"/>
        </w:rPr>
      </w:pPr>
    </w:p>
    <w:p>
      <w:pPr>
        <w:ind w:left="860" w:hanging="334"/>
        <w:spacing w:after="0"/>
        <w:tabs>
          <w:tab w:leader="none" w:pos="860" w:val="left"/>
        </w:tabs>
        <w:numPr>
          <w:ilvl w:val="0"/>
          <w:numId w:val="5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Optionholder</w:t>
      </w:r>
      <w:r>
        <w:rPr>
          <w:rFonts w:ascii="Arial" w:cs="Arial" w:eastAsia="Arial" w:hAnsi="Arial"/>
          <w:sz w:val="16"/>
          <w:szCs w:val="16"/>
          <w:color w:val="auto"/>
        </w:rPr>
        <w:t>” means a person to whom an Option is granted pursuant to the Plan or, if applicable, such other person who holds an outstanding</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Option.</w:t>
      </w:r>
    </w:p>
    <w:p>
      <w:pPr>
        <w:spacing w:after="0" w:line="102" w:lineRule="exact"/>
        <w:rPr>
          <w:rFonts w:ascii="Arial" w:cs="Arial" w:eastAsia="Arial" w:hAnsi="Arial"/>
          <w:sz w:val="16"/>
          <w:szCs w:val="16"/>
          <w:b w:val="1"/>
          <w:bCs w:val="1"/>
          <w:color w:val="auto"/>
        </w:rPr>
      </w:pPr>
    </w:p>
    <w:p>
      <w:pPr>
        <w:ind w:right="340" w:firstLine="526"/>
        <w:spacing w:after="0" w:line="277" w:lineRule="auto"/>
        <w:tabs>
          <w:tab w:leader="none" w:pos="803"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 Award</w:t>
      </w:r>
      <w:r>
        <w:rPr>
          <w:rFonts w:ascii="Arial" w:cs="Arial" w:eastAsia="Arial" w:hAnsi="Arial"/>
          <w:sz w:val="18"/>
          <w:szCs w:val="18"/>
          <w:color w:val="auto"/>
        </w:rPr>
        <w:t>” means an award based in whole or in part by reference to the Common Stock which is granted pursuant to the terms and conditions of Section 6(d).</w:t>
      </w:r>
    </w:p>
    <w:p>
      <w:pPr>
        <w:spacing w:after="0" w:line="62" w:lineRule="exact"/>
        <w:rPr>
          <w:rFonts w:ascii="Arial" w:cs="Arial" w:eastAsia="Arial" w:hAnsi="Arial"/>
          <w:sz w:val="18"/>
          <w:szCs w:val="18"/>
          <w:b w:val="1"/>
          <w:bCs w:val="1"/>
          <w:color w:val="auto"/>
        </w:rPr>
      </w:pPr>
    </w:p>
    <w:p>
      <w:pPr>
        <w:ind w:right="160" w:firstLine="526"/>
        <w:spacing w:after="0" w:line="308" w:lineRule="auto"/>
        <w:tabs>
          <w:tab w:leader="none" w:pos="863" w:val="left"/>
        </w:tabs>
        <w:numPr>
          <w:ilvl w:val="0"/>
          <w:numId w:val="5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Other Stock Award Agreement</w:t>
      </w:r>
      <w:r>
        <w:rPr>
          <w:rFonts w:ascii="Arial" w:cs="Arial" w:eastAsia="Arial" w:hAnsi="Arial"/>
          <w:sz w:val="17"/>
          <w:szCs w:val="17"/>
          <w:color w:val="auto"/>
        </w:rPr>
        <w:t>” means a written agreement between the Company and a holder of an Other Stock Award evidencing the terms and conditions of an Other Stock Award grant. Each Other Stock Award Agreement will be subject to the terms and conditions of the Plan.</w:t>
      </w:r>
    </w:p>
    <w:p>
      <w:pPr>
        <w:spacing w:after="0" w:line="38" w:lineRule="exact"/>
        <w:rPr>
          <w:rFonts w:ascii="Arial" w:cs="Arial" w:eastAsia="Arial" w:hAnsi="Arial"/>
          <w:sz w:val="17"/>
          <w:szCs w:val="17"/>
          <w:b w:val="1"/>
          <w:bCs w:val="1"/>
          <w:color w:val="auto"/>
        </w:rPr>
      </w:pPr>
    </w:p>
    <w:p>
      <w:pPr>
        <w:jc w:val="both"/>
        <w:ind w:right="340" w:firstLine="526"/>
        <w:spacing w:after="0" w:line="286" w:lineRule="auto"/>
        <w:tabs>
          <w:tab w:leader="none" w:pos="883" w:val="left"/>
        </w:tabs>
        <w:numPr>
          <w:ilvl w:val="0"/>
          <w:numId w:val="5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Own,</w:t>
      </w:r>
      <w:r>
        <w:rPr>
          <w:rFonts w:ascii="Arial" w:cs="Arial" w:eastAsia="Arial" w:hAnsi="Arial"/>
          <w:sz w:val="17"/>
          <w:szCs w:val="17"/>
          <w:color w:val="auto"/>
        </w:rPr>
        <w:t>” “</w:t>
      </w:r>
      <w:r>
        <w:rPr>
          <w:rFonts w:ascii="Arial" w:cs="Arial" w:eastAsia="Arial" w:hAnsi="Arial"/>
          <w:sz w:val="17"/>
          <w:szCs w:val="17"/>
          <w:b w:val="1"/>
          <w:bCs w:val="1"/>
          <w:i w:val="1"/>
          <w:iCs w:val="1"/>
          <w:color w:val="auto"/>
        </w:rPr>
        <w:t>Owned,</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Ownership</w:t>
      </w:r>
      <w:r>
        <w:rPr>
          <w:rFonts w:ascii="Arial" w:cs="Arial" w:eastAsia="Arial" w:hAnsi="Arial"/>
          <w:sz w:val="17"/>
          <w:szCs w:val="17"/>
          <w:color w:val="auto"/>
        </w:rPr>
        <w:t>” means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57" w:lineRule="exact"/>
        <w:rPr>
          <w:rFonts w:ascii="Arial" w:cs="Arial" w:eastAsia="Arial" w:hAnsi="Arial"/>
          <w:sz w:val="17"/>
          <w:szCs w:val="17"/>
          <w:b w:val="1"/>
          <w:bCs w:val="1"/>
          <w:color w:val="auto"/>
        </w:rPr>
      </w:pPr>
    </w:p>
    <w:p>
      <w:pPr>
        <w:ind w:right="400" w:firstLine="526"/>
        <w:spacing w:after="0" w:line="277" w:lineRule="auto"/>
        <w:tabs>
          <w:tab w:leader="none" w:pos="783"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to whom an Award is granted pursuant to the Plan or, if applicable, such other person who holds an outstanding Stock Award.</w:t>
      </w:r>
    </w:p>
    <w:p>
      <w:pPr>
        <w:spacing w:after="0" w:line="62" w:lineRule="exact"/>
        <w:rPr>
          <w:rFonts w:ascii="Arial" w:cs="Arial" w:eastAsia="Arial" w:hAnsi="Arial"/>
          <w:sz w:val="18"/>
          <w:szCs w:val="18"/>
          <w:b w:val="1"/>
          <w:bCs w:val="1"/>
          <w:color w:val="auto"/>
        </w:rPr>
      </w:pPr>
    </w:p>
    <w:p>
      <w:pPr>
        <w:ind w:left="820" w:hanging="294"/>
        <w:spacing w:after="0"/>
        <w:tabs>
          <w:tab w:leader="none" w:pos="82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Cash Award</w:t>
      </w:r>
      <w:r>
        <w:rPr>
          <w:rFonts w:ascii="Arial" w:cs="Arial" w:eastAsia="Arial" w:hAnsi="Arial"/>
          <w:sz w:val="18"/>
          <w:szCs w:val="18"/>
          <w:color w:val="auto"/>
        </w:rPr>
        <w:t>” means an award of cash granted pursuant to the terms and conditions of Section 6(c)(ii).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7" w:name="page48"/>
    <w:bookmarkEnd w:id="47"/>
    <w:p>
      <w:pPr>
        <w:ind w:firstLine="526"/>
        <w:spacing w:after="0" w:line="284" w:lineRule="auto"/>
        <w:tabs>
          <w:tab w:leader="none" w:pos="883" w:val="left"/>
        </w:tabs>
        <w:numPr>
          <w:ilvl w:val="1"/>
          <w:numId w:val="5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means the one or more criteria that the Board or Committee (as applicable) will select for purposes of establishing the Performance Goals for a Performance Period. The Performance Criteria that will be used to establish such Performance Goals may be based on any one of, or combination of, the following as determined by the Board or Committee: (i) earnings (including earnings per share and net earnings); (ii) earnings before interest, taxes and depreciation; (iii) earnings before interest, taxes, depreciation and amortization; (iv) total stockholder return; (v) return on equity or average stockholder’s equity; (vi) return on assets, investment, or capital employed; (vii) stock price; (viii) margin (including gross margin); (ix) income (before or after taxes); (x) operating income; (xi) operating income after taxes; (xii) pre-tax profit; (xiii) operating cash flow; (xiv) sales or revenue targets;</w:t>
      </w:r>
    </w:p>
    <w:p>
      <w:pPr>
        <w:spacing w:after="0" w:line="4" w:lineRule="exact"/>
        <w:rPr>
          <w:rFonts w:ascii="Arial" w:cs="Arial" w:eastAsia="Arial" w:hAnsi="Arial"/>
          <w:sz w:val="16"/>
          <w:szCs w:val="16"/>
          <w:b w:val="1"/>
          <w:bCs w:val="1"/>
          <w:color w:val="auto"/>
        </w:rPr>
      </w:pPr>
    </w:p>
    <w:p>
      <w:pPr>
        <w:ind w:left="360" w:hanging="352"/>
        <w:spacing w:after="0"/>
        <w:tabs>
          <w:tab w:leader="none" w:pos="3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increases in revenue or product revenue; (xvi) expenses and cost reduction goals; (xvii) improvement in or attainment of working capital levels;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(xviii) economic value added (or an equivalent metric); (xix) market share; (xx) cash flow; (xxi) cash flow per share; (xxii) share price performance;</w:t>
      </w:r>
    </w:p>
    <w:p>
      <w:pPr>
        <w:spacing w:after="0" w:line="21" w:lineRule="exact"/>
        <w:rPr>
          <w:sz w:val="20"/>
          <w:szCs w:val="20"/>
          <w:color w:val="auto"/>
        </w:rPr>
      </w:pPr>
    </w:p>
    <w:p>
      <w:pPr>
        <w:ind w:right="80" w:firstLine="8"/>
        <w:spacing w:after="0" w:line="265" w:lineRule="auto"/>
        <w:tabs>
          <w:tab w:leader="none" w:pos="495" w:val="left"/>
        </w:tabs>
        <w:numPr>
          <w:ilvl w:val="0"/>
          <w:numId w:val="61"/>
        </w:numPr>
        <w:rPr>
          <w:rFonts w:ascii="Arial" w:cs="Arial" w:eastAsia="Arial" w:hAnsi="Arial"/>
          <w:sz w:val="17"/>
          <w:szCs w:val="17"/>
          <w:color w:val="auto"/>
        </w:rPr>
      </w:pPr>
      <w:r>
        <w:rPr>
          <w:rFonts w:ascii="Arial" w:cs="Arial" w:eastAsia="Arial" w:hAnsi="Arial"/>
          <w:sz w:val="17"/>
          <w:szCs w:val="17"/>
          <w:color w:val="auto"/>
        </w:rPr>
        <w:t>debt reduction; (xxiv) customer satisfaction; (xxv) stockholders’ equity; (xxvi) capital expenditures; (xxvii) debt levels; (xxviii) operating profit or net operating profit; (xxix) workforce diversity; (xxx) growth of net income or operating income; (xxxi) billings; (xxxii) pre-clinical development related compound goals; (xxxiii) financing; (xxxiv) regulatory milestones, including approval of a compound; (xxxv) stockholder liquidity; (xxvi) corporate governance and compliance; (xxxvii) product commercialization; (xxxviii) intellectual property; (xxxix) personnel matters; (xl) progress of internal research or clinical programs; (xli) progress of partnered programs; (xlii) partner satisfaction; (xliii) budget management; (xliv) clinical achievements;</w:t>
      </w:r>
    </w:p>
    <w:p>
      <w:pPr>
        <w:spacing w:after="0" w:line="1" w:lineRule="exact"/>
        <w:rPr>
          <w:rFonts w:ascii="Arial" w:cs="Arial" w:eastAsia="Arial" w:hAnsi="Arial"/>
          <w:sz w:val="17"/>
          <w:szCs w:val="17"/>
          <w:color w:val="auto"/>
        </w:rPr>
      </w:pPr>
    </w:p>
    <w:p>
      <w:pPr>
        <w:ind w:right="20"/>
        <w:spacing w:after="0" w:line="286" w:lineRule="auto"/>
        <w:rPr>
          <w:rFonts w:ascii="Arial" w:cs="Arial" w:eastAsia="Arial" w:hAnsi="Arial"/>
          <w:sz w:val="17"/>
          <w:szCs w:val="17"/>
          <w:color w:val="auto"/>
        </w:rPr>
      </w:pPr>
      <w:r>
        <w:rPr>
          <w:rFonts w:ascii="Arial" w:cs="Arial" w:eastAsia="Arial" w:hAnsi="Arial"/>
          <w:sz w:val="16"/>
          <w:szCs w:val="16"/>
          <w:color w:val="auto"/>
        </w:rPr>
        <w:t>(xlv) completing phases of a clinical study (including the treatment phase); (xlvi) announcing or presenting preliminary or final data from clinical studies; in each case, whether on particular timelines or generally; (xlvii) timely completion of clinical trials; (xlviii) submission of INDs and NDAs and other regulatory achievements; (xlix) partner or collaborator achievements; (l) internal controls, including those related to the Sarbanes-Oxley Act of 2002; (li) research progress, including the development of programs; (lii) investor relations, analysts and communication; (liii) manufacturing achievements (including obtaining particular yields from manufacturing runs and other measurable objectives related to process development activities); (liv) strategic partnerships or transactions (including in-licensing and out-licensing of intellectual property; (lv) establishing relationships with commercial entities with respect to the marketing, distribution and sale of the Company’s products (including with group purchasing organizations, distributors and other vendors); (lvi) supply chain achievements (including establishing relationships with manufacturers or suppliers of active pharmaceutical ingredients and other component materials and manufacturers of the Company’s products); (lvii) co-development, co-marketing, profit sharing, joint venture or other similar arrangements; (lviii) individual performance goals; (lix) corporate development and planning goals; and (lx) other measures of performance selected by the Board or Committee.</w:t>
      </w:r>
    </w:p>
    <w:p>
      <w:pPr>
        <w:spacing w:after="0" w:line="62" w:lineRule="exact"/>
        <w:rPr>
          <w:rFonts w:ascii="Arial" w:cs="Arial" w:eastAsia="Arial" w:hAnsi="Arial"/>
          <w:sz w:val="17"/>
          <w:szCs w:val="17"/>
          <w:color w:val="auto"/>
        </w:rPr>
      </w:pPr>
    </w:p>
    <w:p>
      <w:pPr>
        <w:ind w:right="40" w:firstLine="526"/>
        <w:spacing w:after="0" w:line="267" w:lineRule="auto"/>
        <w:tabs>
          <w:tab w:leader="none" w:pos="783" w:val="left"/>
        </w:tabs>
        <w:numPr>
          <w:ilvl w:val="1"/>
          <w:numId w:val="6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Goals</w:t>
      </w:r>
      <w:r>
        <w:rPr>
          <w:rFonts w:ascii="Arial" w:cs="Arial" w:eastAsia="Arial" w:hAnsi="Arial"/>
          <w:sz w:val="17"/>
          <w:szCs w:val="17"/>
          <w:color w:val="auto"/>
        </w:rPr>
        <w:t>” means, for a Performance Period, the one or more goals established by the Board or Committee (as applicable)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any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(11) to exclude the goodwill and intangible asset impairment charges that are required to be recorded under generally accepted accounting principles; and (12) to exclude the effect of any other unusual, non-recurring gain or loss or other extraordinary item. In addition, the Board or Committee (as applicable) retains the discretion to adjust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Stock Award Agreement or the written terms of a Performance Cash Award.</w:t>
      </w:r>
    </w:p>
    <w:p>
      <w:pPr>
        <w:spacing w:after="0" w:line="80" w:lineRule="exact"/>
        <w:rPr>
          <w:rFonts w:ascii="Arial" w:cs="Arial" w:eastAsia="Arial" w:hAnsi="Arial"/>
          <w:sz w:val="17"/>
          <w:szCs w:val="17"/>
          <w:b w:val="1"/>
          <w:bCs w:val="1"/>
          <w:color w:val="auto"/>
        </w:rPr>
      </w:pPr>
    </w:p>
    <w:p>
      <w:pPr>
        <w:ind w:right="80" w:firstLine="526"/>
        <w:spacing w:after="0" w:line="286" w:lineRule="auto"/>
        <w:tabs>
          <w:tab w:leader="none" w:pos="983" w:val="left"/>
        </w:tabs>
        <w:numPr>
          <w:ilvl w:val="1"/>
          <w:numId w:val="6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Period</w:t>
      </w:r>
      <w:r>
        <w:rPr>
          <w:rFonts w:ascii="Arial" w:cs="Arial" w:eastAsia="Arial" w:hAnsi="Arial"/>
          <w:sz w:val="17"/>
          <w:szCs w:val="17"/>
          <w:color w:val="auto"/>
        </w:rPr>
        <w:t>” means the period of time selected by the Board or Committee (as applicable) over which the attainment of one or more Performance Goals will be measured for the purpose of determining a Participant’s right to and the payment of a Stock Award or a Performance Cash Award. Performance Periods may be of varying and overlapping duration, at the sole discretion of the Board or Committee.</w:t>
      </w:r>
    </w:p>
    <w:p>
      <w:pPr>
        <w:spacing w:after="0" w:line="57" w:lineRule="exact"/>
        <w:rPr>
          <w:rFonts w:ascii="Arial" w:cs="Arial" w:eastAsia="Arial" w:hAnsi="Arial"/>
          <w:sz w:val="17"/>
          <w:szCs w:val="17"/>
          <w:b w:val="1"/>
          <w:bCs w:val="1"/>
          <w:color w:val="auto"/>
        </w:rPr>
      </w:pPr>
    </w:p>
    <w:p>
      <w:pPr>
        <w:ind w:left="900" w:hanging="374"/>
        <w:spacing w:after="0"/>
        <w:tabs>
          <w:tab w:leader="none" w:pos="900" w:val="left"/>
        </w:tabs>
        <w:numPr>
          <w:ilvl w:val="1"/>
          <w:numId w:val="6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Stock Award</w:t>
      </w:r>
      <w:r>
        <w:rPr>
          <w:rFonts w:ascii="Arial" w:cs="Arial" w:eastAsia="Arial" w:hAnsi="Arial"/>
          <w:sz w:val="18"/>
          <w:szCs w:val="18"/>
          <w:color w:val="auto"/>
        </w:rPr>
        <w:t>” means a Stock Award granted under the terms and conditions of Section 6(c)(i).</w:t>
      </w:r>
    </w:p>
    <w:p>
      <w:pPr>
        <w:spacing w:after="0" w:line="117" w:lineRule="exact"/>
        <w:rPr>
          <w:rFonts w:ascii="Arial" w:cs="Arial" w:eastAsia="Arial" w:hAnsi="Arial"/>
          <w:sz w:val="18"/>
          <w:szCs w:val="18"/>
          <w:b w:val="1"/>
          <w:bCs w:val="1"/>
          <w:color w:val="auto"/>
        </w:rPr>
      </w:pPr>
    </w:p>
    <w:p>
      <w:pPr>
        <w:ind w:left="880" w:hanging="354"/>
        <w:spacing w:after="0"/>
        <w:tabs>
          <w:tab w:leader="none" w:pos="880" w:val="left"/>
        </w:tabs>
        <w:numPr>
          <w:ilvl w:val="1"/>
          <w:numId w:val="6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Neuronetics, Inc. 2018 Equity Incentive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8" w:name="page49"/>
    <w:bookmarkEnd w:id="48"/>
    <w:p>
      <w:pPr>
        <w:ind w:left="840" w:hanging="374"/>
        <w:spacing w:after="0"/>
        <w:tabs>
          <w:tab w:leader="none" w:pos="840" w:val="left"/>
        </w:tabs>
        <w:numPr>
          <w:ilvl w:val="0"/>
          <w:numId w:val="6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w:t>
      </w:r>
      <w:r>
        <w:rPr>
          <w:rFonts w:ascii="Arial" w:cs="Arial" w:eastAsia="Arial" w:hAnsi="Arial"/>
          <w:sz w:val="16"/>
          <w:szCs w:val="16"/>
          <w:color w:val="auto"/>
        </w:rPr>
        <w:t>” means an award of shares of Common Stock which is granted pursuant to the terms and conditions of Section 6(a).</w:t>
      </w:r>
    </w:p>
    <w:p>
      <w:pPr>
        <w:spacing w:after="0" w:line="140" w:lineRule="exact"/>
        <w:rPr>
          <w:rFonts w:ascii="Arial" w:cs="Arial" w:eastAsia="Arial" w:hAnsi="Arial"/>
          <w:sz w:val="16"/>
          <w:szCs w:val="16"/>
          <w:b w:val="1"/>
          <w:bCs w:val="1"/>
          <w:color w:val="auto"/>
        </w:rPr>
      </w:pPr>
    </w:p>
    <w:p>
      <w:pPr>
        <w:ind w:left="-60" w:firstLine="526"/>
        <w:spacing w:after="0" w:line="342" w:lineRule="auto"/>
        <w:tabs>
          <w:tab w:leader="none" w:pos="823" w:val="left"/>
        </w:tabs>
        <w:numPr>
          <w:ilvl w:val="0"/>
          <w:numId w:val="6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 Agreement</w:t>
      </w:r>
      <w:r>
        <w:rPr>
          <w:rFonts w:ascii="Arial" w:cs="Arial" w:eastAsia="Arial" w:hAnsi="Arial"/>
          <w:sz w:val="16"/>
          <w:szCs w:val="16"/>
          <w:color w:val="auto"/>
        </w:rPr>
        <w:t>” means a written agreement between the Company and a holder of a Restricted Stock Award evidencing the terms and conditions of a Restricted Stock Award grant. Each Restricted Stock Award Agreement will be subject to the terms and conditions of the Plan.</w:t>
      </w:r>
    </w:p>
    <w:p>
      <w:pPr>
        <w:spacing w:after="0" w:line="15" w:lineRule="exact"/>
        <w:rPr>
          <w:rFonts w:ascii="Arial" w:cs="Arial" w:eastAsia="Arial" w:hAnsi="Arial"/>
          <w:sz w:val="16"/>
          <w:szCs w:val="16"/>
          <w:b w:val="1"/>
          <w:bCs w:val="1"/>
          <w:color w:val="auto"/>
        </w:rPr>
      </w:pPr>
    </w:p>
    <w:p>
      <w:pPr>
        <w:ind w:left="-60" w:right="540" w:firstLine="526"/>
        <w:spacing w:after="0" w:line="277" w:lineRule="auto"/>
        <w:tabs>
          <w:tab w:leader="none" w:pos="783"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 Award</w:t>
      </w:r>
      <w:r>
        <w:rPr>
          <w:rFonts w:ascii="Arial" w:cs="Arial" w:eastAsia="Arial" w:hAnsi="Arial"/>
          <w:sz w:val="18"/>
          <w:szCs w:val="18"/>
          <w:color w:val="auto"/>
        </w:rPr>
        <w:t>” means a right to receive shares of Common Stock which is granted pursuant to the terms and conditions of Section 6(b).</w:t>
      </w:r>
    </w:p>
    <w:p>
      <w:pPr>
        <w:spacing w:after="0" w:line="62" w:lineRule="exact"/>
        <w:rPr>
          <w:rFonts w:ascii="Arial" w:cs="Arial" w:eastAsia="Arial" w:hAnsi="Arial"/>
          <w:sz w:val="18"/>
          <w:szCs w:val="18"/>
          <w:b w:val="1"/>
          <w:bCs w:val="1"/>
          <w:color w:val="auto"/>
        </w:rPr>
      </w:pPr>
    </w:p>
    <w:p>
      <w:pPr>
        <w:ind w:left="-60" w:right="200" w:firstLine="526"/>
        <w:spacing w:after="0" w:line="312" w:lineRule="auto"/>
        <w:tabs>
          <w:tab w:leader="none" w:pos="763" w:val="left"/>
        </w:tabs>
        <w:numPr>
          <w:ilvl w:val="0"/>
          <w:numId w:val="6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Unit Award Agreement</w:t>
      </w:r>
      <w:r>
        <w:rPr>
          <w:rFonts w:ascii="Arial" w:cs="Arial" w:eastAsia="Arial" w:hAnsi="Arial"/>
          <w:sz w:val="16"/>
          <w:szCs w:val="16"/>
          <w:color w:val="auto"/>
        </w:rPr>
        <w:t>” 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spacing w:after="0" w:line="38" w:lineRule="exact"/>
        <w:rPr>
          <w:rFonts w:ascii="Arial" w:cs="Arial" w:eastAsia="Arial" w:hAnsi="Arial"/>
          <w:sz w:val="16"/>
          <w:szCs w:val="16"/>
          <w:b w:val="1"/>
          <w:bCs w:val="1"/>
          <w:color w:val="auto"/>
        </w:rPr>
      </w:pPr>
    </w:p>
    <w:p>
      <w:pPr>
        <w:ind w:left="760" w:hanging="294"/>
        <w:spacing w:after="0"/>
        <w:tabs>
          <w:tab w:leader="none" w:pos="76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promulgated under the Exchange Act or any successor to Rule 16b-3, as in effect from time to time.</w:t>
      </w:r>
    </w:p>
    <w:p>
      <w:pPr>
        <w:spacing w:after="0" w:line="238" w:lineRule="exact"/>
        <w:rPr>
          <w:rFonts w:ascii="Arial" w:cs="Arial" w:eastAsia="Arial" w:hAnsi="Arial"/>
          <w:sz w:val="18"/>
          <w:szCs w:val="18"/>
          <w:b w:val="1"/>
          <w:bCs w:val="1"/>
          <w:color w:val="auto"/>
        </w:rPr>
      </w:pPr>
    </w:p>
    <w:p>
      <w:pPr>
        <w:ind w:left="840" w:hanging="374"/>
        <w:spacing w:after="0"/>
        <w:tabs>
          <w:tab w:leader="none" w:pos="84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117" w:lineRule="exact"/>
        <w:rPr>
          <w:rFonts w:ascii="Arial" w:cs="Arial" w:eastAsia="Arial" w:hAnsi="Arial"/>
          <w:sz w:val="18"/>
          <w:szCs w:val="18"/>
          <w:b w:val="1"/>
          <w:bCs w:val="1"/>
          <w:color w:val="auto"/>
        </w:rPr>
      </w:pPr>
    </w:p>
    <w:p>
      <w:pPr>
        <w:ind w:left="-60" w:right="440" w:firstLine="526"/>
        <w:spacing w:after="0" w:line="277" w:lineRule="auto"/>
        <w:tabs>
          <w:tab w:leader="none" w:pos="803"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 right to receive the appreciation on Common Stock that is granted pursuant to the terms and conditions of Section 5.</w:t>
      </w:r>
    </w:p>
    <w:p>
      <w:pPr>
        <w:spacing w:after="0" w:line="62" w:lineRule="exact"/>
        <w:rPr>
          <w:rFonts w:ascii="Arial" w:cs="Arial" w:eastAsia="Arial" w:hAnsi="Arial"/>
          <w:sz w:val="18"/>
          <w:szCs w:val="18"/>
          <w:b w:val="1"/>
          <w:bCs w:val="1"/>
          <w:color w:val="auto"/>
        </w:rPr>
      </w:pPr>
    </w:p>
    <w:p>
      <w:pPr>
        <w:ind w:left="-60" w:right="660" w:firstLine="526"/>
        <w:spacing w:after="0" w:line="264" w:lineRule="auto"/>
        <w:tabs>
          <w:tab w:leader="none" w:pos="883"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 Agreement</w:t>
      </w:r>
      <w:r>
        <w:rPr>
          <w:rFonts w:ascii="Arial" w:cs="Arial" w:eastAsia="Arial" w:hAnsi="Arial"/>
          <w:sz w:val="18"/>
          <w:szCs w:val="18"/>
          <w:color w:val="auto"/>
        </w:rPr>
        <w:t>” means a written agreement between the Company and a holder of a Stock Appreciation Right evidencing the terms and conditions of a Stock Appreciation Right grant. Each Stock Appreciation Right Agreement will be subject to the terms and conditions of the Plan.</w:t>
      </w:r>
    </w:p>
    <w:p>
      <w:pPr>
        <w:spacing w:after="0" w:line="73" w:lineRule="exact"/>
        <w:rPr>
          <w:rFonts w:ascii="Arial" w:cs="Arial" w:eastAsia="Arial" w:hAnsi="Arial"/>
          <w:sz w:val="18"/>
          <w:szCs w:val="18"/>
          <w:b w:val="1"/>
          <w:bCs w:val="1"/>
          <w:color w:val="auto"/>
        </w:rPr>
      </w:pPr>
    </w:p>
    <w:p>
      <w:pPr>
        <w:ind w:left="-60" w:right="300" w:firstLine="526"/>
        <w:spacing w:after="0" w:line="342" w:lineRule="auto"/>
        <w:tabs>
          <w:tab w:leader="none" w:pos="803" w:val="left"/>
        </w:tabs>
        <w:numPr>
          <w:ilvl w:val="0"/>
          <w:numId w:val="6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Stock Award</w:t>
      </w:r>
      <w:r>
        <w:rPr>
          <w:rFonts w:ascii="Arial" w:cs="Arial" w:eastAsia="Arial" w:hAnsi="Arial"/>
          <w:sz w:val="16"/>
          <w:szCs w:val="16"/>
          <w:color w:val="auto"/>
        </w:rPr>
        <w:t>” means any right to receive Common Stock granted under the Plan, including an Incentive Stock Option, a Nonstatutory Stock Option, a Restricted Stock Award, a Restricted Stock Unit Award, a Stock Appreciation Right, a Performance Stock Award or any Other Stock Award.</w:t>
      </w:r>
    </w:p>
    <w:p>
      <w:pPr>
        <w:spacing w:after="0" w:line="15" w:lineRule="exact"/>
        <w:rPr>
          <w:rFonts w:ascii="Arial" w:cs="Arial" w:eastAsia="Arial" w:hAnsi="Arial"/>
          <w:sz w:val="16"/>
          <w:szCs w:val="16"/>
          <w:b w:val="1"/>
          <w:bCs w:val="1"/>
          <w:color w:val="auto"/>
        </w:rPr>
      </w:pPr>
    </w:p>
    <w:p>
      <w:pPr>
        <w:ind w:left="-60" w:right="240" w:firstLine="526"/>
        <w:spacing w:after="0" w:line="277" w:lineRule="auto"/>
        <w:tabs>
          <w:tab w:leader="none" w:pos="803"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Award Agreement</w:t>
      </w:r>
      <w:r>
        <w:rPr>
          <w:rFonts w:ascii="Arial" w:cs="Arial" w:eastAsia="Arial" w:hAnsi="Arial"/>
          <w:sz w:val="18"/>
          <w:szCs w:val="18"/>
          <w:color w:val="auto"/>
        </w:rPr>
        <w:t>” means a written agreement between the Company and a Participant evidencing the terms and conditions of a Stock Award grant. Each Stock Award Agreement will be subject to the terms and conditions of the Plan.</w:t>
      </w:r>
    </w:p>
    <w:p>
      <w:pPr>
        <w:spacing w:after="0" w:line="62" w:lineRule="exact"/>
        <w:rPr>
          <w:rFonts w:ascii="Arial" w:cs="Arial" w:eastAsia="Arial" w:hAnsi="Arial"/>
          <w:sz w:val="18"/>
          <w:szCs w:val="18"/>
          <w:b w:val="1"/>
          <w:bCs w:val="1"/>
          <w:color w:val="auto"/>
        </w:rPr>
      </w:pPr>
    </w:p>
    <w:p>
      <w:pPr>
        <w:ind w:left="-60" w:right="120" w:firstLine="526"/>
        <w:spacing w:after="0" w:line="257" w:lineRule="auto"/>
        <w:tabs>
          <w:tab w:leader="none" w:pos="783"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80" w:lineRule="exact"/>
        <w:rPr>
          <w:sz w:val="20"/>
          <w:szCs w:val="20"/>
          <w:color w:val="auto"/>
        </w:rPr>
      </w:pPr>
    </w:p>
    <w:p>
      <w:pPr>
        <w:ind w:left="-60" w:right="280" w:firstLine="526"/>
        <w:spacing w:after="0" w:line="277" w:lineRule="auto"/>
        <w:tabs>
          <w:tab w:leader="none" w:pos="893"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Ten Percent Stockholder</w:t>
      </w:r>
      <w:r>
        <w:rPr>
          <w:rFonts w:ascii="Arial" w:cs="Arial" w:eastAsia="Arial" w:hAnsi="Arial"/>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62" w:lineRule="exact"/>
        <w:rPr>
          <w:rFonts w:ascii="Arial" w:cs="Arial" w:eastAsia="Arial" w:hAnsi="Arial"/>
          <w:sz w:val="18"/>
          <w:szCs w:val="18"/>
          <w:b w:val="1"/>
          <w:bCs w:val="1"/>
          <w:color w:val="auto"/>
        </w:rPr>
      </w:pPr>
    </w:p>
    <w:p>
      <w:pPr>
        <w:ind w:left="940" w:hanging="474"/>
        <w:spacing w:after="0"/>
        <w:tabs>
          <w:tab w:leader="none" w:pos="94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w:t>
      </w:r>
      <w:r>
        <w:rPr>
          <w:rFonts w:ascii="Arial" w:cs="Arial" w:eastAsia="Arial" w:hAnsi="Arial"/>
          <w:sz w:val="18"/>
          <w:szCs w:val="18"/>
          <w:color w:val="auto"/>
        </w:rPr>
        <w:t>” means a Corporate Transaction or a Change in Control.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0"/>
          </w:cols>
          <w:pgMar w:left="300" w:top="449" w:right="29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10.11</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3"/>
          <w:szCs w:val="13"/>
          <w:b w:val="1"/>
          <w:bCs w:val="1"/>
          <w:color w:val="auto"/>
        </w:rPr>
        <w:t>EURONETICS</w:t>
      </w:r>
      <w:r>
        <w:rPr>
          <w:rFonts w:ascii="Arial" w:cs="Arial" w:eastAsia="Arial" w:hAnsi="Arial"/>
          <w:sz w:val="18"/>
          <w:szCs w:val="18"/>
          <w:b w:val="1"/>
          <w:bCs w:val="1"/>
          <w:color w:val="auto"/>
        </w:rPr>
        <w:t>, I</w:t>
      </w:r>
      <w:r>
        <w:rPr>
          <w:rFonts w:ascii="Arial" w:cs="Arial" w:eastAsia="Arial" w:hAnsi="Arial"/>
          <w:sz w:val="13"/>
          <w:szCs w:val="13"/>
          <w:b w:val="1"/>
          <w:bCs w:val="1"/>
          <w:color w:val="auto"/>
        </w:rPr>
        <w:t>NC</w:t>
      </w:r>
      <w:r>
        <w:rPr>
          <w:rFonts w:ascii="Arial" w:cs="Arial" w:eastAsia="Arial" w:hAnsi="Arial"/>
          <w:sz w:val="18"/>
          <w:szCs w:val="18"/>
          <w:b w:val="1"/>
          <w:bCs w:val="1"/>
          <w:color w:val="auto"/>
        </w:rPr>
        <w:t>.</w:t>
      </w:r>
    </w:p>
    <w:p>
      <w:pPr>
        <w:spacing w:after="0" w:line="17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2018 E</w:t>
      </w:r>
      <w:r>
        <w:rPr>
          <w:rFonts w:ascii="Arial" w:cs="Arial" w:eastAsia="Arial" w:hAnsi="Arial"/>
          <w:sz w:val="13"/>
          <w:szCs w:val="13"/>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3"/>
          <w:szCs w:val="13"/>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3"/>
          <w:szCs w:val="13"/>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3"/>
          <w:szCs w:val="13"/>
          <w:b w:val="1"/>
          <w:bCs w:val="1"/>
          <w:color w:val="auto"/>
        </w:rPr>
        <w:t>LAN</w:t>
      </w:r>
    </w:p>
    <w:p>
      <w:pPr>
        <w:spacing w:after="0" w:line="171"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3"/>
          <w:szCs w:val="13"/>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3"/>
          <w:szCs w:val="13"/>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3"/>
          <w:szCs w:val="13"/>
          <w:b w:val="1"/>
          <w:bCs w:val="1"/>
          <w:color w:val="auto"/>
        </w:rPr>
        <w:t>IRECTORS</w:t>
      </w:r>
      <w:r>
        <w:rPr>
          <w:rFonts w:ascii="Arial" w:cs="Arial" w:eastAsia="Arial" w:hAnsi="Arial"/>
          <w:sz w:val="18"/>
          <w:szCs w:val="18"/>
          <w:b w:val="1"/>
          <w:bCs w:val="1"/>
          <w:color w:val="auto"/>
        </w:rPr>
        <w:t>: J</w:t>
      </w:r>
      <w:r>
        <w:rPr>
          <w:rFonts w:ascii="Arial" w:cs="Arial" w:eastAsia="Arial" w:hAnsi="Arial"/>
          <w:sz w:val="13"/>
          <w:szCs w:val="13"/>
          <w:b w:val="1"/>
          <w:bCs w:val="1"/>
          <w:color w:val="auto"/>
        </w:rPr>
        <w:t>UNE</w:t>
      </w:r>
      <w:r>
        <w:rPr>
          <w:rFonts w:ascii="Arial" w:cs="Arial" w:eastAsia="Arial" w:hAnsi="Arial"/>
          <w:sz w:val="18"/>
          <w:szCs w:val="18"/>
          <w:b w:val="1"/>
          <w:bCs w:val="1"/>
          <w:color w:val="auto"/>
        </w:rPr>
        <w:t xml:space="preserve"> 13, 2018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3"/>
          <w:szCs w:val="13"/>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3"/>
          <w:szCs w:val="13"/>
          <w:b w:val="1"/>
          <w:bCs w:val="1"/>
          <w:color w:val="auto"/>
        </w:rPr>
        <w:t>TOCKHOLDERS</w:t>
      </w:r>
      <w:r>
        <w:rPr>
          <w:rFonts w:ascii="Arial" w:cs="Arial" w:eastAsia="Arial" w:hAnsi="Arial"/>
          <w:sz w:val="18"/>
          <w:szCs w:val="18"/>
          <w:b w:val="1"/>
          <w:bCs w:val="1"/>
          <w:color w:val="auto"/>
        </w:rPr>
        <w:t>: J</w:t>
      </w:r>
      <w:r>
        <w:rPr>
          <w:rFonts w:ascii="Arial" w:cs="Arial" w:eastAsia="Arial" w:hAnsi="Arial"/>
          <w:sz w:val="13"/>
          <w:szCs w:val="13"/>
          <w:b w:val="1"/>
          <w:bCs w:val="1"/>
          <w:color w:val="auto"/>
        </w:rPr>
        <w:t>UNE</w:t>
      </w:r>
      <w:r>
        <w:rPr>
          <w:rFonts w:ascii="Arial" w:cs="Arial" w:eastAsia="Arial" w:hAnsi="Arial"/>
          <w:sz w:val="18"/>
          <w:szCs w:val="18"/>
          <w:b w:val="1"/>
          <w:bCs w:val="1"/>
          <w:color w:val="auto"/>
        </w:rPr>
        <w:t xml:space="preserve"> 13, 2018</w:t>
      </w:r>
    </w:p>
    <w:p>
      <w:pPr>
        <w:spacing w:after="0" w:line="153" w:lineRule="exact"/>
        <w:rPr>
          <w:sz w:val="20"/>
          <w:szCs w:val="20"/>
          <w:color w:val="auto"/>
        </w:rPr>
      </w:pPr>
    </w:p>
    <w:p>
      <w:pPr>
        <w:ind w:left="360" w:hanging="352"/>
        <w:spacing w:after="0"/>
        <w:tabs>
          <w:tab w:leader="none" w:pos="3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3"/>
          <w:szCs w:val="13"/>
          <w:b w:val="1"/>
          <w:bCs w:val="1"/>
          <w:color w:val="auto"/>
        </w:rPr>
        <w:t>ENERAL</w:t>
      </w:r>
      <w:r>
        <w:rPr>
          <w:rFonts w:ascii="Arial" w:cs="Arial" w:eastAsia="Arial" w:hAnsi="Arial"/>
          <w:sz w:val="18"/>
          <w:szCs w:val="18"/>
          <w:b w:val="1"/>
          <w:bCs w:val="1"/>
          <w:color w:val="auto"/>
        </w:rPr>
        <w:t>; P</w:t>
      </w:r>
      <w:r>
        <w:rPr>
          <w:rFonts w:ascii="Arial" w:cs="Arial" w:eastAsia="Arial" w:hAnsi="Arial"/>
          <w:sz w:val="13"/>
          <w:szCs w:val="13"/>
          <w:b w:val="1"/>
          <w:bCs w:val="1"/>
          <w:color w:val="auto"/>
        </w:rPr>
        <w:t>URPOSE</w:t>
      </w:r>
      <w:r>
        <w:rPr>
          <w:rFonts w:ascii="Arial" w:cs="Arial" w:eastAsia="Arial" w:hAnsi="Arial"/>
          <w:sz w:val="18"/>
          <w:szCs w:val="18"/>
          <w:b w:val="1"/>
          <w:bCs w:val="1"/>
          <w:color w:val="auto"/>
        </w:rPr>
        <w:t>.</w:t>
      </w:r>
    </w:p>
    <w:p>
      <w:pPr>
        <w:spacing w:after="0" w:line="80" w:lineRule="exact"/>
        <w:rPr>
          <w:rFonts w:ascii="Arial" w:cs="Arial" w:eastAsia="Arial" w:hAnsi="Arial"/>
          <w:sz w:val="18"/>
          <w:szCs w:val="18"/>
          <w:b w:val="1"/>
          <w:bCs w:val="1"/>
          <w:color w:val="auto"/>
        </w:rPr>
      </w:pPr>
    </w:p>
    <w:p>
      <w:pPr>
        <w:ind w:right="620" w:firstLine="526"/>
        <w:spacing w:after="0" w:line="264" w:lineRule="auto"/>
        <w:tabs>
          <w:tab w:leader="none" w:pos="953" w:val="left"/>
        </w:tabs>
        <w:numPr>
          <w:ilvl w:val="1"/>
          <w:numId w:val="64"/>
        </w:numPr>
        <w:rPr>
          <w:rFonts w:ascii="Arial" w:cs="Arial" w:eastAsia="Arial" w:hAnsi="Arial"/>
          <w:sz w:val="18"/>
          <w:szCs w:val="18"/>
          <w:b w:val="1"/>
          <w:bCs w:val="1"/>
          <w:color w:val="auto"/>
        </w:rPr>
      </w:pPr>
      <w:r>
        <w:rPr>
          <w:rFonts w:ascii="Arial" w:cs="Arial" w:eastAsia="Arial" w:hAnsi="Arial"/>
          <w:sz w:val="18"/>
          <w:szCs w:val="18"/>
          <w:color w:val="auto"/>
        </w:rPr>
        <w:t>The Plan provides a means by which Eligible Employees of the Company and certain designated Related Corporations may be given an opportunity to purchase shares of Common Stock. The Plan permits the Company to grant a series of Purchase Rights to Eligible Employees under an Employee Stock Purchase Plan.</w:t>
      </w:r>
    </w:p>
    <w:p>
      <w:pPr>
        <w:spacing w:after="0" w:line="127" w:lineRule="exact"/>
        <w:rPr>
          <w:rFonts w:ascii="Arial" w:cs="Arial" w:eastAsia="Arial" w:hAnsi="Arial"/>
          <w:sz w:val="18"/>
          <w:szCs w:val="18"/>
          <w:b w:val="1"/>
          <w:bCs w:val="1"/>
          <w:color w:val="auto"/>
        </w:rPr>
      </w:pPr>
    </w:p>
    <w:p>
      <w:pPr>
        <w:ind w:right="160" w:firstLine="526"/>
        <w:spacing w:after="0" w:line="308" w:lineRule="auto"/>
        <w:tabs>
          <w:tab w:leader="none" w:pos="963" w:val="left"/>
        </w:tabs>
        <w:numPr>
          <w:ilvl w:val="1"/>
          <w:numId w:val="64"/>
        </w:numPr>
        <w:rPr>
          <w:rFonts w:ascii="Arial" w:cs="Arial" w:eastAsia="Arial" w:hAnsi="Arial"/>
          <w:sz w:val="17"/>
          <w:szCs w:val="17"/>
          <w:b w:val="1"/>
          <w:bCs w:val="1"/>
          <w:color w:val="auto"/>
        </w:rPr>
      </w:pPr>
      <w:r>
        <w:rPr>
          <w:rFonts w:ascii="Arial" w:cs="Arial" w:eastAsia="Arial" w:hAnsi="Arial"/>
          <w:sz w:val="17"/>
          <w:szCs w:val="17"/>
          <w:color w:val="auto"/>
        </w:rPr>
        <w:t>The Company, by means of the Plan, seeks to retain the services of such Employees, to secure and retain the services of new Employees and to provide incentives for such persons to exert maximum efforts for the success of the Company and its Related Corporations.</w:t>
      </w:r>
    </w:p>
    <w:p>
      <w:pPr>
        <w:spacing w:after="0" w:line="169" w:lineRule="exact"/>
        <w:rPr>
          <w:rFonts w:ascii="Arial" w:cs="Arial" w:eastAsia="Arial" w:hAnsi="Arial"/>
          <w:sz w:val="17"/>
          <w:szCs w:val="17"/>
          <w:b w:val="1"/>
          <w:bCs w:val="1"/>
          <w:color w:val="auto"/>
        </w:rPr>
      </w:pPr>
    </w:p>
    <w:p>
      <w:pPr>
        <w:ind w:left="360" w:hanging="352"/>
        <w:spacing w:after="0"/>
        <w:tabs>
          <w:tab w:leader="none" w:pos="3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3"/>
          <w:szCs w:val="13"/>
          <w:b w:val="1"/>
          <w:bCs w:val="1"/>
          <w:color w:val="auto"/>
        </w:rPr>
        <w:t>DMINISTRATION</w:t>
      </w:r>
      <w:r>
        <w:rPr>
          <w:rFonts w:ascii="Arial" w:cs="Arial" w:eastAsia="Arial" w:hAnsi="Arial"/>
          <w:sz w:val="18"/>
          <w:szCs w:val="18"/>
          <w:b w:val="1"/>
          <w:bCs w:val="1"/>
          <w:color w:val="auto"/>
        </w:rPr>
        <w:t>.</w:t>
      </w:r>
    </w:p>
    <w:p>
      <w:pPr>
        <w:spacing w:after="0" w:line="80" w:lineRule="exact"/>
        <w:rPr>
          <w:rFonts w:ascii="Arial" w:cs="Arial" w:eastAsia="Arial" w:hAnsi="Arial"/>
          <w:sz w:val="18"/>
          <w:szCs w:val="18"/>
          <w:b w:val="1"/>
          <w:bCs w:val="1"/>
          <w:color w:val="auto"/>
        </w:rPr>
      </w:pPr>
    </w:p>
    <w:p>
      <w:pPr>
        <w:ind w:right="20" w:firstLine="526"/>
        <w:spacing w:after="0" w:line="308" w:lineRule="auto"/>
        <w:tabs>
          <w:tab w:leader="none" w:pos="953" w:val="left"/>
        </w:tabs>
        <w:numPr>
          <w:ilvl w:val="1"/>
          <w:numId w:val="64"/>
        </w:numPr>
        <w:rPr>
          <w:rFonts w:ascii="Arial" w:cs="Arial" w:eastAsia="Arial" w:hAnsi="Arial"/>
          <w:sz w:val="17"/>
          <w:szCs w:val="17"/>
          <w:b w:val="1"/>
          <w:bCs w:val="1"/>
          <w:color w:val="auto"/>
        </w:rPr>
      </w:pPr>
      <w:r>
        <w:rPr>
          <w:rFonts w:ascii="Arial" w:cs="Arial" w:eastAsia="Arial" w:hAnsi="Arial"/>
          <w:sz w:val="17"/>
          <w:szCs w:val="17"/>
          <w:color w:val="auto"/>
        </w:rPr>
        <w:t>The Board will administer the Plan unless and until the Board delegates administration of the Plan to a Committee or Committees, as provided in Section 2(c). References herein to the Board shall be deemed to refer to the Committee where such administration has been delegated.</w:t>
      </w:r>
    </w:p>
    <w:p>
      <w:pPr>
        <w:spacing w:after="0" w:line="92" w:lineRule="exact"/>
        <w:rPr>
          <w:rFonts w:ascii="Arial" w:cs="Arial" w:eastAsia="Arial" w:hAnsi="Arial"/>
          <w:sz w:val="17"/>
          <w:szCs w:val="17"/>
          <w:b w:val="1"/>
          <w:bCs w:val="1"/>
          <w:color w:val="auto"/>
        </w:rPr>
      </w:pPr>
    </w:p>
    <w:p>
      <w:pPr>
        <w:ind w:left="980" w:hanging="454"/>
        <w:spacing w:after="0"/>
        <w:tabs>
          <w:tab w:leader="none" w:pos="980" w:val="left"/>
        </w:tabs>
        <w:numPr>
          <w:ilvl w:val="1"/>
          <w:numId w:val="64"/>
        </w:numPr>
        <w:rPr>
          <w:rFonts w:ascii="Arial" w:cs="Arial" w:eastAsia="Arial" w:hAnsi="Arial"/>
          <w:sz w:val="18"/>
          <w:szCs w:val="18"/>
          <w:b w:val="1"/>
          <w:bCs w:val="1"/>
          <w:color w:val="auto"/>
        </w:rPr>
      </w:pPr>
      <w:r>
        <w:rPr>
          <w:rFonts w:ascii="Arial" w:cs="Arial" w:eastAsia="Arial" w:hAnsi="Arial"/>
          <w:sz w:val="18"/>
          <w:szCs w:val="18"/>
          <w:color w:val="auto"/>
        </w:rPr>
        <w:t>The Board will have the power, subject to, and within the limitations of, the express provisions of the Plan:</w:t>
      </w:r>
    </w:p>
    <w:p>
      <w:pPr>
        <w:spacing w:after="0" w:line="76" w:lineRule="exact"/>
        <w:rPr>
          <w:rFonts w:ascii="Arial" w:cs="Arial" w:eastAsia="Arial" w:hAnsi="Arial"/>
          <w:sz w:val="18"/>
          <w:szCs w:val="18"/>
          <w:b w:val="1"/>
          <w:bCs w:val="1"/>
          <w:color w:val="auto"/>
        </w:rPr>
      </w:pPr>
    </w:p>
    <w:p>
      <w:pPr>
        <w:ind w:left="1440" w:hanging="398"/>
        <w:spacing w:after="0"/>
        <w:tabs>
          <w:tab w:leader="none" w:pos="1440" w:val="left"/>
        </w:tabs>
        <w:numPr>
          <w:ilvl w:val="2"/>
          <w:numId w:val="64"/>
        </w:numPr>
        <w:rPr>
          <w:rFonts w:ascii="Arial" w:cs="Arial" w:eastAsia="Arial" w:hAnsi="Arial"/>
          <w:sz w:val="17"/>
          <w:szCs w:val="17"/>
          <w:b w:val="1"/>
          <w:bCs w:val="1"/>
          <w:color w:val="auto"/>
        </w:rPr>
      </w:pPr>
      <w:r>
        <w:rPr>
          <w:rFonts w:ascii="Arial" w:cs="Arial" w:eastAsia="Arial" w:hAnsi="Arial"/>
          <w:sz w:val="17"/>
          <w:szCs w:val="17"/>
          <w:color w:val="auto"/>
        </w:rPr>
        <w:t>To determine how and when Purchase Rights will be granted and the provisions of each Offering (which need not be identical).</w:t>
      </w:r>
    </w:p>
    <w:p>
      <w:pPr>
        <w:spacing w:after="0" w:line="101" w:lineRule="exact"/>
        <w:rPr>
          <w:rFonts w:ascii="Arial" w:cs="Arial" w:eastAsia="Arial" w:hAnsi="Arial"/>
          <w:sz w:val="17"/>
          <w:szCs w:val="17"/>
          <w:b w:val="1"/>
          <w:bCs w:val="1"/>
          <w:color w:val="auto"/>
        </w:rPr>
      </w:pPr>
    </w:p>
    <w:p>
      <w:pPr>
        <w:ind w:left="1480" w:hanging="438"/>
        <w:spacing w:after="0"/>
        <w:tabs>
          <w:tab w:leader="none" w:pos="1480" w:val="left"/>
        </w:tabs>
        <w:numPr>
          <w:ilvl w:val="2"/>
          <w:numId w:val="64"/>
        </w:numPr>
        <w:rPr>
          <w:rFonts w:ascii="Arial" w:cs="Arial" w:eastAsia="Arial" w:hAnsi="Arial"/>
          <w:sz w:val="18"/>
          <w:szCs w:val="18"/>
          <w:b w:val="1"/>
          <w:bCs w:val="1"/>
          <w:color w:val="auto"/>
        </w:rPr>
      </w:pPr>
      <w:r>
        <w:rPr>
          <w:rFonts w:ascii="Arial" w:cs="Arial" w:eastAsia="Arial" w:hAnsi="Arial"/>
          <w:sz w:val="18"/>
          <w:szCs w:val="18"/>
          <w:color w:val="auto"/>
        </w:rPr>
        <w:t>To designate from time to time which Related Corporations of the Company will be eligible to participate in the Plan.</w:t>
      </w:r>
    </w:p>
    <w:p>
      <w:pPr>
        <w:spacing w:after="0" w:line="76" w:lineRule="exact"/>
        <w:rPr>
          <w:rFonts w:ascii="Arial" w:cs="Arial" w:eastAsia="Arial" w:hAnsi="Arial"/>
          <w:sz w:val="18"/>
          <w:szCs w:val="18"/>
          <w:b w:val="1"/>
          <w:bCs w:val="1"/>
          <w:color w:val="auto"/>
        </w:rPr>
      </w:pPr>
    </w:p>
    <w:p>
      <w:pPr>
        <w:ind w:right="180" w:firstLine="1042"/>
        <w:spacing w:after="0" w:line="264" w:lineRule="auto"/>
        <w:tabs>
          <w:tab w:leader="none" w:pos="1529" w:val="left"/>
        </w:tabs>
        <w:numPr>
          <w:ilvl w:val="2"/>
          <w:numId w:val="64"/>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32" w:lineRule="exact"/>
        <w:rPr>
          <w:rFonts w:ascii="Arial" w:cs="Arial" w:eastAsia="Arial" w:hAnsi="Arial"/>
          <w:sz w:val="18"/>
          <w:szCs w:val="18"/>
          <w:b w:val="1"/>
          <w:bCs w:val="1"/>
          <w:color w:val="auto"/>
        </w:rPr>
      </w:pPr>
    </w:p>
    <w:p>
      <w:pPr>
        <w:ind w:left="1480" w:hanging="438"/>
        <w:spacing w:after="0"/>
        <w:tabs>
          <w:tab w:leader="none" w:pos="1480" w:val="left"/>
        </w:tabs>
        <w:numPr>
          <w:ilvl w:val="2"/>
          <w:numId w:val="64"/>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Purchase Rights granted under the Plan.</w:t>
      </w:r>
    </w:p>
    <w:p>
      <w:pPr>
        <w:spacing w:after="0" w:line="90" w:lineRule="exact"/>
        <w:rPr>
          <w:rFonts w:ascii="Arial" w:cs="Arial" w:eastAsia="Arial" w:hAnsi="Arial"/>
          <w:sz w:val="18"/>
          <w:szCs w:val="18"/>
          <w:b w:val="1"/>
          <w:bCs w:val="1"/>
          <w:color w:val="auto"/>
        </w:rPr>
      </w:pPr>
    </w:p>
    <w:p>
      <w:pPr>
        <w:ind w:left="1480" w:hanging="438"/>
        <w:spacing w:after="0"/>
        <w:tabs>
          <w:tab w:leader="none" w:pos="1480" w:val="left"/>
        </w:tabs>
        <w:numPr>
          <w:ilvl w:val="2"/>
          <w:numId w:val="64"/>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as provided in Section 12.</w:t>
      </w:r>
    </w:p>
    <w:p>
      <w:pPr>
        <w:spacing w:after="0" w:line="76" w:lineRule="exact"/>
        <w:rPr>
          <w:rFonts w:ascii="Arial" w:cs="Arial" w:eastAsia="Arial" w:hAnsi="Arial"/>
          <w:sz w:val="18"/>
          <w:szCs w:val="18"/>
          <w:b w:val="1"/>
          <w:bCs w:val="1"/>
          <w:color w:val="auto"/>
        </w:rPr>
      </w:pPr>
    </w:p>
    <w:p>
      <w:pPr>
        <w:ind w:left="1520" w:hanging="478"/>
        <w:spacing w:after="0"/>
        <w:tabs>
          <w:tab w:leader="none" w:pos="1520" w:val="left"/>
        </w:tabs>
        <w:numPr>
          <w:ilvl w:val="2"/>
          <w:numId w:val="64"/>
        </w:numPr>
        <w:rPr>
          <w:rFonts w:ascii="Arial" w:cs="Arial" w:eastAsia="Arial" w:hAnsi="Arial"/>
          <w:sz w:val="18"/>
          <w:szCs w:val="18"/>
          <w:b w:val="1"/>
          <w:bCs w:val="1"/>
          <w:color w:val="auto"/>
        </w:rPr>
      </w:pPr>
      <w:r>
        <w:rPr>
          <w:rFonts w:ascii="Arial" w:cs="Arial" w:eastAsia="Arial" w:hAnsi="Arial"/>
          <w:sz w:val="18"/>
          <w:szCs w:val="18"/>
          <w:color w:val="auto"/>
        </w:rPr>
        <w:t>To amend the Plan at any time as provided in Section 12.</w:t>
      </w:r>
    </w:p>
    <w:p>
      <w:pPr>
        <w:spacing w:after="0" w:line="90" w:lineRule="exact"/>
        <w:rPr>
          <w:rFonts w:ascii="Arial" w:cs="Arial" w:eastAsia="Arial" w:hAnsi="Arial"/>
          <w:sz w:val="18"/>
          <w:szCs w:val="18"/>
          <w:b w:val="1"/>
          <w:bCs w:val="1"/>
          <w:color w:val="auto"/>
        </w:rPr>
      </w:pPr>
    </w:p>
    <w:p>
      <w:pPr>
        <w:ind w:right="460" w:firstLine="1042"/>
        <w:spacing w:after="0" w:line="308" w:lineRule="auto"/>
        <w:tabs>
          <w:tab w:leader="none" w:pos="1569" w:val="left"/>
        </w:tabs>
        <w:numPr>
          <w:ilvl w:val="2"/>
          <w:numId w:val="64"/>
        </w:numPr>
        <w:rPr>
          <w:rFonts w:ascii="Arial" w:cs="Arial" w:eastAsia="Arial" w:hAnsi="Arial"/>
          <w:sz w:val="17"/>
          <w:szCs w:val="17"/>
          <w:b w:val="1"/>
          <w:bCs w:val="1"/>
          <w:color w:val="auto"/>
        </w:rPr>
      </w:pPr>
      <w:r>
        <w:rPr>
          <w:rFonts w:ascii="Arial" w:cs="Arial" w:eastAsia="Arial" w:hAnsi="Arial"/>
          <w:sz w:val="17"/>
          <w:szCs w:val="17"/>
          <w:color w:val="auto"/>
        </w:rPr>
        <w:t>Generally, to exercise such powers and to perform such acts as it deems necessary or expedient to promote the best interests of the Company and its Related Corporations and to carry out the intent that the Plan be treated as an Employee Stock Purchase Plan.</w:t>
      </w:r>
    </w:p>
    <w:p>
      <w:pPr>
        <w:spacing w:after="0" w:line="11" w:lineRule="exact"/>
        <w:rPr>
          <w:rFonts w:ascii="Arial" w:cs="Arial" w:eastAsia="Arial" w:hAnsi="Arial"/>
          <w:sz w:val="17"/>
          <w:szCs w:val="17"/>
          <w:b w:val="1"/>
          <w:bCs w:val="1"/>
          <w:color w:val="auto"/>
        </w:rPr>
      </w:pPr>
    </w:p>
    <w:p>
      <w:pPr>
        <w:ind w:right="180" w:firstLine="1042"/>
        <w:spacing w:after="0" w:line="264" w:lineRule="auto"/>
        <w:tabs>
          <w:tab w:leader="none" w:pos="1439" w:val="left"/>
        </w:tabs>
        <w:numPr>
          <w:ilvl w:val="2"/>
          <w:numId w:val="64"/>
        </w:numPr>
        <w:rPr>
          <w:rFonts w:ascii="Arial" w:cs="Arial" w:eastAsia="Arial" w:hAnsi="Arial"/>
          <w:sz w:val="18"/>
          <w:szCs w:val="18"/>
          <w:b w:val="1"/>
          <w:bCs w:val="1"/>
          <w:color w:val="auto"/>
        </w:rPr>
      </w:pPr>
      <w:r>
        <w:rPr>
          <w:rFonts w:ascii="Arial" w:cs="Arial" w:eastAsia="Arial" w:hAnsi="Arial"/>
          <w:sz w:val="18"/>
          <w:szCs w:val="18"/>
          <w:color w:val="auto"/>
        </w:rPr>
        <w:t>To adopt such rules, procedures and sub-plans relating to the operation and administration of the Plan as are necessary or appropriate under applicable local laws, regulations and procedures to permit or facilitate participation in the Plan by Employees who are foreign nationals or employed or located outside the United States.</w:t>
      </w:r>
    </w:p>
    <w:p>
      <w:pPr>
        <w:spacing w:after="0" w:line="127" w:lineRule="exact"/>
        <w:rPr>
          <w:rFonts w:ascii="Arial" w:cs="Arial" w:eastAsia="Arial" w:hAnsi="Arial"/>
          <w:sz w:val="18"/>
          <w:szCs w:val="18"/>
          <w:b w:val="1"/>
          <w:bCs w:val="1"/>
          <w:color w:val="auto"/>
        </w:rPr>
      </w:pPr>
    </w:p>
    <w:p>
      <w:pPr>
        <w:ind w:right="20" w:firstLine="526"/>
        <w:spacing w:after="0" w:line="254" w:lineRule="auto"/>
        <w:tabs>
          <w:tab w:leader="none" w:pos="943" w:val="left"/>
        </w:tabs>
        <w:numPr>
          <w:ilvl w:val="1"/>
          <w:numId w:val="64"/>
        </w:numPr>
        <w:rPr>
          <w:rFonts w:ascii="Arial" w:cs="Arial" w:eastAsia="Arial" w:hAnsi="Arial"/>
          <w:sz w:val="18"/>
          <w:szCs w:val="18"/>
          <w:b w:val="1"/>
          <w:bCs w:val="1"/>
          <w:color w:val="auto"/>
        </w:rPr>
      </w:pPr>
      <w:r>
        <w:rPr>
          <w:rFonts w:ascii="Arial" w:cs="Arial" w:eastAsia="Arial" w:hAnsi="Arial"/>
          <w:sz w:val="18"/>
          <w:szCs w:val="18"/>
          <w:color w:val="auto"/>
        </w:rPr>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The Board may retain the authority to concurrently administer the Plan with the Committee and may, at any time, revest in the Board some or all of the powers previously delegated. Whether or not the Board has delegated administration of the Plan to a Committee, the Board will have the final power to determine all questions of policy and expediency that may arise in the administration of the Plan.</w:t>
      </w:r>
    </w:p>
    <w:p>
      <w:pPr>
        <w:spacing w:after="0" w:line="138" w:lineRule="exact"/>
        <w:rPr>
          <w:rFonts w:ascii="Arial" w:cs="Arial" w:eastAsia="Arial" w:hAnsi="Arial"/>
          <w:sz w:val="18"/>
          <w:szCs w:val="18"/>
          <w:b w:val="1"/>
          <w:bCs w:val="1"/>
          <w:color w:val="auto"/>
        </w:rPr>
      </w:pPr>
    </w:p>
    <w:p>
      <w:pPr>
        <w:ind w:right="300" w:firstLine="526"/>
        <w:spacing w:after="0" w:line="277" w:lineRule="auto"/>
        <w:tabs>
          <w:tab w:leader="none" w:pos="963" w:val="left"/>
        </w:tabs>
        <w:numPr>
          <w:ilvl w:val="1"/>
          <w:numId w:val="64"/>
        </w:numPr>
        <w:rPr>
          <w:rFonts w:ascii="Arial" w:cs="Arial" w:eastAsia="Arial" w:hAnsi="Arial"/>
          <w:sz w:val="18"/>
          <w:szCs w:val="18"/>
          <w:b w:val="1"/>
          <w:bCs w:val="1"/>
          <w:color w:val="auto"/>
        </w:rPr>
      </w:pPr>
      <w:r>
        <w:rPr>
          <w:rFonts w:ascii="Arial" w:cs="Arial" w:eastAsia="Arial" w:hAnsi="Arial"/>
          <w:sz w:val="18"/>
          <w:szCs w:val="18"/>
          <w:color w:val="auto"/>
        </w:rPr>
        <w:t>All determinations, interpretations and constructions made by the Board in good faith will not be subject to review by any person and will be final, binding and conclusive on all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0" w:name="page51"/>
    <w:bookmarkEnd w:id="50"/>
    <w:p>
      <w:pPr>
        <w:ind w:left="352" w:hanging="352"/>
        <w:spacing w:after="0"/>
        <w:tabs>
          <w:tab w:leader="none" w:pos="352"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3"/>
          <w:szCs w:val="13"/>
          <w:b w:val="1"/>
          <w:bCs w:val="1"/>
          <w:color w:val="auto"/>
        </w:rPr>
        <w:t>HARES OF</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3"/>
          <w:szCs w:val="13"/>
          <w:b w:val="1"/>
          <w:bCs w:val="1"/>
          <w:color w:val="auto"/>
        </w:rPr>
        <w:t>TOCK</w:t>
      </w:r>
      <w:r>
        <w:rPr>
          <w:rFonts w:ascii="Arial" w:cs="Arial" w:eastAsia="Arial" w:hAnsi="Arial"/>
          <w:sz w:val="18"/>
          <w:szCs w:val="18"/>
          <w:b w:val="1"/>
          <w:bCs w:val="1"/>
          <w:color w:val="auto"/>
        </w:rPr>
        <w:t xml:space="preserve"> S</w:t>
      </w:r>
      <w:r>
        <w:rPr>
          <w:rFonts w:ascii="Arial" w:cs="Arial" w:eastAsia="Arial" w:hAnsi="Arial"/>
          <w:sz w:val="13"/>
          <w:szCs w:val="13"/>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18"/>
          <w:szCs w:val="18"/>
          <w:b w:val="1"/>
          <w:bCs w:val="1"/>
          <w:color w:val="auto"/>
        </w:rPr>
        <w:t>.</w:t>
      </w:r>
    </w:p>
    <w:p>
      <w:pPr>
        <w:spacing w:after="0" w:line="80" w:lineRule="exact"/>
        <w:rPr>
          <w:rFonts w:ascii="Arial" w:cs="Arial" w:eastAsia="Arial" w:hAnsi="Arial"/>
          <w:sz w:val="18"/>
          <w:szCs w:val="18"/>
          <w:b w:val="1"/>
          <w:bCs w:val="1"/>
          <w:color w:val="auto"/>
        </w:rPr>
      </w:pPr>
    </w:p>
    <w:p>
      <w:pPr>
        <w:ind w:left="-8" w:right="20" w:firstLine="1042"/>
        <w:spacing w:after="0" w:line="260" w:lineRule="auto"/>
        <w:tabs>
          <w:tab w:leader="none" w:pos="1461" w:val="left"/>
        </w:tabs>
        <w:numPr>
          <w:ilvl w:val="2"/>
          <w:numId w:val="65"/>
        </w:numPr>
        <w:rPr>
          <w:rFonts w:ascii="Arial" w:cs="Arial" w:eastAsia="Arial" w:hAnsi="Arial"/>
          <w:sz w:val="16"/>
          <w:szCs w:val="16"/>
          <w:b w:val="1"/>
          <w:bCs w:val="1"/>
          <w:color w:val="auto"/>
        </w:rPr>
      </w:pPr>
      <w:r>
        <w:rPr>
          <w:rFonts w:ascii="Arial" w:cs="Arial" w:eastAsia="Arial" w:hAnsi="Arial"/>
          <w:sz w:val="16"/>
          <w:szCs w:val="16"/>
          <w:color w:val="auto"/>
        </w:rPr>
        <w:t>Subject to the provisions of Section 11(a) relating to Capitalization Adjustments, the maximum number of shares of Common Stock that may be issued under the Plan will not exceed 243,699 shares of Common Stock, plus the number of shares of Common Stock that are automatically added on January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of each year for a period of up to ten years, commencing on the first January 1 following the year in which the IPO Date occurs and ending on (and including) January 1, 2028, in an amount equal to the lesser of (i) 1% of the total number of shares of Capital Stock outstanding on December 31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of the preceding calendar year, and (ii) 487,399 shares of Common Stock. Notwithstanding the foregoing, the Board may act prior to the first day of any calendar year to provide that there will be no January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increase in the share reserve for such calendar year or that the increase in the share reserve for such calendar year will be a lesser number of shares of Common Stock than would otherwise occur pursuant to the preceding sentence.</w:t>
      </w:r>
    </w:p>
    <w:p>
      <w:pPr>
        <w:spacing w:after="0" w:line="129" w:lineRule="exact"/>
        <w:rPr>
          <w:rFonts w:ascii="Arial" w:cs="Arial" w:eastAsia="Arial" w:hAnsi="Arial"/>
          <w:sz w:val="16"/>
          <w:szCs w:val="16"/>
          <w:b w:val="1"/>
          <w:bCs w:val="1"/>
          <w:color w:val="auto"/>
        </w:rPr>
      </w:pPr>
    </w:p>
    <w:p>
      <w:pPr>
        <w:ind w:left="-8" w:right="700" w:firstLine="1042"/>
        <w:spacing w:after="0" w:line="277" w:lineRule="auto"/>
        <w:tabs>
          <w:tab w:leader="none" w:pos="1471" w:val="left"/>
        </w:tabs>
        <w:numPr>
          <w:ilvl w:val="2"/>
          <w:numId w:val="65"/>
        </w:numPr>
        <w:rPr>
          <w:rFonts w:ascii="Arial" w:cs="Arial" w:eastAsia="Arial" w:hAnsi="Arial"/>
          <w:sz w:val="18"/>
          <w:szCs w:val="18"/>
          <w:b w:val="1"/>
          <w:bCs w:val="1"/>
          <w:color w:val="auto"/>
        </w:rPr>
      </w:pPr>
      <w:r>
        <w:rPr>
          <w:rFonts w:ascii="Arial" w:cs="Arial" w:eastAsia="Arial" w:hAnsi="Arial"/>
          <w:sz w:val="18"/>
          <w:szCs w:val="18"/>
          <w:color w:val="auto"/>
        </w:rPr>
        <w:t>If any Purchase Right granted under the Plan terminates without having been exercised in full, the shares of Common Stock not purchased under such Purchase Right will again become available for issuance under the Plan.</w:t>
      </w:r>
    </w:p>
    <w:p>
      <w:pPr>
        <w:spacing w:after="0" w:line="116" w:lineRule="exact"/>
        <w:rPr>
          <w:rFonts w:ascii="Arial" w:cs="Arial" w:eastAsia="Arial" w:hAnsi="Arial"/>
          <w:sz w:val="18"/>
          <w:szCs w:val="18"/>
          <w:b w:val="1"/>
          <w:bCs w:val="1"/>
          <w:color w:val="auto"/>
        </w:rPr>
      </w:pPr>
    </w:p>
    <w:p>
      <w:pPr>
        <w:ind w:left="-8" w:right="800" w:firstLine="1042"/>
        <w:spacing w:after="0" w:line="277" w:lineRule="auto"/>
        <w:tabs>
          <w:tab w:leader="none" w:pos="1450" w:val="left"/>
        </w:tabs>
        <w:numPr>
          <w:ilvl w:val="2"/>
          <w:numId w:val="65"/>
        </w:numPr>
        <w:rPr>
          <w:rFonts w:ascii="Arial" w:cs="Arial" w:eastAsia="Arial" w:hAnsi="Arial"/>
          <w:sz w:val="18"/>
          <w:szCs w:val="18"/>
          <w:b w:val="1"/>
          <w:bCs w:val="1"/>
          <w:color w:val="auto"/>
        </w:rPr>
      </w:pPr>
      <w:r>
        <w:rPr>
          <w:rFonts w:ascii="Arial" w:cs="Arial" w:eastAsia="Arial" w:hAnsi="Arial"/>
          <w:sz w:val="18"/>
          <w:szCs w:val="18"/>
          <w:color w:val="auto"/>
        </w:rPr>
        <w:t>The stock purchasable under the Plan will be shares of authorized but unissued or reacquired Common Stock, including shares repurchased by the Company on the open market.</w:t>
      </w:r>
    </w:p>
    <w:p>
      <w:pPr>
        <w:spacing w:after="0" w:line="206" w:lineRule="exact"/>
        <w:rPr>
          <w:rFonts w:ascii="Arial" w:cs="Arial" w:eastAsia="Arial" w:hAnsi="Arial"/>
          <w:sz w:val="18"/>
          <w:szCs w:val="18"/>
          <w:b w:val="1"/>
          <w:bCs w:val="1"/>
          <w:color w:val="auto"/>
        </w:rPr>
      </w:pPr>
    </w:p>
    <w:p>
      <w:pPr>
        <w:ind w:left="352" w:hanging="352"/>
        <w:spacing w:after="0"/>
        <w:tabs>
          <w:tab w:leader="none" w:pos="352"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3"/>
          <w:szCs w:val="13"/>
          <w:b w:val="1"/>
          <w:bCs w:val="1"/>
          <w:color w:val="auto"/>
        </w:rPr>
        <w:t>RANT OF</w:t>
      </w:r>
      <w:r>
        <w:rPr>
          <w:rFonts w:ascii="Arial" w:cs="Arial" w:eastAsia="Arial" w:hAnsi="Arial"/>
          <w:sz w:val="18"/>
          <w:szCs w:val="18"/>
          <w:b w:val="1"/>
          <w:bCs w:val="1"/>
          <w:color w:val="auto"/>
        </w:rPr>
        <w:t xml:space="preserve"> P</w:t>
      </w:r>
      <w:r>
        <w:rPr>
          <w:rFonts w:ascii="Arial" w:cs="Arial" w:eastAsia="Arial" w:hAnsi="Arial"/>
          <w:sz w:val="13"/>
          <w:szCs w:val="13"/>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8"/>
          <w:szCs w:val="18"/>
          <w:b w:val="1"/>
          <w:bCs w:val="1"/>
          <w:color w:val="auto"/>
        </w:rPr>
        <w:t>; O</w:t>
      </w:r>
      <w:r>
        <w:rPr>
          <w:rFonts w:ascii="Arial" w:cs="Arial" w:eastAsia="Arial" w:hAnsi="Arial"/>
          <w:sz w:val="13"/>
          <w:szCs w:val="13"/>
          <w:b w:val="1"/>
          <w:bCs w:val="1"/>
          <w:color w:val="auto"/>
        </w:rPr>
        <w:t>FFERING</w:t>
      </w:r>
      <w:r>
        <w:rPr>
          <w:rFonts w:ascii="Arial" w:cs="Arial" w:eastAsia="Arial" w:hAnsi="Arial"/>
          <w:sz w:val="18"/>
          <w:szCs w:val="18"/>
          <w:b w:val="1"/>
          <w:bCs w:val="1"/>
          <w:color w:val="auto"/>
        </w:rPr>
        <w:t>.</w:t>
      </w:r>
    </w:p>
    <w:p>
      <w:pPr>
        <w:spacing w:after="0" w:line="80" w:lineRule="exact"/>
        <w:rPr>
          <w:rFonts w:ascii="Arial" w:cs="Arial" w:eastAsia="Arial" w:hAnsi="Arial"/>
          <w:sz w:val="18"/>
          <w:szCs w:val="18"/>
          <w:b w:val="1"/>
          <w:bCs w:val="1"/>
          <w:color w:val="auto"/>
        </w:rPr>
      </w:pPr>
    </w:p>
    <w:p>
      <w:pPr>
        <w:ind w:left="-8" w:firstLine="526"/>
        <w:spacing w:after="0" w:line="291" w:lineRule="auto"/>
        <w:tabs>
          <w:tab w:leader="none" w:pos="945" w:val="left"/>
        </w:tabs>
        <w:numPr>
          <w:ilvl w:val="1"/>
          <w:numId w:val="65"/>
        </w:numPr>
        <w:rPr>
          <w:rFonts w:ascii="Arial" w:cs="Arial" w:eastAsia="Arial" w:hAnsi="Arial"/>
          <w:sz w:val="16"/>
          <w:szCs w:val="16"/>
          <w:b w:val="1"/>
          <w:bCs w:val="1"/>
          <w:color w:val="auto"/>
        </w:rPr>
      </w:pPr>
      <w:r>
        <w:rPr>
          <w:rFonts w:ascii="Arial" w:cs="Arial" w:eastAsia="Arial" w:hAnsi="Arial"/>
          <w:sz w:val="16"/>
          <w:szCs w:val="16"/>
          <w:color w:val="auto"/>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spacing w:after="0" w:line="113" w:lineRule="exact"/>
        <w:rPr>
          <w:rFonts w:ascii="Arial" w:cs="Arial" w:eastAsia="Arial" w:hAnsi="Arial"/>
          <w:sz w:val="16"/>
          <w:szCs w:val="16"/>
          <w:b w:val="1"/>
          <w:bCs w:val="1"/>
          <w:color w:val="auto"/>
        </w:rPr>
      </w:pPr>
    </w:p>
    <w:p>
      <w:pPr>
        <w:jc w:val="both"/>
        <w:ind w:left="-8" w:right="300" w:firstLine="526"/>
        <w:spacing w:after="0" w:line="302" w:lineRule="auto"/>
        <w:tabs>
          <w:tab w:leader="none" w:pos="955" w:val="left"/>
        </w:tabs>
        <w:numPr>
          <w:ilvl w:val="1"/>
          <w:numId w:val="65"/>
        </w:numPr>
        <w:rPr>
          <w:rFonts w:ascii="Arial" w:cs="Arial" w:eastAsia="Arial" w:hAnsi="Arial"/>
          <w:sz w:val="16"/>
          <w:szCs w:val="16"/>
          <w:b w:val="1"/>
          <w:bCs w:val="1"/>
          <w:color w:val="auto"/>
        </w:rPr>
      </w:pPr>
      <w:r>
        <w:rPr>
          <w:rFonts w:ascii="Arial" w:cs="Arial" w:eastAsia="Arial" w:hAnsi="Arial"/>
          <w:sz w:val="16"/>
          <w:szCs w:val="16"/>
          <w:color w:val="auto"/>
        </w:rPr>
        <w:t>If a Participant has more than one Purchase Right outstanding under the Plan, unless he or she otherwise indicates in forms delivered to the Company: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100" w:lineRule="exact"/>
        <w:rPr>
          <w:rFonts w:ascii="Arial" w:cs="Arial" w:eastAsia="Arial" w:hAnsi="Arial"/>
          <w:sz w:val="16"/>
          <w:szCs w:val="16"/>
          <w:b w:val="1"/>
          <w:bCs w:val="1"/>
          <w:color w:val="auto"/>
        </w:rPr>
      </w:pPr>
    </w:p>
    <w:p>
      <w:pPr>
        <w:ind w:left="-8" w:right="20" w:firstLine="526"/>
        <w:spacing w:after="0" w:line="259" w:lineRule="auto"/>
        <w:tabs>
          <w:tab w:leader="none" w:pos="935"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196" w:lineRule="exact"/>
        <w:rPr>
          <w:rFonts w:ascii="Arial" w:cs="Arial" w:eastAsia="Arial" w:hAnsi="Arial"/>
          <w:sz w:val="18"/>
          <w:szCs w:val="18"/>
          <w:b w:val="1"/>
          <w:bCs w:val="1"/>
          <w:color w:val="auto"/>
        </w:rPr>
      </w:pPr>
    </w:p>
    <w:p>
      <w:pPr>
        <w:ind w:left="352" w:hanging="352"/>
        <w:spacing w:after="0"/>
        <w:tabs>
          <w:tab w:leader="none" w:pos="352"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3"/>
          <w:szCs w:val="13"/>
          <w:b w:val="1"/>
          <w:bCs w:val="1"/>
          <w:color w:val="auto"/>
        </w:rPr>
        <w:t>LIGIBILITY</w:t>
      </w:r>
      <w:r>
        <w:rPr>
          <w:rFonts w:ascii="Arial" w:cs="Arial" w:eastAsia="Arial" w:hAnsi="Arial"/>
          <w:sz w:val="18"/>
          <w:szCs w:val="18"/>
          <w:b w:val="1"/>
          <w:bCs w:val="1"/>
          <w:color w:val="auto"/>
        </w:rPr>
        <w:t>.</w:t>
      </w:r>
    </w:p>
    <w:p>
      <w:pPr>
        <w:spacing w:after="0" w:line="94" w:lineRule="exact"/>
        <w:rPr>
          <w:rFonts w:ascii="Arial" w:cs="Arial" w:eastAsia="Arial" w:hAnsi="Arial"/>
          <w:sz w:val="18"/>
          <w:szCs w:val="18"/>
          <w:b w:val="1"/>
          <w:bCs w:val="1"/>
          <w:color w:val="auto"/>
        </w:rPr>
      </w:pPr>
    </w:p>
    <w:p>
      <w:pPr>
        <w:ind w:left="-8" w:right="200" w:firstLine="526"/>
        <w:spacing w:after="0" w:line="270" w:lineRule="auto"/>
        <w:tabs>
          <w:tab w:leader="none" w:pos="945" w:val="left"/>
        </w:tabs>
        <w:numPr>
          <w:ilvl w:val="1"/>
          <w:numId w:val="65"/>
        </w:numPr>
        <w:rPr>
          <w:rFonts w:ascii="Arial" w:cs="Arial" w:eastAsia="Arial" w:hAnsi="Arial"/>
          <w:sz w:val="17"/>
          <w:szCs w:val="17"/>
          <w:b w:val="1"/>
          <w:bCs w:val="1"/>
          <w:color w:val="auto"/>
        </w:rPr>
      </w:pPr>
      <w:r>
        <w:rPr>
          <w:rFonts w:ascii="Arial" w:cs="Arial" w:eastAsia="Arial" w:hAnsi="Arial"/>
          <w:sz w:val="17"/>
          <w:szCs w:val="17"/>
          <w:color w:val="auto"/>
        </w:rPr>
        <w:t>Purchase Rights may be granted only to Employees of the Company or, as the Board may designate in accordance with Section 2(b), to Employees of a Related Corporation. Except as provided in Section 5(b), an Employee will not be eligible to be granted Purchase Rights unless, on the Offering Date, the Employee has been in the employ of the Company or the Related Corporation, as the case may be, for such continuous period preceding such Offering Date as the Board may require, but in no event will the required period of continuous employment be equal to or greater than two years. In addition, the Board may (unless prohibited by law) provide that no Employee will be eligible to be granted Purchase Rights under the Plan unless, on the Offering Date, such Employee’s customary employment with the Company or the Related Corporation is more than 20 hours per week and more than five months per calendar year or such other criteria as the Board may determine consistent with Section 423 of the Code. The Board may also exclude from participation in the Plan or any Offering Employees who are “highly compensated employees” (within the meaning of Section 414(q) of the Code) of the Company or a Related Corporation or a subset of such highly compensated employees.</w:t>
      </w:r>
    </w:p>
    <w:p>
      <w:pPr>
        <w:spacing w:after="0" w:line="35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337" w:right="279" w:bottom="1440" w:gutter="0" w:footer="0" w:header="0"/>
        </w:sectPr>
      </w:pPr>
    </w:p>
    <w:bookmarkStart w:id="51" w:name="page52"/>
    <w:bookmarkEnd w:id="51"/>
    <w:p>
      <w:pPr>
        <w:ind w:left="-8" w:right="260" w:firstLine="526"/>
        <w:spacing w:after="0" w:line="279" w:lineRule="auto"/>
        <w:tabs>
          <w:tab w:leader="none" w:pos="955" w:val="left"/>
        </w:tabs>
        <w:numPr>
          <w:ilvl w:val="1"/>
          <w:numId w:val="66"/>
        </w:numPr>
        <w:rPr>
          <w:rFonts w:ascii="Arial" w:cs="Arial" w:eastAsia="Arial" w:hAnsi="Arial"/>
          <w:sz w:val="17"/>
          <w:szCs w:val="17"/>
          <w:b w:val="1"/>
          <w:bCs w:val="1"/>
          <w:color w:val="auto"/>
        </w:rPr>
      </w:pPr>
      <w:r>
        <w:rPr>
          <w:rFonts w:ascii="Arial" w:cs="Arial" w:eastAsia="Arial" w:hAnsi="Arial"/>
          <w:sz w:val="17"/>
          <w:szCs w:val="17"/>
          <w:color w:val="auto"/>
        </w:rPr>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22" w:lineRule="exact"/>
        <w:rPr>
          <w:rFonts w:ascii="Arial" w:cs="Arial" w:eastAsia="Arial" w:hAnsi="Arial"/>
          <w:sz w:val="17"/>
          <w:szCs w:val="17"/>
          <w:b w:val="1"/>
          <w:bCs w:val="1"/>
          <w:color w:val="auto"/>
        </w:rPr>
      </w:pPr>
    </w:p>
    <w:p>
      <w:pPr>
        <w:ind w:left="512" w:right="820" w:firstLine="499"/>
        <w:spacing w:after="0" w:line="277" w:lineRule="auto"/>
        <w:tabs>
          <w:tab w:leader="none" w:pos="1401" w:val="left"/>
        </w:tabs>
        <w:numPr>
          <w:ilvl w:val="2"/>
          <w:numId w:val="66"/>
        </w:numPr>
        <w:rPr>
          <w:rFonts w:ascii="Arial" w:cs="Arial" w:eastAsia="Arial" w:hAnsi="Arial"/>
          <w:sz w:val="18"/>
          <w:szCs w:val="18"/>
          <w:b w:val="1"/>
          <w:bCs w:val="1"/>
          <w:color w:val="auto"/>
        </w:rPr>
      </w:pPr>
      <w:r>
        <w:rPr>
          <w:rFonts w:ascii="Arial" w:cs="Arial" w:eastAsia="Arial" w:hAnsi="Arial"/>
          <w:sz w:val="18"/>
          <w:szCs w:val="18"/>
          <w:color w:val="auto"/>
        </w:rPr>
        <w:t>the date on which such Purchase Right is granted will be the “Offering Date” of such Purchase Right for all purposes, including determination of the exercise price of such Purchase Right;</w:t>
      </w:r>
    </w:p>
    <w:p>
      <w:pPr>
        <w:spacing w:after="0" w:line="35" w:lineRule="exact"/>
        <w:rPr>
          <w:rFonts w:ascii="Arial" w:cs="Arial" w:eastAsia="Arial" w:hAnsi="Arial"/>
          <w:sz w:val="18"/>
          <w:szCs w:val="18"/>
          <w:b w:val="1"/>
          <w:bCs w:val="1"/>
          <w:color w:val="auto"/>
        </w:rPr>
      </w:pPr>
    </w:p>
    <w:p>
      <w:pPr>
        <w:ind w:left="512" w:right="320" w:firstLine="499"/>
        <w:spacing w:after="0" w:line="277" w:lineRule="auto"/>
        <w:tabs>
          <w:tab w:leader="none" w:pos="1451" w:val="left"/>
        </w:tabs>
        <w:numPr>
          <w:ilvl w:val="2"/>
          <w:numId w:val="66"/>
        </w:numPr>
        <w:rPr>
          <w:rFonts w:ascii="Arial" w:cs="Arial" w:eastAsia="Arial" w:hAnsi="Arial"/>
          <w:sz w:val="18"/>
          <w:szCs w:val="18"/>
          <w:b w:val="1"/>
          <w:bCs w:val="1"/>
          <w:color w:val="auto"/>
        </w:rPr>
      </w:pPr>
      <w:r>
        <w:rPr>
          <w:rFonts w:ascii="Arial" w:cs="Arial" w:eastAsia="Arial" w:hAnsi="Arial"/>
          <w:sz w:val="18"/>
          <w:szCs w:val="18"/>
          <w:color w:val="auto"/>
        </w:rPr>
        <w:t>the period of the Offering with respect to such Purchase Right will begin on its Offering Date and end coincident with the end of such Offering; and</w:t>
      </w:r>
    </w:p>
    <w:p>
      <w:pPr>
        <w:spacing w:after="0" w:line="21" w:lineRule="exact"/>
        <w:rPr>
          <w:rFonts w:ascii="Arial" w:cs="Arial" w:eastAsia="Arial" w:hAnsi="Arial"/>
          <w:sz w:val="18"/>
          <w:szCs w:val="18"/>
          <w:b w:val="1"/>
          <w:bCs w:val="1"/>
          <w:color w:val="auto"/>
        </w:rPr>
      </w:pPr>
    </w:p>
    <w:p>
      <w:pPr>
        <w:ind w:left="512" w:right="340" w:firstLine="499"/>
        <w:spacing w:after="0" w:line="277" w:lineRule="auto"/>
        <w:tabs>
          <w:tab w:leader="none" w:pos="1501" w:val="left"/>
        </w:tabs>
        <w:numPr>
          <w:ilvl w:val="2"/>
          <w:numId w:val="66"/>
        </w:numPr>
        <w:rPr>
          <w:rFonts w:ascii="Arial" w:cs="Arial" w:eastAsia="Arial" w:hAnsi="Arial"/>
          <w:sz w:val="18"/>
          <w:szCs w:val="18"/>
          <w:b w:val="1"/>
          <w:bCs w:val="1"/>
          <w:color w:val="auto"/>
        </w:rPr>
      </w:pPr>
      <w:r>
        <w:rPr>
          <w:rFonts w:ascii="Arial" w:cs="Arial" w:eastAsia="Arial" w:hAnsi="Arial"/>
          <w:sz w:val="18"/>
          <w:szCs w:val="18"/>
          <w:color w:val="auto"/>
        </w:rPr>
        <w:t>the Board may provide that if such person first becomes an Eligible Employee within a specified period of time before the end of the Offering, he or she will not receive any Purchase Right under that Offering.</w:t>
      </w:r>
    </w:p>
    <w:p>
      <w:pPr>
        <w:spacing w:after="0" w:line="116" w:lineRule="exact"/>
        <w:rPr>
          <w:rFonts w:ascii="Arial" w:cs="Arial" w:eastAsia="Arial" w:hAnsi="Arial"/>
          <w:sz w:val="18"/>
          <w:szCs w:val="18"/>
          <w:b w:val="1"/>
          <w:bCs w:val="1"/>
          <w:color w:val="auto"/>
        </w:rPr>
      </w:pPr>
    </w:p>
    <w:p>
      <w:pPr>
        <w:ind w:left="-8" w:right="40" w:firstLine="526"/>
        <w:spacing w:after="0" w:line="302" w:lineRule="auto"/>
        <w:tabs>
          <w:tab w:leader="none" w:pos="935" w:val="left"/>
        </w:tabs>
        <w:numPr>
          <w:ilvl w:val="1"/>
          <w:numId w:val="66"/>
        </w:numPr>
        <w:rPr>
          <w:rFonts w:ascii="Arial" w:cs="Arial" w:eastAsia="Arial" w:hAnsi="Arial"/>
          <w:sz w:val="16"/>
          <w:szCs w:val="16"/>
          <w:b w:val="1"/>
          <w:bCs w:val="1"/>
          <w:color w:val="auto"/>
        </w:rPr>
      </w:pPr>
      <w:r>
        <w:rPr>
          <w:rFonts w:ascii="Arial" w:cs="Arial" w:eastAsia="Arial" w:hAnsi="Arial"/>
          <w:sz w:val="16"/>
          <w:szCs w:val="16"/>
          <w:color w:val="auto"/>
        </w:rPr>
        <w:t>No Employee will be eligible for the grant of any Purchase Rights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100" w:lineRule="exact"/>
        <w:rPr>
          <w:rFonts w:ascii="Arial" w:cs="Arial" w:eastAsia="Arial" w:hAnsi="Arial"/>
          <w:sz w:val="16"/>
          <w:szCs w:val="16"/>
          <w:b w:val="1"/>
          <w:bCs w:val="1"/>
          <w:color w:val="auto"/>
        </w:rPr>
      </w:pPr>
    </w:p>
    <w:p>
      <w:pPr>
        <w:ind w:left="-8" w:right="320" w:firstLine="526"/>
        <w:spacing w:after="0" w:line="276" w:lineRule="auto"/>
        <w:tabs>
          <w:tab w:leader="none" w:pos="955" w:val="left"/>
        </w:tabs>
        <w:numPr>
          <w:ilvl w:val="1"/>
          <w:numId w:val="66"/>
        </w:numPr>
        <w:rPr>
          <w:rFonts w:ascii="Arial" w:cs="Arial" w:eastAsia="Arial" w:hAnsi="Arial"/>
          <w:sz w:val="17"/>
          <w:szCs w:val="17"/>
          <w:b w:val="1"/>
          <w:bCs w:val="1"/>
          <w:color w:val="auto"/>
        </w:rPr>
      </w:pPr>
      <w:r>
        <w:rPr>
          <w:rFonts w:ascii="Arial" w:cs="Arial" w:eastAsia="Arial" w:hAnsi="Arial"/>
          <w:sz w:val="17"/>
          <w:szCs w:val="17"/>
          <w:color w:val="auto"/>
        </w:rPr>
        <w:t>As specified by Section 423(b)(8) of the Code, an Eligible Employee may be granted Purchase Rights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US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118" w:lineRule="exact"/>
        <w:rPr>
          <w:rFonts w:ascii="Arial" w:cs="Arial" w:eastAsia="Arial" w:hAnsi="Arial"/>
          <w:sz w:val="17"/>
          <w:szCs w:val="17"/>
          <w:b w:val="1"/>
          <w:bCs w:val="1"/>
          <w:color w:val="auto"/>
        </w:rPr>
      </w:pPr>
    </w:p>
    <w:p>
      <w:pPr>
        <w:jc w:val="both"/>
        <w:ind w:left="-8" w:right="320" w:firstLine="526"/>
        <w:spacing w:after="0" w:line="286" w:lineRule="auto"/>
        <w:tabs>
          <w:tab w:leader="none" w:pos="935" w:val="left"/>
        </w:tabs>
        <w:numPr>
          <w:ilvl w:val="1"/>
          <w:numId w:val="66"/>
        </w:numPr>
        <w:rPr>
          <w:rFonts w:ascii="Arial" w:cs="Arial" w:eastAsia="Arial" w:hAnsi="Arial"/>
          <w:sz w:val="17"/>
          <w:szCs w:val="17"/>
          <w:b w:val="1"/>
          <w:bCs w:val="1"/>
          <w:color w:val="auto"/>
        </w:rPr>
      </w:pPr>
      <w:r>
        <w:rPr>
          <w:rFonts w:ascii="Arial" w:cs="Arial" w:eastAsia="Arial" w:hAnsi="Arial"/>
          <w:sz w:val="17"/>
          <w:szCs w:val="17"/>
          <w:color w:val="auto"/>
        </w:rPr>
        <w:t>Officers of the Company and any designated Related Corporation, if they are otherwise Eligible Employees, will be eligible to participate in Offerings under the Plan. Notwithstanding the foregoing, the Board may (unless prohibited by law) provide in an Offering that Employees who are highly compensated Employees within the meaning of Section 423(b)(4)(D) of the Code will not be eligible to participate.</w:t>
      </w:r>
    </w:p>
    <w:p>
      <w:pPr>
        <w:spacing w:after="0" w:line="175" w:lineRule="exact"/>
        <w:rPr>
          <w:rFonts w:ascii="Arial" w:cs="Arial" w:eastAsia="Arial" w:hAnsi="Arial"/>
          <w:sz w:val="17"/>
          <w:szCs w:val="17"/>
          <w:b w:val="1"/>
          <w:bCs w:val="1"/>
          <w:color w:val="auto"/>
        </w:rPr>
      </w:pPr>
    </w:p>
    <w:p>
      <w:pPr>
        <w:ind w:left="352" w:hanging="352"/>
        <w:spacing w:after="0"/>
        <w:tabs>
          <w:tab w:leader="none" w:pos="352"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3"/>
          <w:szCs w:val="13"/>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8"/>
          <w:szCs w:val="18"/>
          <w:b w:val="1"/>
          <w:bCs w:val="1"/>
          <w:color w:val="auto"/>
        </w:rPr>
        <w:t>; P</w:t>
      </w:r>
      <w:r>
        <w:rPr>
          <w:rFonts w:ascii="Arial" w:cs="Arial" w:eastAsia="Arial" w:hAnsi="Arial"/>
          <w:sz w:val="13"/>
          <w:szCs w:val="13"/>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3"/>
          <w:szCs w:val="13"/>
          <w:b w:val="1"/>
          <w:bCs w:val="1"/>
          <w:color w:val="auto"/>
        </w:rPr>
        <w:t>RICE</w:t>
      </w:r>
      <w:r>
        <w:rPr>
          <w:rFonts w:ascii="Arial" w:cs="Arial" w:eastAsia="Arial" w:hAnsi="Arial"/>
          <w:sz w:val="18"/>
          <w:szCs w:val="18"/>
          <w:b w:val="1"/>
          <w:bCs w:val="1"/>
          <w:color w:val="auto"/>
        </w:rPr>
        <w:t>.</w:t>
      </w:r>
    </w:p>
    <w:p>
      <w:pPr>
        <w:spacing w:after="0" w:line="94" w:lineRule="exact"/>
        <w:rPr>
          <w:rFonts w:ascii="Arial" w:cs="Arial" w:eastAsia="Arial" w:hAnsi="Arial"/>
          <w:sz w:val="18"/>
          <w:szCs w:val="18"/>
          <w:b w:val="1"/>
          <w:bCs w:val="1"/>
          <w:color w:val="auto"/>
        </w:rPr>
      </w:pPr>
    </w:p>
    <w:p>
      <w:pPr>
        <w:ind w:left="-8" w:firstLine="526"/>
        <w:spacing w:after="0" w:line="257" w:lineRule="auto"/>
        <w:tabs>
          <w:tab w:leader="none" w:pos="945" w:val="left"/>
        </w:tabs>
        <w:numPr>
          <w:ilvl w:val="1"/>
          <w:numId w:val="67"/>
        </w:numPr>
        <w:rPr>
          <w:rFonts w:ascii="Arial" w:cs="Arial" w:eastAsia="Arial" w:hAnsi="Arial"/>
          <w:sz w:val="18"/>
          <w:szCs w:val="18"/>
          <w:b w:val="1"/>
          <w:bCs w:val="1"/>
          <w:color w:val="auto"/>
        </w:rPr>
      </w:pPr>
      <w:r>
        <w:rPr>
          <w:rFonts w:ascii="Arial" w:cs="Arial" w:eastAsia="Arial" w:hAnsi="Arial"/>
          <w:sz w:val="18"/>
          <w:szCs w:val="18"/>
          <w:color w:val="auto"/>
        </w:rPr>
        <w:t>On each Offering Date, each Eligible Employee, pursuant to an Offering made under the Plan, will be granted a Purchase Right to purchase up to that number of shares of Common Stock purchasable either with a percentage or with a maximum dollar amount, as designated by the Board, but in either case not exceeding 15% of such Employee’s earnings (as defined by the Board in each Offering) during the period that begins on the Offering Date (or such later date as the Board determines for a particular Offering) and ends on the date stated in the Offering, which date will be no later than the end of the Offering.</w:t>
      </w:r>
    </w:p>
    <w:p>
      <w:pPr>
        <w:spacing w:after="0" w:line="147" w:lineRule="exact"/>
        <w:rPr>
          <w:rFonts w:ascii="Arial" w:cs="Arial" w:eastAsia="Arial" w:hAnsi="Arial"/>
          <w:sz w:val="18"/>
          <w:szCs w:val="18"/>
          <w:b w:val="1"/>
          <w:bCs w:val="1"/>
          <w:color w:val="auto"/>
        </w:rPr>
      </w:pPr>
    </w:p>
    <w:p>
      <w:pPr>
        <w:ind w:left="-8" w:right="220" w:firstLine="526"/>
        <w:spacing w:after="0" w:line="277" w:lineRule="auto"/>
        <w:tabs>
          <w:tab w:leader="none" w:pos="955" w:val="left"/>
        </w:tabs>
        <w:numPr>
          <w:ilvl w:val="1"/>
          <w:numId w:val="67"/>
        </w:numPr>
        <w:rPr>
          <w:rFonts w:ascii="Arial" w:cs="Arial" w:eastAsia="Arial" w:hAnsi="Arial"/>
          <w:sz w:val="18"/>
          <w:szCs w:val="18"/>
          <w:b w:val="1"/>
          <w:bCs w:val="1"/>
          <w:color w:val="auto"/>
        </w:rPr>
      </w:pPr>
      <w:r>
        <w:rPr>
          <w:rFonts w:ascii="Arial" w:cs="Arial" w:eastAsia="Arial" w:hAnsi="Arial"/>
          <w:sz w:val="18"/>
          <w:szCs w:val="18"/>
          <w:color w:val="auto"/>
        </w:rPr>
        <w:t>The Board will establish one or more Purchase Dates during an Offering on which Purchase Rights granted for that Offering will be exercised and shares of Common Stock will be purchased in accordance with such Offering.</w:t>
      </w:r>
    </w:p>
    <w:p>
      <w:pPr>
        <w:spacing w:after="0" w:line="116" w:lineRule="exact"/>
        <w:rPr>
          <w:rFonts w:ascii="Arial" w:cs="Arial" w:eastAsia="Arial" w:hAnsi="Arial"/>
          <w:sz w:val="18"/>
          <w:szCs w:val="18"/>
          <w:b w:val="1"/>
          <w:bCs w:val="1"/>
          <w:color w:val="auto"/>
        </w:rPr>
      </w:pPr>
    </w:p>
    <w:p>
      <w:pPr>
        <w:ind w:left="-8" w:right="60" w:firstLine="526"/>
        <w:spacing w:after="0" w:line="272" w:lineRule="auto"/>
        <w:tabs>
          <w:tab w:leader="none" w:pos="935" w:val="left"/>
        </w:tabs>
        <w:numPr>
          <w:ilvl w:val="1"/>
          <w:numId w:val="67"/>
        </w:numPr>
        <w:rPr>
          <w:rFonts w:ascii="Arial" w:cs="Arial" w:eastAsia="Arial" w:hAnsi="Arial"/>
          <w:sz w:val="17"/>
          <w:szCs w:val="17"/>
          <w:b w:val="1"/>
          <w:bCs w:val="1"/>
          <w:color w:val="auto"/>
        </w:rPr>
      </w:pPr>
      <w:r>
        <w:rPr>
          <w:rFonts w:ascii="Arial" w:cs="Arial" w:eastAsia="Arial" w:hAnsi="Arial"/>
          <w:sz w:val="17"/>
          <w:szCs w:val="17"/>
          <w:color w:val="auto"/>
        </w:rPr>
        <w:t>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(rounded down to the nearest whole share) available will be made in as nearly a uniform manner as will be practicable and equitable.</w:t>
      </w:r>
    </w:p>
    <w:p>
      <w:pPr>
        <w:spacing w:after="0" w:line="123" w:lineRule="exact"/>
        <w:rPr>
          <w:rFonts w:ascii="Arial" w:cs="Arial" w:eastAsia="Arial" w:hAnsi="Arial"/>
          <w:sz w:val="17"/>
          <w:szCs w:val="17"/>
          <w:b w:val="1"/>
          <w:bCs w:val="1"/>
          <w:color w:val="auto"/>
        </w:rPr>
      </w:pPr>
    </w:p>
    <w:p>
      <w:pPr>
        <w:ind w:left="972" w:hanging="454"/>
        <w:spacing w:after="0"/>
        <w:tabs>
          <w:tab w:leader="none" w:pos="972" w:val="left"/>
        </w:tabs>
        <w:numPr>
          <w:ilvl w:val="1"/>
          <w:numId w:val="67"/>
        </w:numPr>
        <w:rPr>
          <w:rFonts w:ascii="Arial" w:cs="Arial" w:eastAsia="Arial" w:hAnsi="Arial"/>
          <w:sz w:val="18"/>
          <w:szCs w:val="18"/>
          <w:b w:val="1"/>
          <w:bCs w:val="1"/>
          <w:color w:val="auto"/>
        </w:rPr>
      </w:pPr>
      <w:r>
        <w:rPr>
          <w:rFonts w:ascii="Arial" w:cs="Arial" w:eastAsia="Arial" w:hAnsi="Arial"/>
          <w:sz w:val="18"/>
          <w:szCs w:val="18"/>
          <w:color w:val="auto"/>
        </w:rPr>
        <w:t>The purchase price of shares of Common Stock acquired pursuant to Purchase Rights will be not less than the lesser of:</w:t>
      </w:r>
    </w:p>
    <w:p>
      <w:pPr>
        <w:spacing w:after="0" w:line="76" w:lineRule="exact"/>
        <w:rPr>
          <w:rFonts w:ascii="Arial" w:cs="Arial" w:eastAsia="Arial" w:hAnsi="Arial"/>
          <w:sz w:val="18"/>
          <w:szCs w:val="18"/>
          <w:b w:val="1"/>
          <w:bCs w:val="1"/>
          <w:color w:val="auto"/>
        </w:rPr>
      </w:pPr>
    </w:p>
    <w:p>
      <w:pPr>
        <w:ind w:left="1432" w:hanging="398"/>
        <w:spacing w:after="0"/>
        <w:tabs>
          <w:tab w:leader="none" w:pos="1432" w:val="left"/>
        </w:tabs>
        <w:numPr>
          <w:ilvl w:val="3"/>
          <w:numId w:val="67"/>
        </w:numPr>
        <w:rPr>
          <w:rFonts w:ascii="Arial" w:cs="Arial" w:eastAsia="Arial" w:hAnsi="Arial"/>
          <w:sz w:val="18"/>
          <w:szCs w:val="18"/>
          <w:b w:val="1"/>
          <w:bCs w:val="1"/>
          <w:color w:val="auto"/>
        </w:rPr>
      </w:pPr>
      <w:r>
        <w:rPr>
          <w:rFonts w:ascii="Arial" w:cs="Arial" w:eastAsia="Arial" w:hAnsi="Arial"/>
          <w:sz w:val="18"/>
          <w:szCs w:val="18"/>
          <w:color w:val="auto"/>
        </w:rPr>
        <w:t>an amount equal to 85% of the Fair Market Value of the shares of Common Stock on the Offering Date; or</w:t>
      </w:r>
    </w:p>
    <w:p>
      <w:pPr>
        <w:spacing w:after="0" w:line="76" w:lineRule="exact"/>
        <w:rPr>
          <w:rFonts w:ascii="Arial" w:cs="Arial" w:eastAsia="Arial" w:hAnsi="Arial"/>
          <w:sz w:val="18"/>
          <w:szCs w:val="18"/>
          <w:b w:val="1"/>
          <w:bCs w:val="1"/>
          <w:color w:val="auto"/>
        </w:rPr>
      </w:pPr>
    </w:p>
    <w:p>
      <w:pPr>
        <w:ind w:left="1472" w:hanging="438"/>
        <w:spacing w:after="0"/>
        <w:tabs>
          <w:tab w:leader="none" w:pos="1472" w:val="left"/>
        </w:tabs>
        <w:numPr>
          <w:ilvl w:val="3"/>
          <w:numId w:val="67"/>
        </w:numPr>
        <w:rPr>
          <w:rFonts w:ascii="Arial" w:cs="Arial" w:eastAsia="Arial" w:hAnsi="Arial"/>
          <w:sz w:val="18"/>
          <w:szCs w:val="18"/>
          <w:b w:val="1"/>
          <w:bCs w:val="1"/>
          <w:color w:val="auto"/>
        </w:rPr>
      </w:pPr>
      <w:r>
        <w:rPr>
          <w:rFonts w:ascii="Arial" w:cs="Arial" w:eastAsia="Arial" w:hAnsi="Arial"/>
          <w:sz w:val="18"/>
          <w:szCs w:val="18"/>
          <w:color w:val="auto"/>
        </w:rPr>
        <w:t>an amount equal to 85% of the Fair Market Value of the shares of Common Stock on the applicable Purchase Date.</w:t>
      </w:r>
    </w:p>
    <w:p>
      <w:pPr>
        <w:spacing w:after="0" w:line="248" w:lineRule="exact"/>
        <w:rPr>
          <w:rFonts w:ascii="Arial" w:cs="Arial" w:eastAsia="Arial" w:hAnsi="Arial"/>
          <w:sz w:val="18"/>
          <w:szCs w:val="18"/>
          <w:b w:val="1"/>
          <w:bCs w:val="1"/>
          <w:color w:val="auto"/>
        </w:rPr>
      </w:pPr>
    </w:p>
    <w:p>
      <w:pPr>
        <w:ind w:left="352" w:hanging="352"/>
        <w:spacing w:after="0"/>
        <w:tabs>
          <w:tab w:leader="none" w:pos="352"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3"/>
          <w:szCs w:val="13"/>
          <w:b w:val="1"/>
          <w:bCs w:val="1"/>
          <w:color w:val="auto"/>
        </w:rPr>
        <w:t>ARTICIPATION</w:t>
      </w:r>
      <w:r>
        <w:rPr>
          <w:rFonts w:ascii="Arial" w:cs="Arial" w:eastAsia="Arial" w:hAnsi="Arial"/>
          <w:sz w:val="18"/>
          <w:szCs w:val="18"/>
          <w:b w:val="1"/>
          <w:bCs w:val="1"/>
          <w:color w:val="auto"/>
        </w:rPr>
        <w:t>; W</w:t>
      </w:r>
      <w:r>
        <w:rPr>
          <w:rFonts w:ascii="Arial" w:cs="Arial" w:eastAsia="Arial" w:hAnsi="Arial"/>
          <w:sz w:val="13"/>
          <w:szCs w:val="13"/>
          <w:b w:val="1"/>
          <w:bCs w:val="1"/>
          <w:color w:val="auto"/>
        </w:rPr>
        <w:t>ITHDRAWAL</w:t>
      </w:r>
      <w:r>
        <w:rPr>
          <w:rFonts w:ascii="Arial" w:cs="Arial" w:eastAsia="Arial" w:hAnsi="Arial"/>
          <w:sz w:val="18"/>
          <w:szCs w:val="18"/>
          <w:b w:val="1"/>
          <w:bCs w:val="1"/>
          <w:color w:val="auto"/>
        </w:rPr>
        <w:t>; T</w:t>
      </w:r>
      <w:r>
        <w:rPr>
          <w:rFonts w:ascii="Arial" w:cs="Arial" w:eastAsia="Arial" w:hAnsi="Arial"/>
          <w:sz w:val="13"/>
          <w:szCs w:val="13"/>
          <w:b w:val="1"/>
          <w:bCs w:val="1"/>
          <w:color w:val="auto"/>
        </w:rPr>
        <w:t>ERMINATION</w:t>
      </w:r>
      <w:r>
        <w:rPr>
          <w:rFonts w:ascii="Arial" w:cs="Arial" w:eastAsia="Arial" w:hAnsi="Arial"/>
          <w:sz w:val="18"/>
          <w:szCs w:val="18"/>
          <w:b w:val="1"/>
          <w:bCs w:val="1"/>
          <w:color w:val="auto"/>
        </w:rPr>
        <w:t>.</w:t>
      </w:r>
    </w:p>
    <w:p>
      <w:pPr>
        <w:spacing w:after="0" w:line="80" w:lineRule="exact"/>
        <w:rPr>
          <w:rFonts w:ascii="Arial" w:cs="Arial" w:eastAsia="Arial" w:hAnsi="Arial"/>
          <w:sz w:val="18"/>
          <w:szCs w:val="18"/>
          <w:b w:val="1"/>
          <w:bCs w:val="1"/>
          <w:color w:val="auto"/>
        </w:rPr>
      </w:pPr>
    </w:p>
    <w:p>
      <w:pPr>
        <w:ind w:left="-8" w:right="60" w:firstLine="526"/>
        <w:spacing w:after="0" w:line="259" w:lineRule="auto"/>
        <w:tabs>
          <w:tab w:leader="none" w:pos="945" w:val="left"/>
        </w:tabs>
        <w:numPr>
          <w:ilvl w:val="1"/>
          <w:numId w:val="67"/>
        </w:numPr>
        <w:rPr>
          <w:rFonts w:ascii="Arial" w:cs="Arial" w:eastAsia="Arial" w:hAnsi="Arial"/>
          <w:sz w:val="18"/>
          <w:szCs w:val="18"/>
          <w:b w:val="1"/>
          <w:bCs w:val="1"/>
          <w:color w:val="auto"/>
        </w:rPr>
      </w:pPr>
      <w:r>
        <w:rPr>
          <w:rFonts w:ascii="Arial" w:cs="Arial" w:eastAsia="Arial" w:hAnsi="Arial"/>
          <w:sz w:val="18"/>
          <w:szCs w:val="18"/>
          <w:color w:val="auto"/>
        </w:rPr>
        <w:t>An Eligible Employee may elect to participate in an Offering and authorize payroll deductions as the means of making Contributions by completing and delivering to the Company, within the time specified in the Offering, an enrollment form provided by the Company. The enrollment form will specify the amount of Contributions not to exceed the maximum amount specified by the Board. Each Participant’s Contributions will be credited to a bookkeeping account for such Participant under the Plan and will be</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52" w:name="page53"/>
    <w:bookmarkEnd w:id="52"/>
    <w:p>
      <w:pPr>
        <w:ind w:right="40"/>
        <w:spacing w:after="0" w:line="273" w:lineRule="auto"/>
        <w:rPr>
          <w:sz w:val="20"/>
          <w:szCs w:val="20"/>
          <w:color w:val="auto"/>
        </w:rPr>
      </w:pPr>
      <w:r>
        <w:rPr>
          <w:rFonts w:ascii="Arial" w:cs="Arial" w:eastAsia="Arial" w:hAnsi="Arial"/>
          <w:sz w:val="17"/>
          <w:szCs w:val="17"/>
          <w:color w:val="auto"/>
        </w:rPr>
        <w:t>deposited with the general funds of the Company except where applicable law or regulations requires that Contributions be deposited with a third party. If permitted in the Offering, a Participant may begin such Contributions with the first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his or her Contributions. If required under applicable law or regulations or if specifically provided in the Offering, in addition to or instead of making Contributions by payroll deductions, a Participant may make Contributions through the payment by cash, check or wire transfer prior to a Purchase Date.</w:t>
      </w:r>
    </w:p>
    <w:p>
      <w:pPr>
        <w:spacing w:after="0" w:line="138" w:lineRule="exact"/>
        <w:rPr>
          <w:sz w:val="20"/>
          <w:szCs w:val="20"/>
          <w:color w:val="auto"/>
        </w:rPr>
      </w:pPr>
    </w:p>
    <w:p>
      <w:pPr>
        <w:ind w:right="100" w:firstLine="526"/>
        <w:spacing w:after="0" w:line="255" w:lineRule="auto"/>
        <w:tabs>
          <w:tab w:leader="none" w:pos="963" w:val="left"/>
        </w:tabs>
        <w:numPr>
          <w:ilvl w:val="1"/>
          <w:numId w:val="68"/>
        </w:numPr>
        <w:rPr>
          <w:rFonts w:ascii="Arial" w:cs="Arial" w:eastAsia="Arial" w:hAnsi="Arial"/>
          <w:sz w:val="18"/>
          <w:szCs w:val="18"/>
          <w:b w:val="1"/>
          <w:bCs w:val="1"/>
          <w:color w:val="auto"/>
        </w:rPr>
      </w:pPr>
      <w:r>
        <w:rPr>
          <w:rFonts w:ascii="Arial" w:cs="Arial" w:eastAsia="Arial" w:hAnsi="Arial"/>
          <w:sz w:val="18"/>
          <w:szCs w:val="18"/>
          <w:color w:val="auto"/>
        </w:rPr>
        <w:t>During an Offering, a Participant may cease making Contributions and withdraw from the Offering by delivering to the Company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spacing w:after="0" w:line="139" w:lineRule="exact"/>
        <w:rPr>
          <w:rFonts w:ascii="Arial" w:cs="Arial" w:eastAsia="Arial" w:hAnsi="Arial"/>
          <w:sz w:val="18"/>
          <w:szCs w:val="18"/>
          <w:b w:val="1"/>
          <w:bCs w:val="1"/>
          <w:color w:val="auto"/>
        </w:rPr>
      </w:pPr>
    </w:p>
    <w:p>
      <w:pPr>
        <w:ind w:right="300" w:firstLine="526"/>
        <w:spacing w:after="0" w:line="259" w:lineRule="auto"/>
        <w:tabs>
          <w:tab w:leader="none" w:pos="943" w:val="left"/>
        </w:tabs>
        <w:numPr>
          <w:ilvl w:val="1"/>
          <w:numId w:val="68"/>
        </w:numPr>
        <w:rPr>
          <w:rFonts w:ascii="Arial" w:cs="Arial" w:eastAsia="Arial" w:hAnsi="Arial"/>
          <w:sz w:val="18"/>
          <w:szCs w:val="18"/>
          <w:b w:val="1"/>
          <w:bCs w:val="1"/>
          <w:color w:val="auto"/>
        </w:rPr>
      </w:pPr>
      <w:r>
        <w:rPr>
          <w:rFonts w:ascii="Arial" w:cs="Arial" w:eastAsia="Arial" w:hAnsi="Arial"/>
          <w:sz w:val="18"/>
          <w:szCs w:val="18"/>
          <w:color w:val="auto"/>
        </w:rPr>
        <w:t>Unless otherwise required by applicable law or regulations, Purchase Rights granted pursuant to any Offering under the Plan will terminate immediately if the Participant either (i) is no longer an Employee for any reason or for no reason (subject to any post- employment participation period required by law) or (ii) is otherwise no longer eligible to participate. The Company will distribute as soon as practicable to such individual all of his or her accumulated but unused Contributions.</w:t>
      </w:r>
    </w:p>
    <w:p>
      <w:pPr>
        <w:spacing w:after="0" w:line="132" w:lineRule="exact"/>
        <w:rPr>
          <w:rFonts w:ascii="Arial" w:cs="Arial" w:eastAsia="Arial" w:hAnsi="Arial"/>
          <w:sz w:val="18"/>
          <w:szCs w:val="18"/>
          <w:b w:val="1"/>
          <w:bCs w:val="1"/>
          <w:color w:val="auto"/>
        </w:rPr>
      </w:pPr>
    </w:p>
    <w:p>
      <w:pPr>
        <w:ind w:right="160" w:firstLine="526"/>
        <w:spacing w:after="0" w:line="342" w:lineRule="auto"/>
        <w:tabs>
          <w:tab w:leader="none" w:pos="963" w:val="left"/>
        </w:tabs>
        <w:numPr>
          <w:ilvl w:val="1"/>
          <w:numId w:val="68"/>
        </w:numPr>
        <w:rPr>
          <w:rFonts w:ascii="Arial" w:cs="Arial" w:eastAsia="Arial" w:hAnsi="Arial"/>
          <w:sz w:val="16"/>
          <w:szCs w:val="16"/>
          <w:b w:val="1"/>
          <w:bCs w:val="1"/>
          <w:color w:val="auto"/>
        </w:rPr>
      </w:pPr>
      <w:r>
        <w:rPr>
          <w:rFonts w:ascii="Arial" w:cs="Arial" w:eastAsia="Arial" w:hAnsi="Arial"/>
          <w:sz w:val="16"/>
          <w:szCs w:val="16"/>
          <w:color w:val="auto"/>
        </w:rPr>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w:t>
      </w:r>
    </w:p>
    <w:p>
      <w:pPr>
        <w:spacing w:after="0" w:line="69" w:lineRule="exact"/>
        <w:rPr>
          <w:rFonts w:ascii="Arial" w:cs="Arial" w:eastAsia="Arial" w:hAnsi="Arial"/>
          <w:sz w:val="16"/>
          <w:szCs w:val="16"/>
          <w:b w:val="1"/>
          <w:bCs w:val="1"/>
          <w:color w:val="auto"/>
        </w:rPr>
      </w:pPr>
    </w:p>
    <w:p>
      <w:pPr>
        <w:ind w:right="180" w:firstLine="526"/>
        <w:spacing w:after="0" w:line="277" w:lineRule="auto"/>
        <w:tabs>
          <w:tab w:leader="none" w:pos="943" w:val="left"/>
        </w:tabs>
        <w:numPr>
          <w:ilvl w:val="1"/>
          <w:numId w:val="68"/>
        </w:numPr>
        <w:rPr>
          <w:rFonts w:ascii="Arial" w:cs="Arial" w:eastAsia="Arial" w:hAnsi="Arial"/>
          <w:sz w:val="18"/>
          <w:szCs w:val="18"/>
          <w:b w:val="1"/>
          <w:bCs w:val="1"/>
          <w:color w:val="auto"/>
        </w:rPr>
      </w:pPr>
      <w:r>
        <w:rPr>
          <w:rFonts w:ascii="Arial" w:cs="Arial" w:eastAsia="Arial" w:hAnsi="Arial"/>
          <w:sz w:val="18"/>
          <w:szCs w:val="18"/>
          <w:color w:val="auto"/>
        </w:rPr>
        <w:t>Unless otherwise specified in the Offering or required by applicable law or regulations, the Company will have no obligation to pay interest on Contributions.</w:t>
      </w:r>
    </w:p>
    <w:p>
      <w:pPr>
        <w:spacing w:after="0" w:line="193" w:lineRule="exact"/>
        <w:rPr>
          <w:rFonts w:ascii="Arial" w:cs="Arial" w:eastAsia="Arial" w:hAnsi="Arial"/>
          <w:sz w:val="18"/>
          <w:szCs w:val="18"/>
          <w:b w:val="1"/>
          <w:bCs w:val="1"/>
          <w:color w:val="auto"/>
        </w:rPr>
      </w:pPr>
    </w:p>
    <w:p>
      <w:pPr>
        <w:ind w:left="360" w:hanging="352"/>
        <w:spacing w:after="0"/>
        <w:tabs>
          <w:tab w:leader="none" w:pos="3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3"/>
          <w:szCs w:val="13"/>
          <w:b w:val="1"/>
          <w:bCs w:val="1"/>
          <w:color w:val="auto"/>
        </w:rPr>
        <w:t>XERCISE OF</w:t>
      </w:r>
      <w:r>
        <w:rPr>
          <w:rFonts w:ascii="Arial" w:cs="Arial" w:eastAsia="Arial" w:hAnsi="Arial"/>
          <w:sz w:val="18"/>
          <w:szCs w:val="18"/>
          <w:b w:val="1"/>
          <w:bCs w:val="1"/>
          <w:color w:val="auto"/>
        </w:rPr>
        <w:t xml:space="preserve"> P</w:t>
      </w:r>
      <w:r>
        <w:rPr>
          <w:rFonts w:ascii="Arial" w:cs="Arial" w:eastAsia="Arial" w:hAnsi="Arial"/>
          <w:sz w:val="13"/>
          <w:szCs w:val="13"/>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8"/>
          <w:szCs w:val="18"/>
          <w:b w:val="1"/>
          <w:bCs w:val="1"/>
          <w:color w:val="auto"/>
        </w:rPr>
        <w:t>.</w:t>
      </w:r>
    </w:p>
    <w:p>
      <w:pPr>
        <w:spacing w:after="0" w:line="80" w:lineRule="exact"/>
        <w:rPr>
          <w:rFonts w:ascii="Arial" w:cs="Arial" w:eastAsia="Arial" w:hAnsi="Arial"/>
          <w:sz w:val="18"/>
          <w:szCs w:val="18"/>
          <w:b w:val="1"/>
          <w:bCs w:val="1"/>
          <w:color w:val="auto"/>
        </w:rPr>
      </w:pPr>
    </w:p>
    <w:p>
      <w:pPr>
        <w:ind w:firstLine="526"/>
        <w:spacing w:after="0" w:line="264" w:lineRule="auto"/>
        <w:tabs>
          <w:tab w:leader="none" w:pos="953" w:val="left"/>
        </w:tabs>
        <w:numPr>
          <w:ilvl w:val="1"/>
          <w:numId w:val="69"/>
        </w:numPr>
        <w:rPr>
          <w:rFonts w:ascii="Arial" w:cs="Arial" w:eastAsia="Arial" w:hAnsi="Arial"/>
          <w:sz w:val="18"/>
          <w:szCs w:val="18"/>
          <w:b w:val="1"/>
          <w:bCs w:val="1"/>
          <w:color w:val="auto"/>
        </w:rPr>
      </w:pPr>
      <w:r>
        <w:rPr>
          <w:rFonts w:ascii="Arial" w:cs="Arial" w:eastAsia="Arial" w:hAnsi="Arial"/>
          <w:sz w:val="18"/>
          <w:szCs w:val="18"/>
          <w:color w:val="auto"/>
        </w:rPr>
        <w:t>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w:t>
      </w:r>
    </w:p>
    <w:p>
      <w:pPr>
        <w:spacing w:after="0" w:line="127" w:lineRule="exact"/>
        <w:rPr>
          <w:rFonts w:ascii="Arial" w:cs="Arial" w:eastAsia="Arial" w:hAnsi="Arial"/>
          <w:sz w:val="18"/>
          <w:szCs w:val="18"/>
          <w:b w:val="1"/>
          <w:bCs w:val="1"/>
          <w:color w:val="auto"/>
        </w:rPr>
      </w:pPr>
    </w:p>
    <w:p>
      <w:pPr>
        <w:ind w:right="160" w:firstLine="526"/>
        <w:spacing w:after="0" w:line="259" w:lineRule="auto"/>
        <w:tabs>
          <w:tab w:leader="none" w:pos="963" w:val="left"/>
        </w:tabs>
        <w:numPr>
          <w:ilvl w:val="1"/>
          <w:numId w:val="69"/>
        </w:numPr>
        <w:rPr>
          <w:rFonts w:ascii="Arial" w:cs="Arial" w:eastAsia="Arial" w:hAnsi="Arial"/>
          <w:sz w:val="18"/>
          <w:szCs w:val="18"/>
          <w:b w:val="1"/>
          <w:bCs w:val="1"/>
          <w:color w:val="auto"/>
        </w:rPr>
      </w:pPr>
      <w:r>
        <w:rPr>
          <w:rFonts w:ascii="Arial" w:cs="Arial" w:eastAsia="Arial" w:hAnsi="Arial"/>
          <w:sz w:val="18"/>
          <w:szCs w:val="18"/>
          <w:color w:val="auto"/>
        </w:rPr>
        <w:t>Unless otherwise provided in the Offering, if any amount of accumulated Contributions remains in a Participant’s account after the purchase of shares of Common Stock on the final Purchase Date of an Offering, then such remaining amount will not roll over to the next Offering and will instead be distributed in full to such Participant after the final Purchase Date of such Offering without interest (unless otherwise required by applicable law or regulations).</w:t>
      </w:r>
    </w:p>
    <w:p>
      <w:pPr>
        <w:spacing w:after="0" w:line="132" w:lineRule="exact"/>
        <w:rPr>
          <w:rFonts w:ascii="Arial" w:cs="Arial" w:eastAsia="Arial" w:hAnsi="Arial"/>
          <w:sz w:val="18"/>
          <w:szCs w:val="18"/>
          <w:b w:val="1"/>
          <w:bCs w:val="1"/>
          <w:color w:val="auto"/>
        </w:rPr>
      </w:pPr>
    </w:p>
    <w:p>
      <w:pPr>
        <w:ind w:firstLine="526"/>
        <w:spacing w:after="0" w:line="271" w:lineRule="auto"/>
        <w:tabs>
          <w:tab w:leader="none" w:pos="943" w:val="left"/>
        </w:tabs>
        <w:numPr>
          <w:ilvl w:val="1"/>
          <w:numId w:val="69"/>
        </w:numPr>
        <w:rPr>
          <w:rFonts w:ascii="Arial" w:cs="Arial" w:eastAsia="Arial" w:hAnsi="Arial"/>
          <w:sz w:val="17"/>
          <w:szCs w:val="17"/>
          <w:b w:val="1"/>
          <w:bCs w:val="1"/>
          <w:color w:val="auto"/>
        </w:rPr>
      </w:pPr>
      <w:r>
        <w:rPr>
          <w:rFonts w:ascii="Arial" w:cs="Arial" w:eastAsia="Arial" w:hAnsi="Arial"/>
          <w:sz w:val="17"/>
          <w:szCs w:val="17"/>
          <w:color w:val="auto"/>
        </w:rPr>
        <w:t>No Purchase Rights may be exercised to any extent unless the shares of Common Stock to be issued upon such exercise under the Plan are covered by an effective registration statement pursuant to the Securities Act and the Plan is in material compliance with all applicable federal, state, foreign and other securities and other laws applicable to the Plan. If on a Purchase Date the shares of Common Stock are not so registered or the Plan is not in such compliance, no Purchase Rights will be exercised on such Purchase Date, and the Purchase Date will be delayed until the shares of Common Stock are subject to such an effective registration statement and the Plan is in material compliance, except that the Purchase Date will in no event be more than 27 months from the Offering Date. If, on the Purchase Date, as delayed to the maximum extent permissible, the shares of Common Stock are not registered and the Plan is not in material compliance with all applicable laws and regulations, no Purchase Rights will be exercised and all accumulated but unused Contributions will be distributed to the Participants without interest.</w:t>
      </w:r>
    </w:p>
    <w:p>
      <w:pPr>
        <w:spacing w:after="0" w:line="188" w:lineRule="exact"/>
        <w:rPr>
          <w:rFonts w:ascii="Arial" w:cs="Arial" w:eastAsia="Arial" w:hAnsi="Arial"/>
          <w:sz w:val="17"/>
          <w:szCs w:val="17"/>
          <w:b w:val="1"/>
          <w:bCs w:val="1"/>
          <w:color w:val="auto"/>
        </w:rPr>
      </w:pPr>
    </w:p>
    <w:p>
      <w:pPr>
        <w:ind w:left="360" w:hanging="352"/>
        <w:spacing w:after="0"/>
        <w:tabs>
          <w:tab w:leader="none" w:pos="3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3"/>
          <w:szCs w:val="13"/>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OMPANY</w:t>
      </w:r>
      <w:r>
        <w:rPr>
          <w:rFonts w:ascii="Arial" w:cs="Arial" w:eastAsia="Arial" w:hAnsi="Arial"/>
          <w:sz w:val="18"/>
          <w:szCs w:val="18"/>
          <w:b w:val="1"/>
          <w:bCs w:val="1"/>
          <w:color w:val="auto"/>
        </w:rPr>
        <w:t>.</w:t>
      </w:r>
    </w:p>
    <w:p>
      <w:pPr>
        <w:spacing w:after="0" w:line="94"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The Company will seek to obtain from each federal, state, foreign or other regulatory commission or agency having jurisdiction over the Plan such authority as may be required to grant Purchase Rights and issue and sell shares of Common Stock thereunder unless the Company determines, in its sole discretion, that doing so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53" w:name="page54"/>
    <w:bookmarkEnd w:id="53"/>
    <w:p>
      <w:pPr>
        <w:ind w:left="460" w:hanging="452"/>
        <w:spacing w:after="0"/>
        <w:tabs>
          <w:tab w:leader="none" w:pos="4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3"/>
          <w:szCs w:val="13"/>
          <w:b w:val="1"/>
          <w:bCs w:val="1"/>
          <w:color w:val="auto"/>
        </w:rPr>
        <w:t>ESIGNATION OF</w:t>
      </w:r>
      <w:r>
        <w:rPr>
          <w:rFonts w:ascii="Arial" w:cs="Arial" w:eastAsia="Arial" w:hAnsi="Arial"/>
          <w:sz w:val="18"/>
          <w:szCs w:val="18"/>
          <w:b w:val="1"/>
          <w:bCs w:val="1"/>
          <w:color w:val="auto"/>
        </w:rPr>
        <w:t xml:space="preserve"> B</w:t>
      </w:r>
      <w:r>
        <w:rPr>
          <w:rFonts w:ascii="Arial" w:cs="Arial" w:eastAsia="Arial" w:hAnsi="Arial"/>
          <w:sz w:val="13"/>
          <w:szCs w:val="13"/>
          <w:b w:val="1"/>
          <w:bCs w:val="1"/>
          <w:color w:val="auto"/>
        </w:rPr>
        <w:t>ENEFICIARY</w:t>
      </w:r>
      <w:r>
        <w:rPr>
          <w:rFonts w:ascii="Arial" w:cs="Arial" w:eastAsia="Arial" w:hAnsi="Arial"/>
          <w:sz w:val="18"/>
          <w:szCs w:val="18"/>
          <w:b w:val="1"/>
          <w:bCs w:val="1"/>
          <w:color w:val="auto"/>
        </w:rPr>
        <w:t>.</w:t>
      </w:r>
    </w:p>
    <w:p>
      <w:pPr>
        <w:spacing w:after="0" w:line="94" w:lineRule="exact"/>
        <w:rPr>
          <w:rFonts w:ascii="Arial" w:cs="Arial" w:eastAsia="Arial" w:hAnsi="Arial"/>
          <w:sz w:val="18"/>
          <w:szCs w:val="18"/>
          <w:b w:val="1"/>
          <w:bCs w:val="1"/>
          <w:color w:val="auto"/>
        </w:rPr>
      </w:pPr>
    </w:p>
    <w:p>
      <w:pPr>
        <w:ind w:right="20" w:firstLine="526"/>
        <w:spacing w:after="0" w:line="259" w:lineRule="auto"/>
        <w:tabs>
          <w:tab w:leader="none" w:pos="953" w:val="left"/>
        </w:tabs>
        <w:numPr>
          <w:ilvl w:val="1"/>
          <w:numId w:val="70"/>
        </w:numPr>
        <w:rPr>
          <w:rFonts w:ascii="Arial" w:cs="Arial" w:eastAsia="Arial" w:hAnsi="Arial"/>
          <w:sz w:val="18"/>
          <w:szCs w:val="18"/>
          <w:b w:val="1"/>
          <w:bCs w:val="1"/>
          <w:color w:val="auto"/>
        </w:rPr>
      </w:pPr>
      <w:r>
        <w:rPr>
          <w:rFonts w:ascii="Arial" w:cs="Arial" w:eastAsia="Arial" w:hAnsi="Arial"/>
          <w:sz w:val="18"/>
          <w:szCs w:val="18"/>
          <w:color w:val="auto"/>
        </w:rPr>
        <w:t>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spacing w:after="0" w:line="132" w:lineRule="exact"/>
        <w:rPr>
          <w:rFonts w:ascii="Arial" w:cs="Arial" w:eastAsia="Arial" w:hAnsi="Arial"/>
          <w:sz w:val="18"/>
          <w:szCs w:val="18"/>
          <w:b w:val="1"/>
          <w:bCs w:val="1"/>
          <w:color w:val="auto"/>
        </w:rPr>
      </w:pPr>
    </w:p>
    <w:p>
      <w:pPr>
        <w:ind w:right="120" w:firstLine="526"/>
        <w:spacing w:after="0" w:line="302" w:lineRule="auto"/>
        <w:tabs>
          <w:tab w:leader="none" w:pos="963" w:val="left"/>
        </w:tabs>
        <w:numPr>
          <w:ilvl w:val="1"/>
          <w:numId w:val="70"/>
        </w:numPr>
        <w:rPr>
          <w:rFonts w:ascii="Arial" w:cs="Arial" w:eastAsia="Arial" w:hAnsi="Arial"/>
          <w:sz w:val="16"/>
          <w:szCs w:val="16"/>
          <w:b w:val="1"/>
          <w:bCs w:val="1"/>
          <w:color w:val="auto"/>
        </w:rPr>
      </w:pPr>
      <w:r>
        <w:rPr>
          <w:rFonts w:ascii="Arial" w:cs="Arial" w:eastAsia="Arial" w:hAnsi="Arial"/>
          <w:sz w:val="16"/>
          <w:szCs w:val="16"/>
          <w:color w:val="auto"/>
        </w:rPr>
        <w:t>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to the Participant’s spouse, dependents or relatives, or if no spouse, dependent or relative is known to the Company, then to such other person as the Company may designate.</w:t>
      </w:r>
    </w:p>
    <w:p>
      <w:pPr>
        <w:spacing w:after="0" w:line="163" w:lineRule="exact"/>
        <w:rPr>
          <w:rFonts w:ascii="Arial" w:cs="Arial" w:eastAsia="Arial" w:hAnsi="Arial"/>
          <w:sz w:val="16"/>
          <w:szCs w:val="16"/>
          <w:b w:val="1"/>
          <w:bCs w:val="1"/>
          <w:color w:val="auto"/>
        </w:rPr>
      </w:pPr>
    </w:p>
    <w:p>
      <w:pPr>
        <w:ind w:left="440" w:hanging="432"/>
        <w:spacing w:after="0"/>
        <w:tabs>
          <w:tab w:leader="none" w:pos="4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3"/>
          <w:szCs w:val="13"/>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3"/>
          <w:szCs w:val="13"/>
          <w:b w:val="1"/>
          <w:bCs w:val="1"/>
          <w:color w:val="auto"/>
        </w:rPr>
        <w:t>TOCK</w:t>
      </w:r>
      <w:r>
        <w:rPr>
          <w:rFonts w:ascii="Arial" w:cs="Arial" w:eastAsia="Arial" w:hAnsi="Arial"/>
          <w:sz w:val="18"/>
          <w:szCs w:val="18"/>
          <w:b w:val="1"/>
          <w:bCs w:val="1"/>
          <w:color w:val="auto"/>
        </w:rPr>
        <w:t>; C</w:t>
      </w:r>
      <w:r>
        <w:rPr>
          <w:rFonts w:ascii="Arial" w:cs="Arial" w:eastAsia="Arial" w:hAnsi="Arial"/>
          <w:sz w:val="13"/>
          <w:szCs w:val="13"/>
          <w:b w:val="1"/>
          <w:bCs w:val="1"/>
          <w:color w:val="auto"/>
        </w:rPr>
        <w:t>ORPORATE</w:t>
      </w:r>
      <w:r>
        <w:rPr>
          <w:rFonts w:ascii="Arial" w:cs="Arial" w:eastAsia="Arial" w:hAnsi="Arial"/>
          <w:sz w:val="18"/>
          <w:szCs w:val="18"/>
          <w:b w:val="1"/>
          <w:bCs w:val="1"/>
          <w:color w:val="auto"/>
        </w:rPr>
        <w:t xml:space="preserve"> T</w:t>
      </w:r>
      <w:r>
        <w:rPr>
          <w:rFonts w:ascii="Arial" w:cs="Arial" w:eastAsia="Arial" w:hAnsi="Arial"/>
          <w:sz w:val="13"/>
          <w:szCs w:val="13"/>
          <w:b w:val="1"/>
          <w:bCs w:val="1"/>
          <w:color w:val="auto"/>
        </w:rPr>
        <w:t>RANSACTIONS</w:t>
      </w:r>
      <w:r>
        <w:rPr>
          <w:rFonts w:ascii="Arial" w:cs="Arial" w:eastAsia="Arial" w:hAnsi="Arial"/>
          <w:sz w:val="18"/>
          <w:szCs w:val="18"/>
          <w:b w:val="1"/>
          <w:bCs w:val="1"/>
          <w:color w:val="auto"/>
        </w:rPr>
        <w:t>.</w:t>
      </w:r>
    </w:p>
    <w:p>
      <w:pPr>
        <w:spacing w:after="0" w:line="80" w:lineRule="exact"/>
        <w:rPr>
          <w:rFonts w:ascii="Arial" w:cs="Arial" w:eastAsia="Arial" w:hAnsi="Arial"/>
          <w:sz w:val="18"/>
          <w:szCs w:val="18"/>
          <w:b w:val="1"/>
          <w:bCs w:val="1"/>
          <w:color w:val="auto"/>
        </w:rPr>
      </w:pPr>
    </w:p>
    <w:p>
      <w:pPr>
        <w:ind w:right="220" w:firstLine="526"/>
        <w:spacing w:after="0" w:line="276" w:lineRule="auto"/>
        <w:tabs>
          <w:tab w:leader="none" w:pos="953" w:val="left"/>
        </w:tabs>
        <w:numPr>
          <w:ilvl w:val="1"/>
          <w:numId w:val="70"/>
        </w:numPr>
        <w:rPr>
          <w:rFonts w:ascii="Arial" w:cs="Arial" w:eastAsia="Arial" w:hAnsi="Arial"/>
          <w:sz w:val="17"/>
          <w:szCs w:val="17"/>
          <w:b w:val="1"/>
          <w:bCs w:val="1"/>
          <w:color w:val="auto"/>
        </w:rPr>
      </w:pPr>
      <w:r>
        <w:rPr>
          <w:rFonts w:ascii="Arial" w:cs="Arial" w:eastAsia="Arial" w:hAnsi="Arial"/>
          <w:sz w:val="17"/>
          <w:szCs w:val="17"/>
          <w:color w:val="auto"/>
        </w:rPr>
        <w:t>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w:t>
      </w:r>
    </w:p>
    <w:p>
      <w:pPr>
        <w:spacing w:after="0" w:line="132" w:lineRule="exact"/>
        <w:rPr>
          <w:rFonts w:ascii="Arial" w:cs="Arial" w:eastAsia="Arial" w:hAnsi="Arial"/>
          <w:sz w:val="17"/>
          <w:szCs w:val="17"/>
          <w:b w:val="1"/>
          <w:bCs w:val="1"/>
          <w:color w:val="auto"/>
        </w:rPr>
      </w:pPr>
    </w:p>
    <w:p>
      <w:pPr>
        <w:ind w:right="20" w:firstLine="526"/>
        <w:spacing w:after="0" w:line="293" w:lineRule="auto"/>
        <w:tabs>
          <w:tab w:leader="none" w:pos="963" w:val="left"/>
        </w:tabs>
        <w:numPr>
          <w:ilvl w:val="1"/>
          <w:numId w:val="70"/>
        </w:numPr>
        <w:rPr>
          <w:rFonts w:ascii="Arial" w:cs="Arial" w:eastAsia="Arial" w:hAnsi="Arial"/>
          <w:sz w:val="16"/>
          <w:szCs w:val="16"/>
          <w:b w:val="1"/>
          <w:bCs w:val="1"/>
          <w:color w:val="auto"/>
        </w:rPr>
      </w:pPr>
      <w:r>
        <w:rPr>
          <w:rFonts w:ascii="Arial" w:cs="Arial" w:eastAsia="Arial" w:hAnsi="Arial"/>
          <w:sz w:val="16"/>
          <w:szCs w:val="16"/>
          <w:color w:val="auto"/>
        </w:rPr>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(rounded down to the nearest whole share) within ten business days prior to the Corporate Transaction under the outstanding Purchase Rights, and the Purchase Rights will terminate immediately after such purchase.</w:t>
      </w:r>
    </w:p>
    <w:p>
      <w:pPr>
        <w:spacing w:after="0" w:line="187" w:lineRule="exact"/>
        <w:rPr>
          <w:rFonts w:ascii="Arial" w:cs="Arial" w:eastAsia="Arial" w:hAnsi="Arial"/>
          <w:sz w:val="16"/>
          <w:szCs w:val="16"/>
          <w:b w:val="1"/>
          <w:bCs w:val="1"/>
          <w:color w:val="auto"/>
        </w:rPr>
      </w:pPr>
    </w:p>
    <w:p>
      <w:pPr>
        <w:ind w:left="460" w:hanging="452"/>
        <w:spacing w:after="0"/>
        <w:tabs>
          <w:tab w:leader="none" w:pos="4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3"/>
          <w:szCs w:val="13"/>
          <w:b w:val="1"/>
          <w:bCs w:val="1"/>
          <w:color w:val="auto"/>
        </w:rPr>
        <w:t>MENDMENT</w:t>
      </w:r>
      <w:r>
        <w:rPr>
          <w:rFonts w:ascii="Arial" w:cs="Arial" w:eastAsia="Arial" w:hAnsi="Arial"/>
          <w:sz w:val="18"/>
          <w:szCs w:val="18"/>
          <w:b w:val="1"/>
          <w:bCs w:val="1"/>
          <w:color w:val="auto"/>
        </w:rPr>
        <w:t>, T</w:t>
      </w:r>
      <w:r>
        <w:rPr>
          <w:rFonts w:ascii="Arial" w:cs="Arial" w:eastAsia="Arial" w:hAnsi="Arial"/>
          <w:sz w:val="13"/>
          <w:szCs w:val="13"/>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3"/>
          <w:szCs w:val="13"/>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18"/>
          <w:szCs w:val="18"/>
          <w:b w:val="1"/>
          <w:bCs w:val="1"/>
          <w:color w:val="auto"/>
        </w:rPr>
        <w:t>.</w:t>
      </w:r>
    </w:p>
    <w:p>
      <w:pPr>
        <w:spacing w:after="0" w:line="80" w:lineRule="exact"/>
        <w:rPr>
          <w:rFonts w:ascii="Arial" w:cs="Arial" w:eastAsia="Arial" w:hAnsi="Arial"/>
          <w:sz w:val="18"/>
          <w:szCs w:val="18"/>
          <w:b w:val="1"/>
          <w:bCs w:val="1"/>
          <w:color w:val="auto"/>
        </w:rPr>
      </w:pPr>
    </w:p>
    <w:p>
      <w:pPr>
        <w:ind w:firstLine="526"/>
        <w:spacing w:after="0" w:line="264" w:lineRule="auto"/>
        <w:tabs>
          <w:tab w:leader="none" w:pos="953" w:val="left"/>
        </w:tabs>
        <w:numPr>
          <w:ilvl w:val="1"/>
          <w:numId w:val="70"/>
        </w:numPr>
        <w:rPr>
          <w:rFonts w:ascii="Arial" w:cs="Arial" w:eastAsia="Arial" w:hAnsi="Arial"/>
          <w:sz w:val="18"/>
          <w:szCs w:val="18"/>
          <w:b w:val="1"/>
          <w:bCs w:val="1"/>
          <w:color w:val="auto"/>
        </w:rPr>
      </w:pPr>
      <w:r>
        <w:rPr>
          <w:rFonts w:ascii="Arial" w:cs="Arial" w:eastAsia="Arial" w:hAnsi="Arial"/>
          <w:sz w:val="18"/>
          <w:szCs w:val="18"/>
          <w:color w:val="auto"/>
        </w:rPr>
        <w:t>The Board may amend the Plan at any time in any respect the Board deems necessary or advisable. However, except as provided in Section 11(a) relating to Capitalization Adjustments, stockholder approval will be required for any amendment of the Plan for which stockholder approval is required by applicable law, regulations or listing requirements.</w:t>
      </w:r>
    </w:p>
    <w:p>
      <w:pPr>
        <w:spacing w:after="0" w:line="127" w:lineRule="exact"/>
        <w:rPr>
          <w:rFonts w:ascii="Arial" w:cs="Arial" w:eastAsia="Arial" w:hAnsi="Arial"/>
          <w:sz w:val="18"/>
          <w:szCs w:val="18"/>
          <w:b w:val="1"/>
          <w:bCs w:val="1"/>
          <w:color w:val="auto"/>
        </w:rPr>
      </w:pPr>
    </w:p>
    <w:p>
      <w:pPr>
        <w:ind w:right="320" w:firstLine="526"/>
        <w:spacing w:after="0" w:line="277" w:lineRule="auto"/>
        <w:tabs>
          <w:tab w:leader="none" w:pos="963" w:val="left"/>
        </w:tabs>
        <w:numPr>
          <w:ilvl w:val="1"/>
          <w:numId w:val="70"/>
        </w:numPr>
        <w:rPr>
          <w:rFonts w:ascii="Arial" w:cs="Arial" w:eastAsia="Arial" w:hAnsi="Arial"/>
          <w:sz w:val="18"/>
          <w:szCs w:val="18"/>
          <w:b w:val="1"/>
          <w:bCs w:val="1"/>
          <w:color w:val="auto"/>
        </w:rPr>
      </w:pPr>
      <w:r>
        <w:rPr>
          <w:rFonts w:ascii="Arial" w:cs="Arial" w:eastAsia="Arial" w:hAnsi="Arial"/>
          <w:sz w:val="18"/>
          <w:szCs w:val="18"/>
          <w:color w:val="auto"/>
        </w:rPr>
        <w:t>The Board may suspend or terminate the Plan at any time. No Purchase Rights may be granted under the Plan while the Plan is suspended or after it is terminated.</w:t>
      </w:r>
    </w:p>
    <w:p>
      <w:pPr>
        <w:spacing w:after="0" w:line="116" w:lineRule="exact"/>
        <w:rPr>
          <w:rFonts w:ascii="Arial" w:cs="Arial" w:eastAsia="Arial" w:hAnsi="Arial"/>
          <w:sz w:val="18"/>
          <w:szCs w:val="18"/>
          <w:b w:val="1"/>
          <w:bCs w:val="1"/>
          <w:color w:val="auto"/>
        </w:rPr>
      </w:pPr>
    </w:p>
    <w:p>
      <w:pPr>
        <w:ind w:firstLine="526"/>
        <w:spacing w:after="0" w:line="284" w:lineRule="auto"/>
        <w:tabs>
          <w:tab w:leader="none" w:pos="943" w:val="left"/>
        </w:tabs>
        <w:numPr>
          <w:ilvl w:val="1"/>
          <w:numId w:val="70"/>
        </w:numPr>
        <w:rPr>
          <w:rFonts w:ascii="Arial" w:cs="Arial" w:eastAsia="Arial" w:hAnsi="Arial"/>
          <w:sz w:val="16"/>
          <w:szCs w:val="16"/>
          <w:b w:val="1"/>
          <w:bCs w:val="1"/>
          <w:color w:val="auto"/>
        </w:rPr>
      </w:pPr>
      <w:r>
        <w:rPr>
          <w:rFonts w:ascii="Arial" w:cs="Arial" w:eastAsia="Arial" w:hAnsi="Arial"/>
          <w:sz w:val="16"/>
          <w:szCs w:val="16"/>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comply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w:t>
      </w:r>
    </w:p>
    <w:p>
      <w:pPr>
        <w:spacing w:after="0" w:line="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Section 423 of the Code.</w:t>
      </w:r>
    </w:p>
    <w:p>
      <w:pPr>
        <w:spacing w:after="0" w:line="220" w:lineRule="exact"/>
        <w:rPr>
          <w:rFonts w:ascii="Arial" w:cs="Arial" w:eastAsia="Arial" w:hAnsi="Arial"/>
          <w:sz w:val="16"/>
          <w:szCs w:val="16"/>
          <w:b w:val="1"/>
          <w:bCs w:val="1"/>
          <w:color w:val="auto"/>
        </w:rPr>
      </w:pPr>
    </w:p>
    <w:p>
      <w:pPr>
        <w:ind w:left="460" w:hanging="452"/>
        <w:spacing w:after="0"/>
        <w:tabs>
          <w:tab w:leader="none" w:pos="4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3"/>
          <w:szCs w:val="13"/>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3"/>
          <w:szCs w:val="13"/>
          <w:b w:val="1"/>
          <w:bCs w:val="1"/>
          <w:color w:val="auto"/>
        </w:rPr>
        <w:t>ATE OF</w:t>
      </w:r>
      <w:r>
        <w:rPr>
          <w:rFonts w:ascii="Arial" w:cs="Arial" w:eastAsia="Arial" w:hAnsi="Arial"/>
          <w:sz w:val="18"/>
          <w:szCs w:val="18"/>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18"/>
          <w:szCs w:val="18"/>
          <w:b w:val="1"/>
          <w:bCs w:val="1"/>
          <w:color w:val="auto"/>
        </w:rPr>
        <w:t>.</w:t>
      </w:r>
    </w:p>
    <w:p>
      <w:pPr>
        <w:spacing w:after="0" w:line="94"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Plan will become effective immediately prior to and contingent upon the IPO Date. No Purchase Rights will be exercised unless and until the Plan has been approved by the stockholders of the Company, which approval must be within 12 months before or after the date the Plan is adopted (or if required under Section 12(a) above, materially amended) by the Board.</w:t>
      </w:r>
    </w:p>
    <w:p>
      <w:pPr>
        <w:spacing w:after="0" w:line="191"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3"/>
          <w:szCs w:val="13"/>
          <w:b w:val="1"/>
          <w:bCs w:val="1"/>
          <w:color w:val="auto"/>
        </w:rPr>
        <w:t>ISCELLANEOUS</w:t>
      </w:r>
      <w:r>
        <w:rPr>
          <w:rFonts w:ascii="Arial" w:cs="Arial" w:eastAsia="Arial" w:hAnsi="Arial"/>
          <w:sz w:val="18"/>
          <w:szCs w:val="18"/>
          <w:b w:val="1"/>
          <w:bCs w:val="1"/>
          <w:color w:val="auto"/>
        </w:rPr>
        <w:t xml:space="preserve"> P</w:t>
      </w:r>
      <w:r>
        <w:rPr>
          <w:rFonts w:ascii="Arial" w:cs="Arial" w:eastAsia="Arial" w:hAnsi="Arial"/>
          <w:sz w:val="13"/>
          <w:szCs w:val="13"/>
          <w:b w:val="1"/>
          <w:bCs w:val="1"/>
          <w:color w:val="auto"/>
        </w:rPr>
        <w:t>ROVISIONS</w:t>
      </w:r>
      <w:r>
        <w:rPr>
          <w:rFonts w:ascii="Arial" w:cs="Arial" w:eastAsia="Arial" w:hAnsi="Arial"/>
          <w:sz w:val="18"/>
          <w:szCs w:val="18"/>
          <w:b w:val="1"/>
          <w:bCs w:val="1"/>
          <w:color w:val="auto"/>
        </w:rPr>
        <w:t>.</w:t>
      </w:r>
    </w:p>
    <w:p>
      <w:pPr>
        <w:spacing w:after="0" w:line="80" w:lineRule="exact"/>
        <w:rPr>
          <w:rFonts w:ascii="Arial" w:cs="Arial" w:eastAsia="Arial" w:hAnsi="Arial"/>
          <w:sz w:val="18"/>
          <w:szCs w:val="18"/>
          <w:b w:val="1"/>
          <w:bCs w:val="1"/>
          <w:color w:val="auto"/>
        </w:rPr>
      </w:pPr>
    </w:p>
    <w:p>
      <w:pPr>
        <w:ind w:left="960" w:hanging="434"/>
        <w:spacing w:after="0"/>
        <w:tabs>
          <w:tab w:leader="none" w:pos="960" w:val="left"/>
        </w:tabs>
        <w:numPr>
          <w:ilvl w:val="1"/>
          <w:numId w:val="71"/>
        </w:numPr>
        <w:rPr>
          <w:rFonts w:ascii="Arial" w:cs="Arial" w:eastAsia="Arial" w:hAnsi="Arial"/>
          <w:sz w:val="18"/>
          <w:szCs w:val="18"/>
          <w:b w:val="1"/>
          <w:bCs w:val="1"/>
          <w:color w:val="auto"/>
        </w:rPr>
      </w:pPr>
      <w:r>
        <w:rPr>
          <w:rFonts w:ascii="Arial" w:cs="Arial" w:eastAsia="Arial" w:hAnsi="Arial"/>
          <w:sz w:val="18"/>
          <w:szCs w:val="18"/>
          <w:color w:val="auto"/>
        </w:rPr>
        <w:t>Proceeds from the sale of shares of Common Stock pursuant to Purchase Rights will constitute general funds of the Company.</w:t>
      </w:r>
    </w:p>
    <w:p>
      <w:pPr>
        <w:spacing w:after="0" w:line="171" w:lineRule="exact"/>
        <w:rPr>
          <w:rFonts w:ascii="Arial" w:cs="Arial" w:eastAsia="Arial" w:hAnsi="Arial"/>
          <w:sz w:val="18"/>
          <w:szCs w:val="18"/>
          <w:b w:val="1"/>
          <w:bCs w:val="1"/>
          <w:color w:val="auto"/>
        </w:rPr>
      </w:pPr>
    </w:p>
    <w:p>
      <w:pPr>
        <w:ind w:right="100" w:firstLine="526"/>
        <w:spacing w:after="0" w:line="264" w:lineRule="auto"/>
        <w:tabs>
          <w:tab w:leader="none" w:pos="963" w:val="left"/>
        </w:tabs>
        <w:numPr>
          <w:ilvl w:val="1"/>
          <w:numId w:val="71"/>
        </w:numPr>
        <w:rPr>
          <w:rFonts w:ascii="Arial" w:cs="Arial" w:eastAsia="Arial" w:hAnsi="Arial"/>
          <w:sz w:val="18"/>
          <w:szCs w:val="18"/>
          <w:b w:val="1"/>
          <w:bCs w:val="1"/>
          <w:color w:val="auto"/>
        </w:rPr>
      </w:pPr>
      <w:r>
        <w:rPr>
          <w:rFonts w:ascii="Arial" w:cs="Arial" w:eastAsia="Arial" w:hAnsi="Arial"/>
          <w:sz w:val="18"/>
          <w:szCs w:val="18"/>
          <w:color w:val="auto"/>
        </w:rPr>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54" w:name="page55"/>
    <w:bookmarkEnd w:id="54"/>
    <w:p>
      <w:pPr>
        <w:ind w:firstLine="526"/>
        <w:spacing w:after="0" w:line="312" w:lineRule="auto"/>
        <w:tabs>
          <w:tab w:leader="none" w:pos="943" w:val="left"/>
        </w:tabs>
        <w:numPr>
          <w:ilvl w:val="0"/>
          <w:numId w:val="72"/>
        </w:numPr>
        <w:rPr>
          <w:rFonts w:ascii="Arial" w:cs="Arial" w:eastAsia="Arial" w:hAnsi="Arial"/>
          <w:sz w:val="16"/>
          <w:szCs w:val="16"/>
          <w:b w:val="1"/>
          <w:bCs w:val="1"/>
          <w:color w:val="auto"/>
        </w:rPr>
      </w:pPr>
      <w:r>
        <w:rPr>
          <w:rFonts w:ascii="Arial" w:cs="Arial" w:eastAsia="Arial" w:hAnsi="Arial"/>
          <w:sz w:val="16"/>
          <w:szCs w:val="16"/>
          <w:color w:val="auto"/>
        </w:rPr>
        <w:t>The Plan and Offering do not constitute an employment contract. Nothing in the Plan or in the Offering will in any way alter the at will nature of a Participant’s employment, if applicable, or be deemed to create in any way whatsoever any obligation on the part of any Participant to continue in the employ of the Company or a Related Corporation, or on the part of the Company or a Related Corporation to continue the employment of a Participant.</w:t>
      </w:r>
    </w:p>
    <w:p>
      <w:pPr>
        <w:spacing w:after="0" w:line="92" w:lineRule="exact"/>
        <w:rPr>
          <w:rFonts w:ascii="Arial" w:cs="Arial" w:eastAsia="Arial" w:hAnsi="Arial"/>
          <w:sz w:val="16"/>
          <w:szCs w:val="16"/>
          <w:b w:val="1"/>
          <w:bCs w:val="1"/>
          <w:color w:val="auto"/>
        </w:rPr>
      </w:pPr>
    </w:p>
    <w:p>
      <w:pPr>
        <w:ind w:left="980" w:hanging="454"/>
        <w:spacing w:after="0"/>
        <w:tabs>
          <w:tab w:leader="none" w:pos="980" w:val="left"/>
        </w:tabs>
        <w:numPr>
          <w:ilvl w:val="0"/>
          <w:numId w:val="72"/>
        </w:numPr>
        <w:rPr>
          <w:rFonts w:ascii="Arial" w:cs="Arial" w:eastAsia="Arial" w:hAnsi="Arial"/>
          <w:sz w:val="17"/>
          <w:szCs w:val="17"/>
          <w:b w:val="1"/>
          <w:bCs w:val="1"/>
          <w:color w:val="auto"/>
        </w:rPr>
      </w:pPr>
      <w:r>
        <w:rPr>
          <w:rFonts w:ascii="Arial" w:cs="Arial" w:eastAsia="Arial" w:hAnsi="Arial"/>
          <w:sz w:val="17"/>
          <w:szCs w:val="17"/>
          <w:color w:val="auto"/>
        </w:rPr>
        <w:t>The provisions of the Plan will be governed by the laws of the State of Delaware without resort to that state’s conflicts of laws rules.</w:t>
      </w:r>
    </w:p>
    <w:p>
      <w:pPr>
        <w:spacing w:after="0" w:line="182" w:lineRule="exact"/>
        <w:rPr>
          <w:rFonts w:ascii="Arial" w:cs="Arial" w:eastAsia="Arial" w:hAnsi="Arial"/>
          <w:sz w:val="17"/>
          <w:szCs w:val="17"/>
          <w:b w:val="1"/>
          <w:bCs w:val="1"/>
          <w:color w:val="auto"/>
        </w:rPr>
      </w:pPr>
    </w:p>
    <w:p>
      <w:pPr>
        <w:ind w:right="20" w:firstLine="526"/>
        <w:spacing w:after="0" w:line="277" w:lineRule="auto"/>
        <w:tabs>
          <w:tab w:leader="none" w:pos="943"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If any particular provision of the Plan is found to be invalid or otherwise unenforceable, such provision will not affect the other provisions of the Plan, but the Plan will be construed in all respects as if such invalid provision were omitted.</w:t>
      </w:r>
    </w:p>
    <w:p>
      <w:pPr>
        <w:spacing w:after="0" w:line="116" w:lineRule="exact"/>
        <w:rPr>
          <w:rFonts w:ascii="Arial" w:cs="Arial" w:eastAsia="Arial" w:hAnsi="Arial"/>
          <w:sz w:val="18"/>
          <w:szCs w:val="18"/>
          <w:b w:val="1"/>
          <w:bCs w:val="1"/>
          <w:color w:val="auto"/>
        </w:rPr>
      </w:pPr>
    </w:p>
    <w:p>
      <w:pPr>
        <w:ind w:right="20" w:firstLine="526"/>
        <w:spacing w:after="0" w:line="277" w:lineRule="auto"/>
        <w:tabs>
          <w:tab w:leader="none" w:pos="923"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If any provision of the Plan does not comply with applicable law or regulations, such provision shall be construed in such a manner as to comply with applicable law or regulations.</w:t>
      </w:r>
    </w:p>
    <w:p>
      <w:pPr>
        <w:spacing w:after="0" w:line="180"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3"/>
          <w:szCs w:val="13"/>
          <w:b w:val="1"/>
          <w:bCs w:val="1"/>
          <w:color w:val="auto"/>
        </w:rPr>
        <w:t>EFINITIONS</w:t>
      </w:r>
      <w:r>
        <w:rPr>
          <w:rFonts w:ascii="Arial" w:cs="Arial" w:eastAsia="Arial" w:hAnsi="Arial"/>
          <w:sz w:val="18"/>
          <w:szCs w:val="18"/>
          <w:b w:val="1"/>
          <w:bCs w:val="1"/>
          <w:color w:val="auto"/>
        </w:rPr>
        <w:t>.</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used in the Plan, the following definitions will apply to the capitalized terms indicated below:</w:t>
      </w:r>
    </w:p>
    <w:p>
      <w:pPr>
        <w:spacing w:after="0" w:line="77" w:lineRule="exact"/>
        <w:rPr>
          <w:sz w:val="20"/>
          <w:szCs w:val="20"/>
          <w:color w:val="auto"/>
        </w:rPr>
      </w:pPr>
    </w:p>
    <w:p>
      <w:pPr>
        <w:ind w:left="960" w:hanging="434"/>
        <w:spacing w:after="0"/>
        <w:tabs>
          <w:tab w:leader="none" w:pos="96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76" w:lineRule="exact"/>
        <w:rPr>
          <w:rFonts w:ascii="Arial" w:cs="Arial" w:eastAsia="Arial" w:hAnsi="Arial"/>
          <w:sz w:val="18"/>
          <w:szCs w:val="18"/>
          <w:b w:val="1"/>
          <w:bCs w:val="1"/>
          <w:color w:val="auto"/>
        </w:rPr>
      </w:pPr>
    </w:p>
    <w:p>
      <w:pPr>
        <w:ind w:left="980" w:hanging="454"/>
        <w:spacing w:after="0"/>
        <w:tabs>
          <w:tab w:leader="none" w:pos="98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Stock</w:t>
      </w:r>
      <w:r>
        <w:rPr>
          <w:rFonts w:ascii="Arial" w:cs="Arial" w:eastAsia="Arial" w:hAnsi="Arial"/>
          <w:sz w:val="18"/>
          <w:szCs w:val="18"/>
          <w:color w:val="auto"/>
        </w:rPr>
        <w:t>” means each and every class of common stock of the Company, regardless of the number of votes per share.</w:t>
      </w:r>
    </w:p>
    <w:p>
      <w:pPr>
        <w:spacing w:after="0" w:line="90" w:lineRule="exact"/>
        <w:rPr>
          <w:rFonts w:ascii="Arial" w:cs="Arial" w:eastAsia="Arial" w:hAnsi="Arial"/>
          <w:sz w:val="18"/>
          <w:szCs w:val="18"/>
          <w:b w:val="1"/>
          <w:bCs w:val="1"/>
          <w:color w:val="auto"/>
        </w:rPr>
      </w:pPr>
    </w:p>
    <w:p>
      <w:pPr>
        <w:ind w:firstLine="526"/>
        <w:spacing w:after="0" w:line="273" w:lineRule="auto"/>
        <w:tabs>
          <w:tab w:leader="none" w:pos="943" w:val="left"/>
        </w:tabs>
        <w:numPr>
          <w:ilvl w:val="0"/>
          <w:numId w:val="7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Capitalization Adjustment</w:t>
      </w:r>
      <w:r>
        <w:rPr>
          <w:rFonts w:ascii="Arial" w:cs="Arial" w:eastAsia="Arial" w:hAnsi="Arial"/>
          <w:sz w:val="17"/>
          <w:szCs w:val="17"/>
          <w:color w:val="auto"/>
        </w:rPr>
        <w:t>”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29" w:lineRule="exact"/>
        <w:rPr>
          <w:rFonts w:ascii="Arial" w:cs="Arial" w:eastAsia="Arial" w:hAnsi="Arial"/>
          <w:sz w:val="17"/>
          <w:szCs w:val="17"/>
          <w:b w:val="1"/>
          <w:bCs w:val="1"/>
          <w:color w:val="auto"/>
        </w:rPr>
      </w:pPr>
    </w:p>
    <w:p>
      <w:pPr>
        <w:ind w:left="980" w:hanging="454"/>
        <w:spacing w:after="0"/>
        <w:tabs>
          <w:tab w:leader="none" w:pos="98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including any applicable regulations and guidance thereunder</w:t>
      </w:r>
      <w:r>
        <w:rPr>
          <w:rFonts w:ascii="Arial" w:cs="Arial" w:eastAsia="Arial" w:hAnsi="Arial"/>
          <w:sz w:val="18"/>
          <w:szCs w:val="18"/>
          <w:i w:val="1"/>
          <w:iCs w:val="1"/>
          <w:color w:val="auto"/>
        </w:rPr>
        <w:t>.</w:t>
      </w:r>
    </w:p>
    <w:p>
      <w:pPr>
        <w:spacing w:after="0" w:line="76" w:lineRule="exact"/>
        <w:rPr>
          <w:rFonts w:ascii="Arial" w:cs="Arial" w:eastAsia="Arial" w:hAnsi="Arial"/>
          <w:sz w:val="18"/>
          <w:szCs w:val="18"/>
          <w:b w:val="1"/>
          <w:bCs w:val="1"/>
          <w:color w:val="auto"/>
        </w:rPr>
      </w:pPr>
    </w:p>
    <w:p>
      <w:pPr>
        <w:ind w:left="960" w:hanging="434"/>
        <w:spacing w:after="0"/>
        <w:tabs>
          <w:tab w:leader="none" w:pos="960" w:val="left"/>
        </w:tabs>
        <w:numPr>
          <w:ilvl w:val="0"/>
          <w:numId w:val="7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a committee of one or more members of the Board to whom authority has been delegated by the Board in accordance with</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Section 2(c).</w:t>
      </w:r>
    </w:p>
    <w:p>
      <w:pPr>
        <w:spacing w:after="0" w:line="89" w:lineRule="exact"/>
        <w:rPr>
          <w:rFonts w:ascii="Arial" w:cs="Arial" w:eastAsia="Arial" w:hAnsi="Arial"/>
          <w:sz w:val="16"/>
          <w:szCs w:val="16"/>
          <w:b w:val="1"/>
          <w:bCs w:val="1"/>
          <w:color w:val="auto"/>
        </w:rPr>
      </w:pPr>
    </w:p>
    <w:p>
      <w:pPr>
        <w:ind w:left="940" w:hanging="414"/>
        <w:spacing w:after="0"/>
        <w:tabs>
          <w:tab w:leader="none" w:pos="94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as of the IPO Date, the common stock of the Company, having one vote per share.</w:t>
      </w:r>
    </w:p>
    <w:p>
      <w:pPr>
        <w:spacing w:after="0" w:line="76" w:lineRule="exact"/>
        <w:rPr>
          <w:rFonts w:ascii="Arial" w:cs="Arial" w:eastAsia="Arial" w:hAnsi="Arial"/>
          <w:sz w:val="18"/>
          <w:szCs w:val="18"/>
          <w:b w:val="1"/>
          <w:bCs w:val="1"/>
          <w:color w:val="auto"/>
        </w:rPr>
      </w:pPr>
    </w:p>
    <w:p>
      <w:pPr>
        <w:ind w:left="960" w:hanging="434"/>
        <w:spacing w:after="0"/>
        <w:tabs>
          <w:tab w:leader="none" w:pos="96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Neuronetics, Inc., a Delaware corporation.</w:t>
      </w:r>
    </w:p>
    <w:p>
      <w:pPr>
        <w:spacing w:after="0" w:line="76" w:lineRule="exact"/>
        <w:rPr>
          <w:rFonts w:ascii="Arial" w:cs="Arial" w:eastAsia="Arial" w:hAnsi="Arial"/>
          <w:sz w:val="18"/>
          <w:szCs w:val="18"/>
          <w:b w:val="1"/>
          <w:bCs w:val="1"/>
          <w:color w:val="auto"/>
        </w:rPr>
      </w:pPr>
    </w:p>
    <w:p>
      <w:pPr>
        <w:ind w:right="240" w:firstLine="526"/>
        <w:spacing w:after="0" w:line="312" w:lineRule="auto"/>
        <w:tabs>
          <w:tab w:leader="none" w:pos="963"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“Contributions</w:t>
      </w:r>
      <w:r>
        <w:rPr>
          <w:rFonts w:ascii="Arial" w:cs="Arial" w:eastAsia="Arial" w:hAnsi="Arial"/>
          <w:sz w:val="16"/>
          <w:szCs w:val="16"/>
          <w:color w:val="auto"/>
        </w:rPr>
        <w:t>” means the payroll deductions and other additional payments specifically provided for in the Offering that a Participant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w:t>
      </w:r>
    </w:p>
    <w:p>
      <w:pPr>
        <w:spacing w:after="0" w:line="11" w:lineRule="exact"/>
        <w:rPr>
          <w:rFonts w:ascii="Arial" w:cs="Arial" w:eastAsia="Arial" w:hAnsi="Arial"/>
          <w:sz w:val="16"/>
          <w:szCs w:val="16"/>
          <w:b w:val="1"/>
          <w:bCs w:val="1"/>
          <w:color w:val="auto"/>
        </w:rPr>
      </w:pPr>
    </w:p>
    <w:p>
      <w:pPr>
        <w:ind w:right="560" w:firstLine="526"/>
        <w:spacing w:after="0" w:line="277" w:lineRule="auto"/>
        <w:tabs>
          <w:tab w:leader="none" w:pos="913"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in a single transaction or in a series of related transactions, of any one or more of the following events:</w:t>
      </w:r>
    </w:p>
    <w:p>
      <w:pPr>
        <w:spacing w:after="0" w:line="21" w:lineRule="exact"/>
        <w:rPr>
          <w:rFonts w:ascii="Arial" w:cs="Arial" w:eastAsia="Arial" w:hAnsi="Arial"/>
          <w:sz w:val="18"/>
          <w:szCs w:val="18"/>
          <w:b w:val="1"/>
          <w:bCs w:val="1"/>
          <w:color w:val="auto"/>
        </w:rPr>
      </w:pPr>
    </w:p>
    <w:p>
      <w:pPr>
        <w:ind w:right="360" w:firstLine="1042"/>
        <w:spacing w:after="0" w:line="277" w:lineRule="auto"/>
        <w:tabs>
          <w:tab w:leader="none" w:pos="1429" w:val="left"/>
        </w:tabs>
        <w:numPr>
          <w:ilvl w:val="1"/>
          <w:numId w:val="74"/>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21" w:lineRule="exact"/>
        <w:rPr>
          <w:rFonts w:ascii="Arial" w:cs="Arial" w:eastAsia="Arial" w:hAnsi="Arial"/>
          <w:sz w:val="18"/>
          <w:szCs w:val="18"/>
          <w:b w:val="1"/>
          <w:bCs w:val="1"/>
          <w:color w:val="auto"/>
        </w:rPr>
      </w:pPr>
    </w:p>
    <w:p>
      <w:pPr>
        <w:ind w:left="1480" w:hanging="438"/>
        <w:spacing w:after="0"/>
        <w:tabs>
          <w:tab w:leader="none" w:pos="1480" w:val="left"/>
        </w:tabs>
        <w:numPr>
          <w:ilvl w:val="1"/>
          <w:numId w:val="74"/>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more than 50% of the outstanding securities of the Company;</w:t>
      </w:r>
    </w:p>
    <w:p>
      <w:pPr>
        <w:spacing w:after="0" w:line="90" w:lineRule="exact"/>
        <w:rPr>
          <w:rFonts w:ascii="Arial" w:cs="Arial" w:eastAsia="Arial" w:hAnsi="Arial"/>
          <w:sz w:val="18"/>
          <w:szCs w:val="18"/>
          <w:b w:val="1"/>
          <w:bCs w:val="1"/>
          <w:color w:val="auto"/>
        </w:rPr>
      </w:pPr>
    </w:p>
    <w:p>
      <w:pPr>
        <w:ind w:left="1540" w:hanging="498"/>
        <w:spacing w:after="0"/>
        <w:tabs>
          <w:tab w:leader="none" w:pos="1540" w:val="left"/>
        </w:tabs>
        <w:numPr>
          <w:ilvl w:val="1"/>
          <w:numId w:val="74"/>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76" w:lineRule="exact"/>
        <w:rPr>
          <w:rFonts w:ascii="Arial" w:cs="Arial" w:eastAsia="Arial" w:hAnsi="Arial"/>
          <w:sz w:val="18"/>
          <w:szCs w:val="18"/>
          <w:b w:val="1"/>
          <w:bCs w:val="1"/>
          <w:color w:val="auto"/>
        </w:rPr>
      </w:pPr>
    </w:p>
    <w:p>
      <w:pPr>
        <w:ind w:right="160" w:firstLine="1042"/>
        <w:spacing w:after="0" w:line="264" w:lineRule="auto"/>
        <w:tabs>
          <w:tab w:leader="none" w:pos="1519" w:val="left"/>
        </w:tabs>
        <w:numPr>
          <w:ilvl w:val="1"/>
          <w:numId w:val="74"/>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32" w:lineRule="exact"/>
        <w:rPr>
          <w:rFonts w:ascii="Arial" w:cs="Arial" w:eastAsia="Arial" w:hAnsi="Arial"/>
          <w:sz w:val="18"/>
          <w:szCs w:val="18"/>
          <w:b w:val="1"/>
          <w:bCs w:val="1"/>
          <w:color w:val="auto"/>
        </w:rPr>
      </w:pPr>
    </w:p>
    <w:p>
      <w:pPr>
        <w:ind w:left="940" w:hanging="414"/>
        <w:spacing w:after="0"/>
        <w:tabs>
          <w:tab w:leader="none" w:pos="94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90" w:lineRule="exact"/>
        <w:rPr>
          <w:rFonts w:ascii="Arial" w:cs="Arial" w:eastAsia="Arial" w:hAnsi="Arial"/>
          <w:sz w:val="18"/>
          <w:szCs w:val="18"/>
          <w:b w:val="1"/>
          <w:bCs w:val="1"/>
          <w:color w:val="auto"/>
        </w:rPr>
      </w:pPr>
    </w:p>
    <w:p>
      <w:pPr>
        <w:ind w:right="420" w:firstLine="526"/>
        <w:spacing w:after="0" w:line="304" w:lineRule="auto"/>
        <w:tabs>
          <w:tab w:leader="none" w:pos="963" w:val="left"/>
        </w:tabs>
        <w:numPr>
          <w:ilvl w:val="0"/>
          <w:numId w:val="7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Eligible Employee</w:t>
      </w:r>
      <w:r>
        <w:rPr>
          <w:rFonts w:ascii="Arial" w:cs="Arial" w:eastAsia="Arial" w:hAnsi="Arial"/>
          <w:sz w:val="17"/>
          <w:szCs w:val="17"/>
          <w:color w:val="auto"/>
        </w:rPr>
        <w:t>” means an Employee who meets the requirements set forth in the document(s) governing the Offering for eligibility to participate in the Offering, provided that such Employee also meets the requirements for eligibility to participate set forth in the Plan.</w:t>
      </w:r>
    </w:p>
    <w:p>
      <w:pPr>
        <w:spacing w:after="0" w:line="4" w:lineRule="exact"/>
        <w:rPr>
          <w:rFonts w:ascii="Arial" w:cs="Arial" w:eastAsia="Arial" w:hAnsi="Arial"/>
          <w:sz w:val="17"/>
          <w:szCs w:val="17"/>
          <w:b w:val="1"/>
          <w:bCs w:val="1"/>
          <w:color w:val="auto"/>
        </w:rPr>
      </w:pPr>
    </w:p>
    <w:p>
      <w:pPr>
        <w:ind w:right="20" w:firstLine="526"/>
        <w:spacing w:after="0" w:line="264" w:lineRule="auto"/>
        <w:tabs>
          <w:tab w:leader="none" w:pos="913"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“employed” for purposes of Section 423(b)(4) of the Code by the Company or a Related Corporation. However, service solely as a Director, or payment of a fee for such services, will not cause a Director to be considered an “Employee” for purposes of the Plan.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55" w:name="page56"/>
    <w:bookmarkEnd w:id="55"/>
    <w:p>
      <w:pPr>
        <w:ind w:right="180" w:firstLine="526"/>
        <w:spacing w:after="0" w:line="277" w:lineRule="auto"/>
        <w:tabs>
          <w:tab w:leader="none" w:pos="1013"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 Stock Purchase Plan</w:t>
      </w:r>
      <w:r>
        <w:rPr>
          <w:rFonts w:ascii="Arial" w:cs="Arial" w:eastAsia="Arial" w:hAnsi="Arial"/>
          <w:sz w:val="18"/>
          <w:szCs w:val="18"/>
          <w:color w:val="auto"/>
        </w:rPr>
        <w:t>” means a plan that grants Purchase Rights intended to be options issued under an “employee stock purchase plan,” as that term is defined in Section 423(b) of the Code.</w:t>
      </w:r>
    </w:p>
    <w:p>
      <w:pPr>
        <w:spacing w:after="0" w:line="35" w:lineRule="exact"/>
        <w:rPr>
          <w:rFonts w:ascii="Arial" w:cs="Arial" w:eastAsia="Arial" w:hAnsi="Arial"/>
          <w:sz w:val="18"/>
          <w:szCs w:val="18"/>
          <w:b w:val="1"/>
          <w:bCs w:val="1"/>
          <w:color w:val="auto"/>
        </w:rPr>
      </w:pPr>
    </w:p>
    <w:p>
      <w:pPr>
        <w:ind w:left="980" w:hanging="454"/>
        <w:spacing w:after="0"/>
        <w:tabs>
          <w:tab w:leader="none" w:pos="98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90" w:lineRule="exact"/>
        <w:rPr>
          <w:rFonts w:ascii="Arial" w:cs="Arial" w:eastAsia="Arial" w:hAnsi="Arial"/>
          <w:sz w:val="18"/>
          <w:szCs w:val="18"/>
          <w:b w:val="1"/>
          <w:bCs w:val="1"/>
          <w:color w:val="auto"/>
        </w:rPr>
      </w:pPr>
    </w:p>
    <w:p>
      <w:pPr>
        <w:ind w:left="960" w:hanging="434"/>
        <w:spacing w:after="0"/>
        <w:tabs>
          <w:tab w:leader="none" w:pos="96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Common Stock determined as follows:</w:t>
      </w:r>
    </w:p>
    <w:p>
      <w:pPr>
        <w:spacing w:after="0" w:line="76" w:lineRule="exact"/>
        <w:rPr>
          <w:rFonts w:ascii="Arial" w:cs="Arial" w:eastAsia="Arial" w:hAnsi="Arial"/>
          <w:sz w:val="18"/>
          <w:szCs w:val="18"/>
          <w:b w:val="1"/>
          <w:bCs w:val="1"/>
          <w:color w:val="auto"/>
        </w:rPr>
      </w:pPr>
    </w:p>
    <w:p>
      <w:pPr>
        <w:ind w:right="100" w:firstLine="1042"/>
        <w:spacing w:after="0" w:line="257" w:lineRule="auto"/>
        <w:tabs>
          <w:tab w:leader="none" w:pos="1429" w:val="left"/>
        </w:tabs>
        <w:numPr>
          <w:ilvl w:val="1"/>
          <w:numId w:val="75"/>
        </w:numPr>
        <w:rPr>
          <w:rFonts w:ascii="Arial" w:cs="Arial" w:eastAsia="Arial" w:hAnsi="Arial"/>
          <w:sz w:val="18"/>
          <w:szCs w:val="18"/>
          <w:b w:val="1"/>
          <w:bCs w:val="1"/>
          <w:color w:val="auto"/>
        </w:rPr>
      </w:pPr>
      <w:r>
        <w:rPr>
          <w:rFonts w:ascii="Arial" w:cs="Arial" w:eastAsia="Arial" w:hAnsi="Arial"/>
          <w:sz w:val="18"/>
          <w:szCs w:val="18"/>
          <w:color w:val="auto"/>
        </w:rPr>
        <w:t>If the Common Stock is listed on any established stock exchange or traded on any established market, the Fair Market Value of a share of Common Stock will be the closing sales price for such stock as quoted on such exchange or market (or the exchange or market with the greatest volume of trading in the Common Stock) on the date of determination,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w:t>
      </w:r>
    </w:p>
    <w:p>
      <w:pPr>
        <w:spacing w:after="0" w:line="53" w:lineRule="exact"/>
        <w:rPr>
          <w:rFonts w:ascii="Arial" w:cs="Arial" w:eastAsia="Arial" w:hAnsi="Arial"/>
          <w:sz w:val="18"/>
          <w:szCs w:val="18"/>
          <w:b w:val="1"/>
          <w:bCs w:val="1"/>
          <w:color w:val="auto"/>
        </w:rPr>
      </w:pPr>
    </w:p>
    <w:p>
      <w:pPr>
        <w:ind w:right="840" w:firstLine="1042"/>
        <w:spacing w:after="0" w:line="277" w:lineRule="auto"/>
        <w:tabs>
          <w:tab w:leader="none" w:pos="1479" w:val="left"/>
        </w:tabs>
        <w:numPr>
          <w:ilvl w:val="1"/>
          <w:numId w:val="75"/>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Common Stock, the Fair Market Value will be determined by the Board in good faith in compliance with applicable laws and regulations and in a manner that complies with Sections 409A of the Code</w:t>
      </w:r>
    </w:p>
    <w:p>
      <w:pPr>
        <w:spacing w:after="0" w:line="21" w:lineRule="exact"/>
        <w:rPr>
          <w:rFonts w:ascii="Arial" w:cs="Arial" w:eastAsia="Arial" w:hAnsi="Arial"/>
          <w:sz w:val="18"/>
          <w:szCs w:val="18"/>
          <w:b w:val="1"/>
          <w:bCs w:val="1"/>
          <w:color w:val="auto"/>
        </w:rPr>
      </w:pPr>
    </w:p>
    <w:p>
      <w:pPr>
        <w:ind w:firstLine="1042"/>
        <w:spacing w:after="0" w:line="264" w:lineRule="auto"/>
        <w:tabs>
          <w:tab w:leader="none" w:pos="1529" w:val="left"/>
        </w:tabs>
        <w:numPr>
          <w:ilvl w:val="1"/>
          <w:numId w:val="75"/>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for any Offering that commences on the IPO Date, the Fair Market Value of the shares of Common Stock on the Offering Date will be the price per share at which shares are first sold to the public in the Company’s initial public offering as specified in the final prospectus for that initial public offering.</w:t>
      </w:r>
    </w:p>
    <w:p>
      <w:pPr>
        <w:spacing w:after="0" w:line="32" w:lineRule="exact"/>
        <w:rPr>
          <w:rFonts w:ascii="Arial" w:cs="Arial" w:eastAsia="Arial" w:hAnsi="Arial"/>
          <w:sz w:val="18"/>
          <w:szCs w:val="18"/>
          <w:b w:val="1"/>
          <w:bCs w:val="1"/>
          <w:color w:val="auto"/>
        </w:rPr>
      </w:pPr>
    </w:p>
    <w:p>
      <w:pPr>
        <w:ind w:firstLine="526"/>
        <w:spacing w:after="0" w:line="277" w:lineRule="auto"/>
        <w:tabs>
          <w:tab w:leader="none" w:pos="963"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 Date</w:t>
      </w:r>
      <w:r>
        <w:rPr>
          <w:rFonts w:ascii="Arial" w:cs="Arial" w:eastAsia="Arial" w:hAnsi="Arial"/>
          <w:sz w:val="18"/>
          <w:szCs w:val="18"/>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35" w:lineRule="exact"/>
        <w:rPr>
          <w:rFonts w:ascii="Arial" w:cs="Arial" w:eastAsia="Arial" w:hAnsi="Arial"/>
          <w:sz w:val="18"/>
          <w:szCs w:val="18"/>
          <w:b w:val="1"/>
          <w:bCs w:val="1"/>
          <w:color w:val="auto"/>
        </w:rPr>
      </w:pPr>
    </w:p>
    <w:p>
      <w:pPr>
        <w:jc w:val="both"/>
        <w:ind w:right="80" w:firstLine="526"/>
        <w:spacing w:after="0" w:line="264" w:lineRule="auto"/>
        <w:tabs>
          <w:tab w:leader="none" w:pos="963"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means the grant to Eligible Employees of Purchase Rights, with the exercise of those Purchase Rights automatically occurring at the end of one or more Purchase Periods. The terms and conditions of an Offering will generally be set forth in the “</w:t>
      </w:r>
      <w:r>
        <w:rPr>
          <w:rFonts w:ascii="Arial" w:cs="Arial" w:eastAsia="Arial" w:hAnsi="Arial"/>
          <w:sz w:val="18"/>
          <w:szCs w:val="18"/>
          <w:b w:val="1"/>
          <w:bCs w:val="1"/>
          <w:i w:val="1"/>
          <w:iCs w:val="1"/>
          <w:color w:val="auto"/>
        </w:rPr>
        <w:t>Offering Document</w:t>
      </w:r>
      <w:r>
        <w:rPr>
          <w:rFonts w:ascii="Arial" w:cs="Arial" w:eastAsia="Arial" w:hAnsi="Arial"/>
          <w:sz w:val="18"/>
          <w:szCs w:val="18"/>
          <w:color w:val="auto"/>
        </w:rPr>
        <w:t>” approved by the Board for that Offering.</w:t>
      </w:r>
    </w:p>
    <w:p>
      <w:pPr>
        <w:spacing w:after="0" w:line="32" w:lineRule="exact"/>
        <w:rPr>
          <w:rFonts w:ascii="Arial" w:cs="Arial" w:eastAsia="Arial" w:hAnsi="Arial"/>
          <w:sz w:val="18"/>
          <w:szCs w:val="18"/>
          <w:b w:val="1"/>
          <w:bCs w:val="1"/>
          <w:color w:val="auto"/>
        </w:rPr>
      </w:pPr>
    </w:p>
    <w:p>
      <w:pPr>
        <w:ind w:left="960" w:hanging="434"/>
        <w:spacing w:after="0"/>
        <w:tabs>
          <w:tab w:leader="none" w:pos="96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Date</w:t>
      </w:r>
      <w:r>
        <w:rPr>
          <w:rFonts w:ascii="Arial" w:cs="Arial" w:eastAsia="Arial" w:hAnsi="Arial"/>
          <w:sz w:val="18"/>
          <w:szCs w:val="18"/>
          <w:color w:val="auto"/>
        </w:rPr>
        <w:t>” means a date selected by the Board for an Offering to commence.</w:t>
      </w:r>
    </w:p>
    <w:p>
      <w:pPr>
        <w:spacing w:after="0" w:line="76" w:lineRule="exact"/>
        <w:rPr>
          <w:rFonts w:ascii="Arial" w:cs="Arial" w:eastAsia="Arial" w:hAnsi="Arial"/>
          <w:sz w:val="18"/>
          <w:szCs w:val="18"/>
          <w:b w:val="1"/>
          <w:bCs w:val="1"/>
          <w:color w:val="auto"/>
        </w:rPr>
      </w:pPr>
    </w:p>
    <w:p>
      <w:pPr>
        <w:ind w:left="940" w:hanging="414"/>
        <w:spacing w:after="0"/>
        <w:tabs>
          <w:tab w:leader="none" w:pos="940" w:val="left"/>
        </w:tabs>
        <w:numPr>
          <w:ilvl w:val="0"/>
          <w:numId w:val="7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Officer</w:t>
      </w:r>
      <w:r>
        <w:rPr>
          <w:rFonts w:ascii="Arial" w:cs="Arial" w:eastAsia="Arial" w:hAnsi="Arial"/>
          <w:sz w:val="17"/>
          <w:szCs w:val="17"/>
          <w:color w:val="auto"/>
        </w:rPr>
        <w:t>” means a person who is an officer of the Company or a Related Corporation within the meaning of Section 16 of the Exchange Act.</w:t>
      </w:r>
    </w:p>
    <w:p>
      <w:pPr>
        <w:spacing w:after="0" w:line="101" w:lineRule="exact"/>
        <w:rPr>
          <w:rFonts w:ascii="Arial" w:cs="Arial" w:eastAsia="Arial" w:hAnsi="Arial"/>
          <w:sz w:val="17"/>
          <w:szCs w:val="17"/>
          <w:b w:val="1"/>
          <w:bCs w:val="1"/>
          <w:color w:val="auto"/>
        </w:rPr>
      </w:pPr>
    </w:p>
    <w:p>
      <w:pPr>
        <w:ind w:left="940" w:hanging="414"/>
        <w:spacing w:after="0"/>
        <w:tabs>
          <w:tab w:leader="none" w:pos="94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Eligible Employee who holds an outstanding Purchase Right.</w:t>
      </w:r>
    </w:p>
    <w:p>
      <w:pPr>
        <w:spacing w:after="0" w:line="76" w:lineRule="exact"/>
        <w:rPr>
          <w:rFonts w:ascii="Arial" w:cs="Arial" w:eastAsia="Arial" w:hAnsi="Arial"/>
          <w:sz w:val="18"/>
          <w:szCs w:val="18"/>
          <w:b w:val="1"/>
          <w:bCs w:val="1"/>
          <w:color w:val="auto"/>
        </w:rPr>
      </w:pPr>
    </w:p>
    <w:p>
      <w:pPr>
        <w:ind w:left="980" w:hanging="454"/>
        <w:spacing w:after="0"/>
        <w:tabs>
          <w:tab w:leader="none" w:pos="98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Neuronetics, Inc. 2018 Employee Stock Purchase Plan.</w:t>
      </w:r>
    </w:p>
    <w:p>
      <w:pPr>
        <w:spacing w:after="0" w:line="76" w:lineRule="exact"/>
        <w:rPr>
          <w:rFonts w:ascii="Arial" w:cs="Arial" w:eastAsia="Arial" w:hAnsi="Arial"/>
          <w:sz w:val="18"/>
          <w:szCs w:val="18"/>
          <w:b w:val="1"/>
          <w:bCs w:val="1"/>
          <w:color w:val="auto"/>
        </w:rPr>
      </w:pPr>
    </w:p>
    <w:p>
      <w:pPr>
        <w:ind w:right="180" w:firstLine="526"/>
        <w:spacing w:after="0" w:line="277" w:lineRule="auto"/>
        <w:tabs>
          <w:tab w:leader="none" w:pos="953"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means one or more dates during an Offering selected by the Board on which Purchase Rights will be exercised and on which purchases of shares of Common Stock will be carried out in accordance with such Offering.</w:t>
      </w:r>
    </w:p>
    <w:p>
      <w:pPr>
        <w:spacing w:after="0" w:line="35" w:lineRule="exact"/>
        <w:rPr>
          <w:rFonts w:ascii="Arial" w:cs="Arial" w:eastAsia="Arial" w:hAnsi="Arial"/>
          <w:sz w:val="18"/>
          <w:szCs w:val="18"/>
          <w:b w:val="1"/>
          <w:bCs w:val="1"/>
          <w:color w:val="auto"/>
        </w:rPr>
      </w:pPr>
    </w:p>
    <w:p>
      <w:pPr>
        <w:ind w:right="220" w:firstLine="526"/>
        <w:spacing w:after="0" w:line="277" w:lineRule="auto"/>
        <w:tabs>
          <w:tab w:leader="none" w:pos="993"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Period</w:t>
      </w:r>
      <w:r>
        <w:rPr>
          <w:rFonts w:ascii="Arial" w:cs="Arial" w:eastAsia="Arial" w:hAnsi="Arial"/>
          <w:sz w:val="18"/>
          <w:szCs w:val="18"/>
          <w:color w:val="auto"/>
        </w:rPr>
        <w:t>” means a period of time specified within an Offering, generally beginning on the Offering Date or on the first Trading Day following a Purchase Date, and ending on a Purchase Date. An Offering may consist of one or more Purchase Periods.</w:t>
      </w:r>
    </w:p>
    <w:p>
      <w:pPr>
        <w:spacing w:after="0" w:line="35" w:lineRule="exact"/>
        <w:rPr>
          <w:rFonts w:ascii="Arial" w:cs="Arial" w:eastAsia="Arial" w:hAnsi="Arial"/>
          <w:sz w:val="18"/>
          <w:szCs w:val="18"/>
          <w:b w:val="1"/>
          <w:bCs w:val="1"/>
          <w:color w:val="auto"/>
        </w:rPr>
      </w:pPr>
    </w:p>
    <w:p>
      <w:pPr>
        <w:ind w:left="960" w:hanging="434"/>
        <w:spacing w:after="0"/>
        <w:tabs>
          <w:tab w:leader="none" w:pos="96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Right</w:t>
      </w:r>
      <w:r>
        <w:rPr>
          <w:rFonts w:ascii="Arial" w:cs="Arial" w:eastAsia="Arial" w:hAnsi="Arial"/>
          <w:sz w:val="18"/>
          <w:szCs w:val="18"/>
          <w:color w:val="auto"/>
        </w:rPr>
        <w:t>” means an option to purchase shares of Common Stock granted pursuant to the Plan.</w:t>
      </w:r>
    </w:p>
    <w:p>
      <w:pPr>
        <w:spacing w:after="0" w:line="76" w:lineRule="exact"/>
        <w:rPr>
          <w:rFonts w:ascii="Arial" w:cs="Arial" w:eastAsia="Arial" w:hAnsi="Arial"/>
          <w:sz w:val="18"/>
          <w:szCs w:val="18"/>
          <w:b w:val="1"/>
          <w:bCs w:val="1"/>
          <w:color w:val="auto"/>
        </w:rPr>
      </w:pPr>
    </w:p>
    <w:p>
      <w:pPr>
        <w:ind w:right="180" w:firstLine="526"/>
        <w:spacing w:after="0" w:line="277" w:lineRule="auto"/>
        <w:tabs>
          <w:tab w:leader="none" w:pos="953"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Corporation</w:t>
      </w:r>
      <w:r>
        <w:rPr>
          <w:rFonts w:ascii="Arial" w:cs="Arial" w:eastAsia="Arial" w:hAnsi="Arial"/>
          <w:sz w:val="18"/>
          <w:szCs w:val="18"/>
          <w:color w:val="auto"/>
        </w:rPr>
        <w:t>” means any “parent corporation” or “subsidiary corporation” of the Company whether now or subsequently established, as those terms are defined in Sections 424(e) and (f), respectively, of the Code.</w:t>
      </w:r>
    </w:p>
    <w:p>
      <w:pPr>
        <w:spacing w:after="0" w:line="35" w:lineRule="exact"/>
        <w:rPr>
          <w:rFonts w:ascii="Arial" w:cs="Arial" w:eastAsia="Arial" w:hAnsi="Arial"/>
          <w:sz w:val="18"/>
          <w:szCs w:val="18"/>
          <w:b w:val="1"/>
          <w:bCs w:val="1"/>
          <w:color w:val="auto"/>
        </w:rPr>
      </w:pPr>
    </w:p>
    <w:p>
      <w:pPr>
        <w:ind w:left="960" w:hanging="434"/>
        <w:spacing w:after="0"/>
        <w:tabs>
          <w:tab w:leader="none" w:pos="96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77" w:lineRule="exact"/>
        <w:rPr>
          <w:sz w:val="20"/>
          <w:szCs w:val="20"/>
          <w:color w:val="auto"/>
        </w:rPr>
      </w:pPr>
    </w:p>
    <w:p>
      <w:pPr>
        <w:ind w:firstLine="526"/>
        <w:spacing w:after="0" w:line="342" w:lineRule="auto"/>
        <w:tabs>
          <w:tab w:leader="none" w:pos="1043" w:val="left"/>
        </w:tabs>
        <w:numPr>
          <w:ilvl w:val="0"/>
          <w:numId w:val="7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means any day on which the exchange(s) or market(s) on which shares of Common Stock are listed, including but not limited to the NYSE, Nasdaq Global Select Market, the Nasdaq Global Market, the Nasdaq Capital Market or any successors thereto, is open for trading.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09"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Christopher Thatcher, certify that:</w:t>
      </w:r>
    </w:p>
    <w:p>
      <w:pPr>
        <w:spacing w:after="0" w:line="225" w:lineRule="exact"/>
        <w:rPr>
          <w:sz w:val="20"/>
          <w:szCs w:val="20"/>
          <w:color w:val="auto"/>
        </w:rPr>
      </w:pPr>
    </w:p>
    <w:p>
      <w:pPr>
        <w:ind w:left="620" w:hanging="612"/>
        <w:spacing w:after="0"/>
        <w:tabs>
          <w:tab w:leader="none" w:pos="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September 30, 2018 of Neuronetics, Inc.;</w:t>
      </w:r>
    </w:p>
    <w:p>
      <w:pPr>
        <w:spacing w:after="0" w:line="225" w:lineRule="exact"/>
        <w:rPr>
          <w:rFonts w:ascii="Arial" w:cs="Arial" w:eastAsia="Arial" w:hAnsi="Arial"/>
          <w:sz w:val="18"/>
          <w:szCs w:val="18"/>
          <w:color w:val="auto"/>
        </w:rPr>
      </w:pPr>
    </w:p>
    <w:p>
      <w:pPr>
        <w:jc w:val="both"/>
        <w:ind w:left="620" w:right="340" w:hanging="612"/>
        <w:spacing w:after="0" w:line="264" w:lineRule="auto"/>
        <w:tabs>
          <w:tab w:leader="none" w:pos="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20" w:right="300" w:hanging="612"/>
        <w:spacing w:after="0" w:line="308" w:lineRule="auto"/>
        <w:tabs>
          <w:tab w:leader="none" w:pos="6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540" w:hanging="612"/>
        <w:spacing w:after="0" w:line="277" w:lineRule="auto"/>
        <w:tabs>
          <w:tab w:leader="none" w:pos="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220" w:right="160" w:hanging="604"/>
        <w:spacing w:after="0" w:line="264" w:lineRule="auto"/>
        <w:tabs>
          <w:tab w:leader="none" w:pos="12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220" w:right="460" w:hanging="604"/>
        <w:spacing w:after="0" w:line="342" w:lineRule="auto"/>
        <w:tabs>
          <w:tab w:leader="none" w:pos="1220"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20" w:hanging="604"/>
        <w:spacing w:after="0" w:line="264" w:lineRule="auto"/>
        <w:tabs>
          <w:tab w:leader="none" w:pos="12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20" w:right="240" w:hanging="612"/>
        <w:spacing w:after="0" w:line="308" w:lineRule="auto"/>
        <w:tabs>
          <w:tab w:leader="none" w:pos="6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220" w:right="700" w:hanging="604"/>
        <w:spacing w:after="0" w:line="342" w:lineRule="auto"/>
        <w:tabs>
          <w:tab w:leader="none" w:pos="1220" w:val="left"/>
        </w:tabs>
        <w:numPr>
          <w:ilvl w:val="1"/>
          <w:numId w:val="7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20" w:hanging="604"/>
        <w:spacing w:after="0" w:line="277" w:lineRule="auto"/>
        <w:tabs>
          <w:tab w:leader="none" w:pos="12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Date: November 6, 2018</w:t>
            </w:r>
          </w:p>
        </w:tc>
        <w:tc>
          <w:tcPr>
            <w:tcW w:w="2420" w:type="dxa"/>
            <w:vAlign w:val="bottom"/>
          </w:tcPr>
          <w:p>
            <w:pPr>
              <w:ind w:left="1680"/>
              <w:spacing w:after="0"/>
              <w:rPr>
                <w:sz w:val="20"/>
                <w:szCs w:val="20"/>
                <w:color w:val="auto"/>
              </w:rPr>
            </w:pPr>
            <w:r>
              <w:rPr>
                <w:rFonts w:ascii="Arial" w:cs="Arial" w:eastAsia="Arial" w:hAnsi="Arial"/>
                <w:sz w:val="18"/>
                <w:szCs w:val="18"/>
                <w:color w:val="auto"/>
              </w:rPr>
              <w:t>By:</w:t>
            </w:r>
          </w:p>
        </w:tc>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Thatcher</w:t>
            </w:r>
          </w:p>
        </w:tc>
      </w:tr>
      <w:tr>
        <w:trPr>
          <w:trHeight w:val="195"/>
        </w:trPr>
        <w:tc>
          <w:tcPr>
            <w:tcW w:w="3480" w:type="dxa"/>
            <w:vAlign w:val="bottom"/>
          </w:tcPr>
          <w:p>
            <w:pPr>
              <w:spacing w:after="0"/>
              <w:rPr>
                <w:sz w:val="16"/>
                <w:szCs w:val="16"/>
                <w:color w:val="auto"/>
              </w:rPr>
            </w:pPr>
          </w:p>
        </w:tc>
        <w:tc>
          <w:tcPr>
            <w:tcW w:w="2420" w:type="dxa"/>
            <w:vAlign w:val="bottom"/>
          </w:tcPr>
          <w:p>
            <w:pPr>
              <w:ind w:left="1680"/>
              <w:spacing w:after="0" w:line="195" w:lineRule="exact"/>
              <w:rPr>
                <w:sz w:val="20"/>
                <w:szCs w:val="20"/>
                <w:color w:val="auto"/>
              </w:rPr>
            </w:pPr>
            <w:r>
              <w:rPr>
                <w:rFonts w:ascii="Arial" w:cs="Arial" w:eastAsia="Arial" w:hAnsi="Arial"/>
                <w:sz w:val="18"/>
                <w:szCs w:val="18"/>
                <w:color w:val="auto"/>
              </w:rPr>
              <w:t>Name:</w:t>
            </w:r>
          </w:p>
        </w:tc>
        <w:tc>
          <w:tcPr>
            <w:tcW w:w="5520" w:type="dxa"/>
            <w:vAlign w:val="bottom"/>
          </w:tcPr>
          <w:p>
            <w:pPr>
              <w:spacing w:after="0" w:line="195" w:lineRule="exact"/>
              <w:rPr>
                <w:sz w:val="20"/>
                <w:szCs w:val="20"/>
                <w:color w:val="auto"/>
              </w:rPr>
            </w:pPr>
            <w:r>
              <w:rPr>
                <w:rFonts w:ascii="Arial" w:cs="Arial" w:eastAsia="Arial" w:hAnsi="Arial"/>
                <w:sz w:val="18"/>
                <w:szCs w:val="18"/>
                <w:color w:val="auto"/>
              </w:rPr>
              <w:t>Christopher Thatcher</w:t>
            </w:r>
          </w:p>
        </w:tc>
      </w:tr>
      <w:tr>
        <w:trPr>
          <w:trHeight w:val="216"/>
        </w:trPr>
        <w:tc>
          <w:tcPr>
            <w:tcW w:w="3480" w:type="dxa"/>
            <w:vAlign w:val="bottom"/>
          </w:tcPr>
          <w:p>
            <w:pPr>
              <w:spacing w:after="0"/>
              <w:rPr>
                <w:sz w:val="18"/>
                <w:szCs w:val="18"/>
                <w:color w:val="auto"/>
              </w:rPr>
            </w:pPr>
          </w:p>
        </w:tc>
        <w:tc>
          <w:tcPr>
            <w:tcW w:w="2420" w:type="dxa"/>
            <w:vAlign w:val="bottom"/>
          </w:tcPr>
          <w:p>
            <w:pPr>
              <w:ind w:left="1680"/>
              <w:spacing w:after="0"/>
              <w:rPr>
                <w:sz w:val="20"/>
                <w:szCs w:val="20"/>
                <w:color w:val="auto"/>
              </w:rPr>
            </w:pPr>
            <w:r>
              <w:rPr>
                <w:rFonts w:ascii="Arial" w:cs="Arial" w:eastAsia="Arial" w:hAnsi="Arial"/>
                <w:sz w:val="18"/>
                <w:szCs w:val="18"/>
                <w:color w:val="auto"/>
              </w:rPr>
              <w:t>Title:</w:t>
            </w:r>
          </w:p>
        </w:tc>
        <w:tc>
          <w:tcPr>
            <w:tcW w:w="55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4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Peter Donato, certify that:</w:t>
      </w:r>
    </w:p>
    <w:p>
      <w:pPr>
        <w:spacing w:after="0" w:line="225" w:lineRule="exact"/>
        <w:rPr>
          <w:sz w:val="20"/>
          <w:szCs w:val="20"/>
          <w:color w:val="auto"/>
        </w:rPr>
      </w:pPr>
    </w:p>
    <w:p>
      <w:pPr>
        <w:ind w:left="620" w:hanging="612"/>
        <w:spacing w:after="0"/>
        <w:tabs>
          <w:tab w:leader="none" w:pos="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September 30, 2018 of Neuronetics, Inc.;</w:t>
      </w:r>
    </w:p>
    <w:p>
      <w:pPr>
        <w:spacing w:after="0" w:line="225" w:lineRule="exact"/>
        <w:rPr>
          <w:rFonts w:ascii="Arial" w:cs="Arial" w:eastAsia="Arial" w:hAnsi="Arial"/>
          <w:sz w:val="18"/>
          <w:szCs w:val="18"/>
          <w:color w:val="auto"/>
        </w:rPr>
      </w:pPr>
    </w:p>
    <w:p>
      <w:pPr>
        <w:jc w:val="both"/>
        <w:ind w:left="620" w:right="340" w:hanging="612"/>
        <w:spacing w:after="0" w:line="264" w:lineRule="auto"/>
        <w:tabs>
          <w:tab w:leader="none" w:pos="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20" w:right="300" w:hanging="612"/>
        <w:spacing w:after="0" w:line="308" w:lineRule="auto"/>
        <w:tabs>
          <w:tab w:leader="none" w:pos="6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540" w:hanging="612"/>
        <w:spacing w:after="0" w:line="277" w:lineRule="auto"/>
        <w:tabs>
          <w:tab w:leader="none" w:pos="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220" w:right="160" w:hanging="604"/>
        <w:spacing w:after="0" w:line="264" w:lineRule="auto"/>
        <w:tabs>
          <w:tab w:leader="none" w:pos="12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220" w:right="460" w:hanging="604"/>
        <w:spacing w:after="0" w:line="342" w:lineRule="auto"/>
        <w:tabs>
          <w:tab w:leader="none" w:pos="1220"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20" w:hanging="604"/>
        <w:spacing w:after="0" w:line="264" w:lineRule="auto"/>
        <w:tabs>
          <w:tab w:leader="none" w:pos="12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20" w:right="240" w:hanging="612"/>
        <w:spacing w:after="0" w:line="308" w:lineRule="auto"/>
        <w:tabs>
          <w:tab w:leader="none" w:pos="6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220" w:right="700" w:hanging="604"/>
        <w:spacing w:after="0" w:line="342" w:lineRule="auto"/>
        <w:tabs>
          <w:tab w:leader="none" w:pos="1220" w:val="left"/>
        </w:tabs>
        <w:numPr>
          <w:ilvl w:val="1"/>
          <w:numId w:val="7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20" w:hanging="604"/>
        <w:spacing w:after="0" w:line="277" w:lineRule="auto"/>
        <w:tabs>
          <w:tab w:leader="none" w:pos="12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Date: November 6, 2018</w:t>
            </w:r>
          </w:p>
        </w:tc>
        <w:tc>
          <w:tcPr>
            <w:tcW w:w="2420" w:type="dxa"/>
            <w:vAlign w:val="bottom"/>
          </w:tcPr>
          <w:p>
            <w:pPr>
              <w:ind w:left="1680"/>
              <w:spacing w:after="0"/>
              <w:rPr>
                <w:sz w:val="20"/>
                <w:szCs w:val="20"/>
                <w:color w:val="auto"/>
              </w:rPr>
            </w:pPr>
            <w:r>
              <w:rPr>
                <w:rFonts w:ascii="Arial" w:cs="Arial" w:eastAsia="Arial" w:hAnsi="Arial"/>
                <w:sz w:val="18"/>
                <w:szCs w:val="18"/>
                <w:color w:val="auto"/>
              </w:rPr>
              <w:t>By:</w:t>
            </w:r>
          </w:p>
        </w:tc>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Donato</w:t>
            </w:r>
          </w:p>
        </w:tc>
      </w:tr>
      <w:tr>
        <w:trPr>
          <w:trHeight w:val="195"/>
        </w:trPr>
        <w:tc>
          <w:tcPr>
            <w:tcW w:w="3480" w:type="dxa"/>
            <w:vAlign w:val="bottom"/>
          </w:tcPr>
          <w:p>
            <w:pPr>
              <w:spacing w:after="0"/>
              <w:rPr>
                <w:sz w:val="16"/>
                <w:szCs w:val="16"/>
                <w:color w:val="auto"/>
              </w:rPr>
            </w:pPr>
          </w:p>
        </w:tc>
        <w:tc>
          <w:tcPr>
            <w:tcW w:w="2420" w:type="dxa"/>
            <w:vAlign w:val="bottom"/>
          </w:tcPr>
          <w:p>
            <w:pPr>
              <w:ind w:left="1680"/>
              <w:spacing w:after="0" w:line="195" w:lineRule="exact"/>
              <w:rPr>
                <w:sz w:val="20"/>
                <w:szCs w:val="20"/>
                <w:color w:val="auto"/>
              </w:rPr>
            </w:pPr>
            <w:r>
              <w:rPr>
                <w:rFonts w:ascii="Arial" w:cs="Arial" w:eastAsia="Arial" w:hAnsi="Arial"/>
                <w:sz w:val="18"/>
                <w:szCs w:val="18"/>
                <w:color w:val="auto"/>
              </w:rPr>
              <w:t>Name:</w:t>
            </w:r>
          </w:p>
        </w:tc>
        <w:tc>
          <w:tcPr>
            <w:tcW w:w="5520" w:type="dxa"/>
            <w:vAlign w:val="bottom"/>
          </w:tcPr>
          <w:p>
            <w:pPr>
              <w:spacing w:after="0"/>
              <w:rPr>
                <w:sz w:val="20"/>
                <w:szCs w:val="20"/>
                <w:color w:val="auto"/>
              </w:rPr>
            </w:pPr>
            <w:r>
              <w:rPr>
                <w:rFonts w:ascii="Arial" w:cs="Arial" w:eastAsia="Arial" w:hAnsi="Arial"/>
                <w:sz w:val="16"/>
                <w:szCs w:val="16"/>
                <w:color w:val="auto"/>
              </w:rPr>
              <w:t>Peter Donato</w:t>
            </w:r>
          </w:p>
        </w:tc>
      </w:tr>
      <w:tr>
        <w:trPr>
          <w:trHeight w:val="216"/>
        </w:trPr>
        <w:tc>
          <w:tcPr>
            <w:tcW w:w="3480" w:type="dxa"/>
            <w:vAlign w:val="bottom"/>
          </w:tcPr>
          <w:p>
            <w:pPr>
              <w:spacing w:after="0"/>
              <w:rPr>
                <w:sz w:val="18"/>
                <w:szCs w:val="18"/>
                <w:color w:val="auto"/>
              </w:rPr>
            </w:pPr>
          </w:p>
        </w:tc>
        <w:tc>
          <w:tcPr>
            <w:tcW w:w="2420" w:type="dxa"/>
            <w:vAlign w:val="bottom"/>
          </w:tcPr>
          <w:p>
            <w:pPr>
              <w:ind w:left="1680"/>
              <w:spacing w:after="0"/>
              <w:rPr>
                <w:sz w:val="20"/>
                <w:szCs w:val="20"/>
                <w:color w:val="auto"/>
              </w:rPr>
            </w:pPr>
            <w:r>
              <w:rPr>
                <w:rFonts w:ascii="Arial" w:cs="Arial" w:eastAsia="Arial" w:hAnsi="Arial"/>
                <w:sz w:val="18"/>
                <w:szCs w:val="18"/>
                <w:color w:val="auto"/>
              </w:rPr>
              <w:t>Title:</w:t>
            </w:r>
          </w:p>
        </w:tc>
        <w:tc>
          <w:tcPr>
            <w:tcW w:w="5520" w:type="dxa"/>
            <w:vAlign w:val="bottom"/>
          </w:tcPr>
          <w:p>
            <w:pPr>
              <w:spacing w:after="0"/>
              <w:rPr>
                <w:sz w:val="20"/>
                <w:szCs w:val="20"/>
                <w:color w:val="auto"/>
              </w:rPr>
            </w:pPr>
            <w:r>
              <w:rPr>
                <w:rFonts w:ascii="Arial" w:cs="Arial" w:eastAsia="Arial" w:hAnsi="Arial"/>
                <w:sz w:val="18"/>
                <w:szCs w:val="18"/>
                <w:color w:val="auto"/>
              </w:rPr>
              <w:t>VP, Finance and Chief Financial Officer</w:t>
            </w:r>
          </w:p>
        </w:tc>
      </w:tr>
      <w:tr>
        <w:trPr>
          <w:trHeight w:val="230"/>
        </w:trPr>
        <w:tc>
          <w:tcPr>
            <w:tcW w:w="34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877"/>
        <w:spacing w:after="0" w:line="264" w:lineRule="auto"/>
        <w:rPr>
          <w:sz w:val="20"/>
          <w:szCs w:val="20"/>
          <w:color w:val="auto"/>
        </w:rPr>
      </w:pPr>
      <w:r>
        <w:rPr>
          <w:rFonts w:ascii="Arial" w:cs="Arial" w:eastAsia="Arial" w:hAnsi="Arial"/>
          <w:sz w:val="18"/>
          <w:szCs w:val="18"/>
          <w:color w:val="auto"/>
        </w:rPr>
        <w:t>In connection with the Quarterly Report on Form 10-Q of Neuronetics, Inc. (the “Company”) for the fiscal quarter ended September 30, 2018 as filed with the Securities and Exchange Commission on the date hereof (the “Report”), I certify, pursuant to 18 U.S.C. Section 1350, as adopted pursuant to Section 906 of the Sarbanes-Oxley Act of 2002, that:</w:t>
      </w:r>
    </w:p>
    <w:p>
      <w:pPr>
        <w:spacing w:after="0" w:line="181" w:lineRule="exact"/>
        <w:rPr>
          <w:sz w:val="20"/>
          <w:szCs w:val="20"/>
          <w:color w:val="auto"/>
        </w:rPr>
      </w:pPr>
    </w:p>
    <w:p>
      <w:pPr>
        <w:ind w:left="1300" w:hanging="428"/>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580" w:hanging="428"/>
        <w:spacing w:after="0" w:line="277" w:lineRule="auto"/>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Date: November 6, 2018</w:t>
            </w:r>
          </w:p>
        </w:tc>
        <w:tc>
          <w:tcPr>
            <w:tcW w:w="3160" w:type="dxa"/>
            <w:vAlign w:val="bottom"/>
          </w:tcPr>
          <w:p>
            <w:pPr>
              <w:ind w:left="2280"/>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Thatcher</w:t>
            </w:r>
          </w:p>
        </w:tc>
      </w:tr>
      <w:tr>
        <w:trPr>
          <w:trHeight w:val="195"/>
        </w:trPr>
        <w:tc>
          <w:tcPr>
            <w:tcW w:w="4080" w:type="dxa"/>
            <w:vAlign w:val="bottom"/>
          </w:tcPr>
          <w:p>
            <w:pPr>
              <w:spacing w:after="0"/>
              <w:rPr>
                <w:sz w:val="16"/>
                <w:szCs w:val="16"/>
                <w:color w:val="auto"/>
              </w:rPr>
            </w:pPr>
          </w:p>
        </w:tc>
        <w:tc>
          <w:tcPr>
            <w:tcW w:w="3160" w:type="dxa"/>
            <w:vAlign w:val="bottom"/>
          </w:tcPr>
          <w:p>
            <w:pPr>
              <w:ind w:left="2280"/>
              <w:spacing w:after="0" w:line="195" w:lineRule="exact"/>
              <w:rPr>
                <w:sz w:val="20"/>
                <w:szCs w:val="20"/>
                <w:color w:val="auto"/>
              </w:rPr>
            </w:pPr>
            <w:r>
              <w:rPr>
                <w:rFonts w:ascii="Arial" w:cs="Arial" w:eastAsia="Arial" w:hAnsi="Arial"/>
                <w:sz w:val="18"/>
                <w:szCs w:val="18"/>
                <w:color w:val="auto"/>
              </w:rPr>
              <w:t>Name:</w:t>
            </w:r>
          </w:p>
        </w:tc>
        <w:tc>
          <w:tcPr>
            <w:tcW w:w="4180" w:type="dxa"/>
            <w:vAlign w:val="bottom"/>
          </w:tcPr>
          <w:p>
            <w:pPr>
              <w:spacing w:after="0" w:line="195" w:lineRule="exact"/>
              <w:rPr>
                <w:sz w:val="20"/>
                <w:szCs w:val="20"/>
                <w:color w:val="auto"/>
              </w:rPr>
            </w:pPr>
            <w:r>
              <w:rPr>
                <w:rFonts w:ascii="Arial" w:cs="Arial" w:eastAsia="Arial" w:hAnsi="Arial"/>
                <w:sz w:val="18"/>
                <w:szCs w:val="18"/>
                <w:color w:val="auto"/>
              </w:rPr>
              <w:t>Christopher Thatcher</w:t>
            </w:r>
          </w:p>
        </w:tc>
      </w:tr>
      <w:tr>
        <w:trPr>
          <w:trHeight w:val="216"/>
        </w:trPr>
        <w:tc>
          <w:tcPr>
            <w:tcW w:w="4080" w:type="dxa"/>
            <w:vAlign w:val="bottom"/>
          </w:tcPr>
          <w:p>
            <w:pPr>
              <w:spacing w:after="0"/>
              <w:rPr>
                <w:sz w:val="18"/>
                <w:szCs w:val="18"/>
                <w:color w:val="auto"/>
              </w:rPr>
            </w:pPr>
          </w:p>
        </w:tc>
        <w:tc>
          <w:tcPr>
            <w:tcW w:w="3160" w:type="dxa"/>
            <w:vAlign w:val="bottom"/>
          </w:tcPr>
          <w:p>
            <w:pPr>
              <w:ind w:left="2280"/>
              <w:spacing w:after="0"/>
              <w:rPr>
                <w:sz w:val="20"/>
                <w:szCs w:val="20"/>
                <w:color w:val="auto"/>
              </w:rPr>
            </w:pPr>
            <w:r>
              <w:rPr>
                <w:rFonts w:ascii="Arial" w:cs="Arial" w:eastAsia="Arial" w:hAnsi="Arial"/>
                <w:sz w:val="18"/>
                <w:szCs w:val="18"/>
                <w:color w:val="auto"/>
              </w:rPr>
              <w:t>Title:</w:t>
            </w:r>
          </w:p>
        </w:tc>
        <w:tc>
          <w:tcPr>
            <w:tcW w:w="41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0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5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877"/>
        <w:spacing w:after="0" w:line="264" w:lineRule="auto"/>
        <w:rPr>
          <w:sz w:val="20"/>
          <w:szCs w:val="20"/>
          <w:color w:val="auto"/>
        </w:rPr>
      </w:pPr>
      <w:r>
        <w:rPr>
          <w:rFonts w:ascii="Arial" w:cs="Arial" w:eastAsia="Arial" w:hAnsi="Arial"/>
          <w:sz w:val="18"/>
          <w:szCs w:val="18"/>
          <w:color w:val="auto"/>
        </w:rPr>
        <w:t>In connection with the Quarterly Report on Form 10-Q of Neuronetics, Inc. (the “Company”) for the fiscal quarter ended September 30, 2018 as filed with the Securities and Exchange Commission on the date hereof (the “Report”), I certify, pursuant to 18 U.S.C. Section 1350, as adopted pursuant to Section 906 of the Sarbanes-Oxley Act of 2002, that:</w:t>
      </w:r>
    </w:p>
    <w:p>
      <w:pPr>
        <w:spacing w:after="0" w:line="181" w:lineRule="exact"/>
        <w:rPr>
          <w:sz w:val="20"/>
          <w:szCs w:val="20"/>
          <w:color w:val="auto"/>
        </w:rPr>
      </w:pPr>
    </w:p>
    <w:p>
      <w:pPr>
        <w:ind w:left="1300" w:hanging="428"/>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580" w:hanging="428"/>
        <w:spacing w:after="0" w:line="277"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Date: November 6, 2018</w:t>
            </w:r>
          </w:p>
        </w:tc>
        <w:tc>
          <w:tcPr>
            <w:tcW w:w="3160" w:type="dxa"/>
            <w:vAlign w:val="bottom"/>
          </w:tcPr>
          <w:p>
            <w:pPr>
              <w:ind w:left="2280"/>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Donato</w:t>
            </w:r>
          </w:p>
        </w:tc>
      </w:tr>
      <w:tr>
        <w:trPr>
          <w:trHeight w:val="195"/>
        </w:trPr>
        <w:tc>
          <w:tcPr>
            <w:tcW w:w="4080" w:type="dxa"/>
            <w:vAlign w:val="bottom"/>
          </w:tcPr>
          <w:p>
            <w:pPr>
              <w:spacing w:after="0"/>
              <w:rPr>
                <w:sz w:val="16"/>
                <w:szCs w:val="16"/>
                <w:color w:val="auto"/>
              </w:rPr>
            </w:pPr>
          </w:p>
        </w:tc>
        <w:tc>
          <w:tcPr>
            <w:tcW w:w="3160" w:type="dxa"/>
            <w:vAlign w:val="bottom"/>
          </w:tcPr>
          <w:p>
            <w:pPr>
              <w:ind w:left="2280"/>
              <w:spacing w:after="0" w:line="195" w:lineRule="exact"/>
              <w:rPr>
                <w:sz w:val="20"/>
                <w:szCs w:val="20"/>
                <w:color w:val="auto"/>
              </w:rPr>
            </w:pPr>
            <w:r>
              <w:rPr>
                <w:rFonts w:ascii="Arial" w:cs="Arial" w:eastAsia="Arial" w:hAnsi="Arial"/>
                <w:sz w:val="18"/>
                <w:szCs w:val="18"/>
                <w:color w:val="auto"/>
              </w:rPr>
              <w:t>Name:</w:t>
            </w:r>
          </w:p>
        </w:tc>
        <w:tc>
          <w:tcPr>
            <w:tcW w:w="4180" w:type="dxa"/>
            <w:vAlign w:val="bottom"/>
          </w:tcPr>
          <w:p>
            <w:pPr>
              <w:spacing w:after="0" w:line="195" w:lineRule="exact"/>
              <w:rPr>
                <w:sz w:val="20"/>
                <w:szCs w:val="20"/>
                <w:color w:val="auto"/>
              </w:rPr>
            </w:pPr>
            <w:r>
              <w:rPr>
                <w:rFonts w:ascii="Arial" w:cs="Arial" w:eastAsia="Arial" w:hAnsi="Arial"/>
                <w:sz w:val="18"/>
                <w:szCs w:val="18"/>
                <w:color w:val="auto"/>
              </w:rPr>
              <w:t>Peter Donato</w:t>
            </w:r>
          </w:p>
        </w:tc>
      </w:tr>
      <w:tr>
        <w:trPr>
          <w:trHeight w:val="216"/>
        </w:trPr>
        <w:tc>
          <w:tcPr>
            <w:tcW w:w="4080" w:type="dxa"/>
            <w:vAlign w:val="bottom"/>
          </w:tcPr>
          <w:p>
            <w:pPr>
              <w:spacing w:after="0"/>
              <w:rPr>
                <w:sz w:val="18"/>
                <w:szCs w:val="18"/>
                <w:color w:val="auto"/>
              </w:rPr>
            </w:pPr>
          </w:p>
        </w:tc>
        <w:tc>
          <w:tcPr>
            <w:tcW w:w="3160" w:type="dxa"/>
            <w:vAlign w:val="bottom"/>
          </w:tcPr>
          <w:p>
            <w:pPr>
              <w:ind w:left="2280"/>
              <w:spacing w:after="0"/>
              <w:rPr>
                <w:sz w:val="20"/>
                <w:szCs w:val="20"/>
                <w:color w:val="auto"/>
              </w:rPr>
            </w:pPr>
            <w:r>
              <w:rPr>
                <w:rFonts w:ascii="Arial" w:cs="Arial" w:eastAsia="Arial" w:hAnsi="Arial"/>
                <w:sz w:val="18"/>
                <w:szCs w:val="18"/>
                <w:color w:val="auto"/>
              </w:rPr>
              <w:t>Title:</w:t>
            </w:r>
          </w:p>
        </w:tc>
        <w:tc>
          <w:tcPr>
            <w:tcW w:w="4180" w:type="dxa"/>
            <w:vAlign w:val="bottom"/>
          </w:tcPr>
          <w:p>
            <w:pPr>
              <w:spacing w:after="0"/>
              <w:rPr>
                <w:sz w:val="20"/>
                <w:szCs w:val="20"/>
                <w:color w:val="auto"/>
              </w:rPr>
            </w:pPr>
            <w:r>
              <w:rPr>
                <w:rFonts w:ascii="Arial" w:cs="Arial" w:eastAsia="Arial" w:hAnsi="Arial"/>
                <w:sz w:val="18"/>
                <w:szCs w:val="18"/>
                <w:color w:val="auto"/>
              </w:rPr>
              <w:t>VP, Finance and Chief Financial Officer</w:t>
            </w:r>
          </w:p>
        </w:tc>
      </w:tr>
      <w:tr>
        <w:trPr>
          <w:trHeight w:val="230"/>
        </w:trPr>
        <w:tc>
          <w:tcPr>
            <w:tcW w:w="40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80BD78F"/>
    <w:multiLevelType w:val="hybridMultilevel"/>
    <w:lvl w:ilvl="0">
      <w:lvlJc w:val="left"/>
      <w:lvlText w:val="[%1]"/>
      <w:numFmt w:val="upperLetter"/>
      <w:start w:val="24"/>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1."/>
      <w:numFmt w:val="decimal"/>
      <w:start w:val="1"/>
    </w:lvl>
  </w:abstractNum>
  <w:abstractNum w:abstractNumId="3">
    <w:nsid w:val="70A64E2A"/>
    <w:multiLevelType w:val="hybridMultilevel"/>
    <w:lvl w:ilvl="0">
      <w:lvlJc w:val="left"/>
      <w:lvlText w:val="(%1)"/>
      <w:numFmt w:val="lowerRoman"/>
      <w:start w:val="2"/>
    </w:lvl>
  </w:abstractNum>
  <w:abstractNum w:abstractNumId="4">
    <w:nsid w:val="6A2342EC"/>
    <w:multiLevelType w:val="hybridMultilevel"/>
    <w:lvl w:ilvl="0">
      <w:lvlJc w:val="left"/>
      <w:lvlText w:val="%1."/>
      <w:numFmt w:val="decimal"/>
      <w:start w:val="2"/>
    </w:lvl>
  </w:abstractNum>
  <w:abstractNum w:abstractNumId="5">
    <w:nsid w:val="2A487CB0"/>
    <w:multiLevelType w:val="hybridMultilevel"/>
    <w:lvl w:ilvl="0">
      <w:lvlJc w:val="left"/>
      <w:lvlText w:val="%1."/>
      <w:numFmt w:val="decimal"/>
      <w:start w:val="3"/>
    </w:lvl>
  </w:abstractNum>
  <w:abstractNum w:abstractNumId="6">
    <w:nsid w:val="1D4ED43B"/>
    <w:multiLevelType w:val="hybridMultilevel"/>
    <w:lvl w:ilvl="0">
      <w:lvlJc w:val="left"/>
      <w:lvlText w:val="%1."/>
      <w:numFmt w:val="decimal"/>
      <w:start w:val="4"/>
    </w:lvl>
  </w:abstractNum>
  <w:abstractNum w:abstractNumId="7">
    <w:nsid w:val="725A06FB"/>
    <w:multiLevelType w:val="hybridMultilevel"/>
    <w:lvl w:ilvl="0">
      <w:lvlJc w:val="left"/>
      <w:lvlText w:val="%1."/>
      <w:numFmt w:val="decimal"/>
      <w:start w:val="5"/>
    </w:lvl>
  </w:abstractNum>
  <w:abstractNum w:abstractNumId="8">
    <w:nsid w:val="2CD89A32"/>
    <w:multiLevelType w:val="hybridMultilevel"/>
    <w:lvl w:ilvl="0">
      <w:lvlJc w:val="left"/>
      <w:lvlText w:val="%1."/>
      <w:numFmt w:val="decimal"/>
      <w:start w:val="6"/>
    </w:lvl>
  </w:abstractNum>
  <w:abstractNum w:abstractNumId="9">
    <w:nsid w:val="57E4CCAF"/>
    <w:multiLevelType w:val="hybridMultilevel"/>
    <w:lvl w:ilvl="0">
      <w:lvlJc w:val="left"/>
      <w:lvlText w:val="%1."/>
      <w:numFmt w:val="decimal"/>
      <w:start w:val="7"/>
    </w:lvl>
  </w:abstractNum>
  <w:abstractNum w:abstractNumId="10">
    <w:nsid w:val="7A6D8D3C"/>
    <w:multiLevelType w:val="hybridMultilevel"/>
    <w:lvl w:ilvl="0">
      <w:lvlJc w:val="left"/>
      <w:lvlText w:val="%1."/>
      <w:numFmt w:val="decimal"/>
      <w:start w:val="8"/>
    </w:lvl>
  </w:abstractNum>
  <w:abstractNum w:abstractNumId="11">
    <w:nsid w:val="4B588F54"/>
    <w:multiLevelType w:val="hybridMultilevel"/>
    <w:lvl w:ilvl="0">
      <w:lvlJc w:val="left"/>
      <w:lvlText w:val="%1."/>
      <w:numFmt w:val="decimal"/>
      <w:start w:val="9"/>
    </w:lvl>
  </w:abstractNum>
  <w:abstractNum w:abstractNumId="12">
    <w:nsid w:val="542289EC"/>
    <w:multiLevelType w:val="hybridMultilevel"/>
    <w:lvl w:ilvl="0">
      <w:lvlJc w:val="left"/>
      <w:lvlText w:val="%1."/>
      <w:numFmt w:val="decimal"/>
      <w:start w:val="10"/>
    </w:lvl>
  </w:abstractNum>
  <w:abstractNum w:abstractNumId="13">
    <w:nsid w:val="6DE91B18"/>
    <w:multiLevelType w:val="hybridMultilevel"/>
    <w:lvl w:ilvl="0">
      <w:lvlJc w:val="left"/>
      <w:lvlText w:val="(%1)"/>
      <w:numFmt w:val="decimal"/>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1."/>
      <w:numFmt w:val="decimal"/>
      <w:start w:val="13"/>
    </w:lvl>
  </w:abstractNum>
  <w:abstractNum w:abstractNumId="17">
    <w:nsid w:val="684A481A"/>
    <w:multiLevelType w:val="hybridMultilevel"/>
    <w:lvl w:ilvl="0">
      <w:lvlJc w:val="left"/>
      <w:lvlText w:val="%1."/>
      <w:numFmt w:val="decimal"/>
      <w:start w:val="14"/>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1)"/>
      <w:numFmt w:val="lowerRoman"/>
      <w:start w:val="7"/>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
    <w:nsid w:val="75C6C33A"/>
    <w:multiLevelType w:val="hybridMultilevel"/>
    <w:lvl w:ilvl="0">
      <w:lvlJc w:val="left"/>
      <w:lvlText w:val="(%1)"/>
      <w:numFmt w:val="lowerLetter"/>
      <w:start w:val="61"/>
    </w:lvl>
    <w:lvl w:ilvl="1">
      <w:lvlJc w:val="left"/>
      <w:lvlText w:val="(%2)"/>
      <w:numFmt w:val="lowerLetter"/>
      <w:start w:val="4"/>
    </w:lvl>
  </w:abstractNum>
  <w:abstractNum w:abstractNumId="24">
    <w:nsid w:val="12E685FB"/>
    <w:multiLevelType w:val="hybridMultilevel"/>
    <w:lvl w:ilvl="0">
      <w:lvlJc w:val="left"/>
      <w:lvlText w:val="%1."/>
      <w:numFmt w:val="decimal"/>
      <w:start w:val="2"/>
    </w:lvl>
    <w:lvl w:ilvl="1">
      <w:lvlJc w:val="left"/>
      <w:lvlText w:val="(%2)"/>
      <w:numFmt w:val="lowerLetter"/>
      <w:start w:val="1"/>
    </w:lvl>
  </w:abstractNum>
  <w:abstractNum w:abstractNumId="25">
    <w:nsid w:val="70C6A529"/>
    <w:multiLevelType w:val="hybridMultilevel"/>
    <w:lvl w:ilvl="0">
      <w:lvlJc w:val="left"/>
      <w:lvlText w:val="%1"/>
      <w:numFmt w:val="upperLetter"/>
      <w:start w:val="1"/>
    </w:lvl>
    <w:lvl w:ilvl="1">
      <w:lvlJc w:val="left"/>
      <w:lvlText w:val="(%2)"/>
      <w:numFmt w:val="lowerRoman"/>
      <w:start w:val="1"/>
    </w:lvl>
  </w:abstractNum>
  <w:abstractNum w:abstractNumId="26">
    <w:nsid w:val="520EEDD1"/>
    <w:multiLevelType w:val="hybridMultilevel"/>
    <w:lvl w:ilvl="0">
      <w:lvlJc w:val="left"/>
      <w:lvlText w:val="(%1)"/>
      <w:numFmt w:val="upperLetter"/>
      <w:start w:val="4"/>
    </w:lvl>
    <w:lvl w:ilvl="1">
      <w:lvlJc w:val="left"/>
      <w:lvlText w:val="(%2)"/>
      <w:numFmt w:val="lowerRoman"/>
      <w:start w:val="2"/>
    </w:lvl>
  </w:abstractNum>
  <w:abstractNum w:abstractNumId="27">
    <w:nsid w:val="374A3FE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28">
    <w:nsid w:val="4F4EF005"/>
    <w:multiLevelType w:val="hybridMultilevel"/>
    <w:lvl w:ilvl="0">
      <w:lvlJc w:val="left"/>
      <w:lvlText w:val="(%1)"/>
      <w:numFmt w:val="decimal"/>
      <w:start w:val="2"/>
    </w:lvl>
    <w:lvl w:ilvl="1">
      <w:lvlJc w:val="left"/>
      <w:lvlText w:val="(%2)"/>
      <w:numFmt w:val="lowerLetter"/>
      <w:start w:val="3"/>
    </w:lvl>
    <w:lvl w:ilvl="2">
      <w:lvlJc w:val="left"/>
      <w:lvlText w:val="(%3)"/>
      <w:numFmt w:val="lowerRoman"/>
      <w:start w:val="1"/>
    </w:lvl>
  </w:abstractNum>
  <w:abstractNum w:abstractNumId="29">
    <w:nsid w:val="23F9C13C"/>
    <w:multiLevelType w:val="hybridMultilevel"/>
    <w:lvl w:ilvl="0">
      <w:lvlJc w:val="left"/>
      <w:lvlText w:val="%1"/>
      <w:numFmt w:val="decimal"/>
      <w:start w:val="1"/>
    </w:lvl>
    <w:lvl w:ilvl="1">
      <w:lvlJc w:val="left"/>
      <w:lvlText w:val="(%2)"/>
      <w:numFmt w:val="lowerLetter"/>
      <w:start w:val="5"/>
    </w:lvl>
  </w:abstractNum>
  <w:abstractNum w:abstractNumId="30">
    <w:nsid w:val="649BB77C"/>
    <w:multiLevelType w:val="hybridMultilevel"/>
    <w:lvl w:ilvl="0">
      <w:lvlJc w:val="left"/>
      <w:lvlText w:val="%1."/>
      <w:numFmt w:val="decimal"/>
      <w:start w:val="3"/>
    </w:lvl>
    <w:lvl w:ilvl="1">
      <w:lvlJc w:val="left"/>
      <w:lvlText w:val="(%2)"/>
      <w:numFmt w:val="lowerLetter"/>
      <w:start w:val="1"/>
    </w:lvl>
  </w:abstractNum>
  <w:abstractNum w:abstractNumId="31">
    <w:nsid w:val="275AC794"/>
    <w:multiLevelType w:val="hybridMultilevel"/>
    <w:lvl w:ilvl="0">
      <w:lvlJc w:val="left"/>
      <w:lvlText w:val="(%1)"/>
      <w:numFmt w:val="lowerLetter"/>
      <w:start w:val="2"/>
    </w:lvl>
  </w:abstractNum>
  <w:abstractNum w:abstractNumId="32">
    <w:nsid w:val="39386575"/>
    <w:multiLevelType w:val="hybridMultilevel"/>
    <w:lvl w:ilvl="0">
      <w:lvlJc w:val="left"/>
      <w:lvlText w:val="%1."/>
      <w:numFmt w:val="decimal"/>
      <w:start w:val="4"/>
    </w:lvl>
    <w:lvl w:ilvl="1">
      <w:lvlJc w:val="left"/>
      <w:lvlText w:val="(%2)"/>
      <w:numFmt w:val="lowerLetter"/>
      <w:start w:val="1"/>
    </w:lvl>
  </w:abstractNum>
  <w:abstractNum w:abstractNumId="33">
    <w:nsid w:val="1CF10FD8"/>
    <w:multiLevelType w:val="hybridMultilevel"/>
    <w:lvl w:ilvl="0">
      <w:lvlJc w:val="left"/>
      <w:lvlText w:val="(%1)"/>
      <w:numFmt w:val="lowerLetter"/>
      <w:start w:val="1"/>
    </w:lvl>
    <w:lvl w:ilvl="1">
      <w:lvlJc w:val="left"/>
      <w:lvlText w:val="(%2)"/>
      <w:numFmt w:val="lowerRoman"/>
      <w:start w:val="1"/>
    </w:lvl>
  </w:abstractNum>
  <w:abstractNum w:abstractNumId="34">
    <w:nsid w:val="180115BE"/>
    <w:multiLevelType w:val="hybridMultilevel"/>
    <w:lvl w:ilvl="0">
      <w:lvlJc w:val="left"/>
      <w:lvlText w:val="(%1)"/>
      <w:numFmt w:val="lowerLetter"/>
      <w:start w:val="4"/>
    </w:lvl>
    <w:lvl w:ilvl="1">
      <w:lvlJc w:val="left"/>
      <w:lvlText w:val="(%2)"/>
      <w:numFmt w:val="lowerRoman"/>
      <w:start w:val="1"/>
    </w:lvl>
  </w:abstractNum>
  <w:abstractNum w:abstractNumId="35">
    <w:nsid w:val="235BA861"/>
    <w:multiLevelType w:val="hybridMultilevel"/>
    <w:lvl w:ilvl="0">
      <w:lvlJc w:val="left"/>
      <w:lvlText w:val="%1"/>
      <w:numFmt w:val="lowerLetter"/>
      <w:start w:val="1"/>
    </w:lvl>
    <w:lvl w:ilvl="1">
      <w:lvlJc w:val="left"/>
      <w:lvlText w:val="(%2)"/>
      <w:numFmt w:val="lowerLetter"/>
      <w:start w:val="9"/>
    </w:lvl>
  </w:abstractNum>
  <w:abstractNum w:abstractNumId="36">
    <w:nsid w:val="47398C89"/>
    <w:multiLevelType w:val="hybridMultilevel"/>
    <w:lvl w:ilvl="0">
      <w:lvlJc w:val="left"/>
      <w:lvlText w:val="(%1)"/>
      <w:numFmt w:val="lowerLetter"/>
      <w:start w:val="61"/>
    </w:lvl>
    <w:lvl w:ilvl="1">
      <w:lvlJc w:val="left"/>
      <w:lvlText w:val="%2"/>
      <w:numFmt w:val="lowerLetter"/>
      <w:start w:val="1"/>
    </w:lvl>
  </w:abstractNum>
  <w:abstractNum w:abstractNumId="37">
    <w:nsid w:val="354FE9F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8">
    <w:nsid w:val="15B5AF5C"/>
    <w:multiLevelType w:val="hybridMultilevel"/>
    <w:lvl w:ilvl="0">
      <w:lvlJc w:val="left"/>
      <w:lvlText w:val="%1"/>
      <w:numFmt w:val="lowerLetter"/>
      <w:start w:val="1"/>
    </w:lvl>
    <w:lvl w:ilvl="1">
      <w:lvlJc w:val="left"/>
      <w:lvlText w:val="(%2)"/>
      <w:numFmt w:val="lowerRoman"/>
      <w:start w:val="4"/>
    </w:lvl>
  </w:abstractNum>
  <w:abstractNum w:abstractNumId="39">
    <w:nsid w:val="741226BB"/>
    <w:multiLevelType w:val="hybridMultilevel"/>
    <w:lvl w:ilvl="0">
      <w:lvlJc w:val="left"/>
      <w:lvlText w:val="(%1)"/>
      <w:numFmt w:val="lowerLetter"/>
      <w:start w:val="2"/>
    </w:lvl>
    <w:lvl w:ilvl="1">
      <w:lvlJc w:val="left"/>
      <w:lvlText w:val="(%2)"/>
      <w:numFmt w:val="lowerRoman"/>
      <w:start w:val="1"/>
    </w:lvl>
  </w:abstractNum>
  <w:abstractNum w:abstractNumId="40">
    <w:nsid w:val="D34B6A8"/>
    <w:multiLevelType w:val="hybridMultilevel"/>
    <w:lvl w:ilvl="0">
      <w:lvlJc w:val="left"/>
      <w:lvlText w:val="%1"/>
      <w:numFmt w:val="decimal"/>
      <w:start w:val="1"/>
    </w:lvl>
    <w:lvl w:ilvl="1">
      <w:lvlJc w:val="left"/>
      <w:lvlText w:val="(%2)"/>
      <w:numFmt w:val="lowerLetter"/>
      <w:start w:val="4"/>
    </w:lvl>
  </w:abstractNum>
  <w:abstractNum w:abstractNumId="41">
    <w:nsid w:val="10233C99"/>
    <w:multiLevelType w:val="hybridMultilevel"/>
    <w:lvl w:ilvl="0">
      <w:lvlJc w:val="left"/>
      <w:lvlText w:val="%1."/>
      <w:numFmt w:val="decimal"/>
      <w:start w:val="7"/>
    </w:lvl>
    <w:lvl w:ilvl="1">
      <w:lvlJc w:val="left"/>
      <w:lvlText w:val="(%2)"/>
      <w:numFmt w:val="lowerLetter"/>
      <w:start w:val="1"/>
    </w:lvl>
  </w:abstractNum>
  <w:abstractNum w:abstractNumId="42">
    <w:nsid w:val="3F6AB60F"/>
    <w:multiLevelType w:val="hybridMultilevel"/>
    <w:lvl w:ilvl="0">
      <w:lvlJc w:val="left"/>
      <w:lvlText w:val="(%1)"/>
      <w:numFmt w:val="lowerLetter"/>
      <w:start w:val="6"/>
    </w:lvl>
  </w:abstractNum>
  <w:abstractNum w:abstractNumId="43">
    <w:nsid w:val="61574095"/>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44">
    <w:nsid w:val="7E0C57B1"/>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45">
    <w:nsid w:val="77AE35EB"/>
    <w:multiLevelType w:val="hybridMultilevel"/>
    <w:lvl w:ilvl="0">
      <w:lvlJc w:val="left"/>
      <w:lvlText w:val="%1"/>
      <w:numFmt w:val="decimal"/>
      <w:start w:val="1"/>
    </w:lvl>
    <w:lvl w:ilvl="1">
      <w:lvlJc w:val="left"/>
      <w:lvlText w:val="(%2)"/>
      <w:numFmt w:val="lowerLetter"/>
      <w:start w:val="4"/>
    </w:lvl>
  </w:abstractNum>
  <w:abstractNum w:abstractNumId="46">
    <w:nsid w:val="579BE4F1"/>
    <w:multiLevelType w:val="hybridMultilevel"/>
    <w:lvl w:ilvl="0">
      <w:lvlJc w:val="left"/>
      <w:lvlText w:val="%1."/>
      <w:numFmt w:val="decimal"/>
      <w:start w:val="10"/>
    </w:lvl>
    <w:lvl w:ilvl="1">
      <w:lvlJc w:val="left"/>
      <w:lvlText w:val="%2"/>
      <w:numFmt w:val="lowerLetter"/>
      <w:start w:val="1"/>
    </w:lvl>
  </w:abstractNum>
  <w:abstractNum w:abstractNumId="47">
    <w:nsid w:val="310C50B3"/>
    <w:multiLevelType w:val="hybridMultilevel"/>
    <w:lvl w:ilvl="0">
      <w:lvlJc w:val="left"/>
      <w:lvlText w:val="(%1)"/>
      <w:numFmt w:val="lowerRoman"/>
      <w:start w:val="1"/>
    </w:lvl>
  </w:abstractNum>
  <w:abstractNum w:abstractNumId="48">
    <w:nsid w:val="5FF87E05"/>
    <w:multiLevelType w:val="hybridMultilevel"/>
    <w:lvl w:ilvl="0">
      <w:lvlJc w:val="left"/>
      <w:lvlText w:val="%1."/>
      <w:numFmt w:val="decimal"/>
      <w:start w:val="11"/>
    </w:lvl>
  </w:abstractNum>
  <w:abstractNum w:abstractNumId="49">
    <w:nsid w:val="2F305DEF"/>
    <w:multiLevelType w:val="hybridMultilevel"/>
    <w:lvl w:ilvl="0">
      <w:lvlJc w:val="left"/>
      <w:lvlText w:val="%1."/>
      <w:numFmt w:val="decimal"/>
      <w:start w:val="12"/>
    </w:lvl>
  </w:abstractNum>
  <w:abstractNum w:abstractNumId="50">
    <w:nsid w:val="25A70BF7"/>
    <w:multiLevelType w:val="hybridMultilevel"/>
    <w:lvl w:ilvl="0">
      <w:lvlJc w:val="left"/>
      <w:lvlText w:val="%1."/>
      <w:numFmt w:val="decimal"/>
      <w:start w:val="13"/>
    </w:lvl>
    <w:lvl w:ilvl="1">
      <w:lvlJc w:val="left"/>
      <w:lvlText w:val="(%2)"/>
      <w:numFmt w:val="lowerLetter"/>
      <w:start w:val="1"/>
    </w:lvl>
  </w:abstractNum>
  <w:abstractNum w:abstractNumId="51">
    <w:nsid w:val="1DBABF00"/>
    <w:multiLevelType w:val="hybridMultilevel"/>
    <w:lvl w:ilvl="0">
      <w:lvlJc w:val="left"/>
      <w:lvlText w:val="(%1)"/>
      <w:numFmt w:val="lowerLetter"/>
      <w:start w:val="8"/>
    </w:lvl>
  </w:abstractNum>
  <w:abstractNum w:abstractNumId="52">
    <w:nsid w:val="4AD084E9"/>
    <w:multiLevelType w:val="hybridMultilevel"/>
    <w:lvl w:ilvl="0">
      <w:lvlJc w:val="left"/>
      <w:lvlText w:val="%1"/>
      <w:numFmt w:val="upperLetter"/>
      <w:start w:val="1"/>
    </w:lvl>
    <w:lvl w:ilvl="1">
      <w:lvlJc w:val="left"/>
      <w:lvlText w:val="(%2)"/>
      <w:numFmt w:val="lowerRoman"/>
      <w:start w:val="1"/>
    </w:lvl>
  </w:abstractNum>
  <w:abstractNum w:abstractNumId="53">
    <w:nsid w:val="1F48EAA1"/>
    <w:multiLevelType w:val="hybridMultilevel"/>
    <w:lvl w:ilvl="0">
      <w:lvlJc w:val="left"/>
      <w:lvlText w:val="(%1)"/>
      <w:numFmt w:val="upperLetter"/>
      <w:start w:val="2"/>
    </w:lvl>
    <w:lvl w:ilvl="1">
      <w:lvlJc w:val="left"/>
      <w:lvlText w:val="(%2)"/>
      <w:numFmt w:val="lowerRoman"/>
      <w:start w:val="2"/>
    </w:lvl>
  </w:abstractNum>
  <w:abstractNum w:abstractNumId="54">
    <w:nsid w:val="1381823A"/>
    <w:multiLevelType w:val="hybridMultilevel"/>
    <w:lvl w:ilvl="0">
      <w:lvlJc w:val="left"/>
      <w:lvlText w:val="(%1)"/>
      <w:numFmt w:val="lowerRoman"/>
      <w:start w:val="1"/>
    </w:lvl>
  </w:abstractNum>
  <w:abstractNum w:abstractNumId="55">
    <w:nsid w:val="5DB70AE5"/>
    <w:multiLevelType w:val="hybridMultilevel"/>
    <w:lvl w:ilvl="0">
      <w:lvlJc w:val="left"/>
      <w:lvlText w:val="(%1)"/>
      <w:numFmt w:val="lowerLetter"/>
      <w:start w:val="10"/>
    </w:lvl>
    <w:lvl w:ilvl="1">
      <w:lvlJc w:val="left"/>
      <w:lvlText w:val="(%2)"/>
      <w:numFmt w:val="lowerRoman"/>
      <w:start w:val="1"/>
    </w:lvl>
  </w:abstractNum>
  <w:abstractNum w:abstractNumId="56">
    <w:nsid w:val="100F8FCA"/>
    <w:multiLevelType w:val="hybridMultilevel"/>
    <w:lvl w:ilvl="0">
      <w:lvlJc w:val="left"/>
      <w:lvlText w:val="(%1)"/>
      <w:numFmt w:val="lowerLetter"/>
      <w:start w:val="22"/>
    </w:lvl>
    <w:lvl w:ilvl="1">
      <w:lvlJc w:val="left"/>
      <w:lvlText w:val="(%2)"/>
      <w:numFmt w:val="lowerRoman"/>
      <w:start w:val="1"/>
    </w:lvl>
  </w:abstractNum>
  <w:abstractNum w:abstractNumId="57">
    <w:nsid w:val="6590700B"/>
    <w:multiLevelType w:val="hybridMultilevel"/>
    <w:lvl w:ilvl="0">
      <w:lvlJc w:val="left"/>
      <w:lvlText w:val="(%1)"/>
      <w:numFmt w:val="lowerLetter"/>
      <w:start w:val="27"/>
    </w:lvl>
  </w:abstractNum>
  <w:abstractNum w:abstractNumId="58">
    <w:nsid w:val="15014ACB"/>
    <w:multiLevelType w:val="hybridMultilevel"/>
    <w:lvl w:ilvl="0">
      <w:lvlJc w:val="left"/>
      <w:lvlText w:val="%1"/>
      <w:numFmt w:val="lowerRoman"/>
      <w:start w:val="1"/>
    </w:lvl>
    <w:lvl w:ilvl="1">
      <w:lvlJc w:val="left"/>
      <w:lvlText w:val="(%2)"/>
      <w:numFmt w:val="lowerLetter"/>
      <w:start w:val="37"/>
    </w:lvl>
  </w:abstractNum>
  <w:abstractNum w:abstractNumId="59">
    <w:nsid w:val="5F5E7FD0"/>
    <w:multiLevelType w:val="hybridMultilevel"/>
    <w:lvl w:ilvl="0">
      <w:lvlJc w:val="left"/>
      <w:lvlText w:val="(%1)"/>
      <w:numFmt w:val="lowerRoman"/>
      <w:start w:val="15"/>
    </w:lvl>
    <w:lvl w:ilvl="1">
      <w:lvlJc w:val="left"/>
      <w:lvlText w:val="%2"/>
      <w:numFmt w:val="lowerLetter"/>
      <w:start w:val="1"/>
    </w:lvl>
  </w:abstractNum>
  <w:abstractNum w:abstractNumId="60">
    <w:nsid w:val="98A3148"/>
    <w:multiLevelType w:val="hybridMultilevel"/>
    <w:lvl w:ilvl="0">
      <w:lvlJc w:val="left"/>
      <w:lvlText w:val="(%1)"/>
      <w:numFmt w:val="lowerRoman"/>
      <w:start w:val="23"/>
    </w:lvl>
    <w:lvl w:ilvl="1">
      <w:lvlJc w:val="left"/>
      <w:lvlText w:val="(%2)"/>
      <w:numFmt w:val="lowerLetter"/>
      <w:start w:val="38"/>
    </w:lvl>
  </w:abstractNum>
  <w:abstractNum w:abstractNumId="61">
    <w:nsid w:val="799D0247"/>
    <w:multiLevelType w:val="hybridMultilevel"/>
    <w:lvl w:ilvl="0">
      <w:lvlJc w:val="left"/>
      <w:lvlText w:val="(%1)"/>
      <w:numFmt w:val="lowerLetter"/>
      <w:start w:val="42"/>
    </w:lvl>
  </w:abstractNum>
  <w:abstractNum w:abstractNumId="62">
    <w:nsid w:val="6B94764"/>
    <w:multiLevelType w:val="hybridMultilevel"/>
    <w:lvl w:ilvl="0">
      <w:lvlJc w:val="left"/>
      <w:lvlText w:val="(%1)"/>
      <w:numFmt w:val="lowerLetter"/>
      <w:start w:val="53"/>
    </w:lvl>
  </w:abstractNum>
  <w:abstractNum w:abstractNumId="63">
    <w:nsid w:val="42C296B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4">
    <w:nsid w:val="168E121F"/>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65">
    <w:nsid w:val="1EBA5D2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66">
    <w:nsid w:val="661E3F1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67">
    <w:nsid w:val="5DC79EA8"/>
    <w:multiLevelType w:val="hybridMultilevel"/>
    <w:lvl w:ilvl="0">
      <w:lvlJc w:val="left"/>
      <w:lvlText w:val="%1"/>
      <w:numFmt w:val="decimal"/>
      <w:start w:val="1"/>
    </w:lvl>
    <w:lvl w:ilvl="1">
      <w:lvlJc w:val="left"/>
      <w:lvlText w:val="(%2)"/>
      <w:numFmt w:val="lowerLetter"/>
      <w:start w:val="2"/>
    </w:lvl>
  </w:abstractNum>
  <w:abstractNum w:abstractNumId="68">
    <w:nsid w:val="540A471C"/>
    <w:multiLevelType w:val="hybridMultilevel"/>
    <w:lvl w:ilvl="0">
      <w:lvlJc w:val="left"/>
      <w:lvlText w:val="%1."/>
      <w:numFmt w:val="decimal"/>
      <w:start w:val="8"/>
    </w:lvl>
    <w:lvl w:ilvl="1">
      <w:lvlJc w:val="left"/>
      <w:lvlText w:val="(%2)"/>
      <w:numFmt w:val="lowerLetter"/>
      <w:start w:val="1"/>
    </w:lvl>
  </w:abstractNum>
  <w:abstractNum w:abstractNumId="69">
    <w:nsid w:val="7BD3EE7B"/>
    <w:multiLevelType w:val="hybridMultilevel"/>
    <w:lvl w:ilvl="0">
      <w:lvlJc w:val="left"/>
      <w:lvlText w:val="%1."/>
      <w:numFmt w:val="decimal"/>
      <w:start w:val="10"/>
    </w:lvl>
    <w:lvl w:ilvl="1">
      <w:lvlJc w:val="left"/>
      <w:lvlText w:val="(%2)"/>
      <w:numFmt w:val="lowerLetter"/>
      <w:start w:val="1"/>
    </w:lvl>
  </w:abstractNum>
  <w:abstractNum w:abstractNumId="70">
    <w:nsid w:val="51D9C564"/>
    <w:multiLevelType w:val="hybridMultilevel"/>
    <w:lvl w:ilvl="0">
      <w:lvlJc w:val="left"/>
      <w:lvlText w:val="%1."/>
      <w:numFmt w:val="decimal"/>
      <w:start w:val="14"/>
    </w:lvl>
    <w:lvl w:ilvl="1">
      <w:lvlJc w:val="left"/>
      <w:lvlText w:val="(%2)"/>
      <w:numFmt w:val="lowerLetter"/>
      <w:start w:val="1"/>
    </w:lvl>
  </w:abstractNum>
  <w:abstractNum w:abstractNumId="71">
    <w:nsid w:val="613EFDC5"/>
    <w:multiLevelType w:val="hybridMultilevel"/>
    <w:lvl w:ilvl="0">
      <w:lvlJc w:val="left"/>
      <w:lvlText w:val="(%1)"/>
      <w:numFmt w:val="lowerLetter"/>
      <w:start w:val="3"/>
    </w:lvl>
  </w:abstractNum>
  <w:abstractNum w:abstractNumId="72">
    <w:nsid w:val="BF72B14"/>
    <w:multiLevelType w:val="hybridMultilevel"/>
    <w:lvl w:ilvl="0">
      <w:lvlJc w:val="left"/>
      <w:lvlText w:val="%1."/>
      <w:numFmt w:val="decimal"/>
      <w:start w:val="15"/>
    </w:lvl>
  </w:abstractNum>
  <w:abstractNum w:abstractNumId="73">
    <w:nsid w:val="11447B73"/>
    <w:multiLevelType w:val="hybridMultilevel"/>
    <w:lvl w:ilvl="0">
      <w:lvlJc w:val="left"/>
      <w:lvlText w:val="(%1)"/>
      <w:numFmt w:val="lowerLetter"/>
      <w:start w:val="1"/>
    </w:lvl>
    <w:lvl w:ilvl="1">
      <w:lvlJc w:val="left"/>
      <w:lvlText w:val="(%2)"/>
      <w:numFmt w:val="lowerRoman"/>
      <w:start w:val="1"/>
    </w:lvl>
  </w:abstractNum>
  <w:abstractNum w:abstractNumId="74">
    <w:nsid w:val="42963E5A"/>
    <w:multiLevelType w:val="hybridMultilevel"/>
    <w:lvl w:ilvl="0">
      <w:lvlJc w:val="left"/>
      <w:lvlText w:val="(%1)"/>
      <w:numFmt w:val="lowerLetter"/>
      <w:start w:val="13"/>
    </w:lvl>
    <w:lvl w:ilvl="1">
      <w:lvlJc w:val="left"/>
      <w:lvlText w:val="(%2)"/>
      <w:numFmt w:val="lowerRoman"/>
      <w:start w:val="1"/>
    </w:lvl>
  </w:abstractNum>
  <w:abstractNum w:abstractNumId="75">
    <w:nsid w:val="A0382C5"/>
    <w:multiLevelType w:val="hybridMultilevel"/>
    <w:lvl w:ilvl="0">
      <w:lvlJc w:val="left"/>
      <w:lvlText w:val="(%1)"/>
      <w:numFmt w:val="lowerLetter"/>
      <w:start w:val="27"/>
    </w:lvl>
  </w:abstractNum>
  <w:abstractNum w:abstractNumId="76">
    <w:nsid w:val="8F2B15E"/>
    <w:multiLevelType w:val="hybridMultilevel"/>
    <w:lvl w:ilvl="0">
      <w:lvlJc w:val="left"/>
      <w:lvlText w:val="%1."/>
      <w:numFmt w:val="decimal"/>
      <w:start w:val="1"/>
    </w:lvl>
    <w:lvl w:ilvl="1">
      <w:lvlJc w:val="left"/>
      <w:lvlText w:val="(%2)"/>
      <w:numFmt w:val="lowerLetter"/>
      <w:start w:val="1"/>
    </w:lvl>
  </w:abstractNum>
  <w:abstractNum w:abstractNumId="77">
    <w:nsid w:val="1A32234B"/>
    <w:multiLevelType w:val="hybridMultilevel"/>
    <w:lvl w:ilvl="0">
      <w:lvlJc w:val="left"/>
      <w:lvlText w:val="%1."/>
      <w:numFmt w:val="decimal"/>
      <w:start w:val="1"/>
    </w:lvl>
    <w:lvl w:ilvl="1">
      <w:lvlJc w:val="left"/>
      <w:lvlText w:val="(%2)"/>
      <w:numFmt w:val="lowerLetter"/>
      <w:start w:val="1"/>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2019-12-28T18:12:58Z</dcterms:created>
  <dcterms:modified xsi:type="dcterms:W3CDTF">2019-12-28T18:12:58Z</dcterms:modified>
</cp:coreProperties>
</file>