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283"/>
              <w:jc w:val="left"/>
              <w:rPr/>
            </w:pPr>
            <w:r>
              <w:rPr/>
              <w:t>Name of Issuer</w:t>
            </w:r>
          </w:p>
        </w:tc>
        <w:tc>
          <w:tcPr>
            <w:tcW w:w="4226" w:type="dxa"/>
            <w:tcBorders/>
            <w:vAlign w:val="center"/>
          </w:tcPr>
          <w:p>
            <w:pPr>
              <w:pStyle w:val="TableContents"/>
              <w:bidi w:val="0"/>
              <w:spacing w:before="0" w:after="0"/>
              <w:jc w:val="left"/>
              <w:rPr/>
            </w:pPr>
            <w:r>
              <w:rPr/>
              <w:t>Neuronetics, Inc.</w:t>
            </w:r>
          </w:p>
        </w:tc>
      </w:tr>
      <w:tr>
        <w:trPr/>
        <w:tc>
          <w:tcPr>
            <w:tcW w:w="5979" w:type="dxa"/>
            <w:tcBorders/>
            <w:vAlign w:val="center"/>
          </w:tcPr>
          <w:p>
            <w:pPr>
              <w:pStyle w:val="TableContents"/>
              <w:bidi w:val="0"/>
              <w:spacing w:before="0" w:after="283"/>
              <w:jc w:val="left"/>
              <w:rPr/>
            </w:pPr>
            <w:r>
              <w:rPr/>
              <w:t>SEC File Number</w:t>
            </w:r>
          </w:p>
        </w:tc>
        <w:tc>
          <w:tcPr>
            <w:tcW w:w="4226" w:type="dxa"/>
            <w:tcBorders/>
            <w:vAlign w:val="center"/>
          </w:tcPr>
          <w:p>
            <w:pPr>
              <w:pStyle w:val="TableContents"/>
              <w:bidi w:val="0"/>
              <w:spacing w:before="0" w:after="0"/>
              <w:jc w:val="left"/>
              <w:rPr/>
            </w:pPr>
            <w:r>
              <w:rPr/>
              <w:t>001-38546</w:t>
            </w:r>
          </w:p>
        </w:tc>
      </w:tr>
      <w:tr>
        <w:trPr/>
        <w:tc>
          <w:tcPr>
            <w:tcW w:w="5979" w:type="dxa"/>
            <w:tcBorders/>
            <w:vAlign w:val="center"/>
          </w:tcPr>
          <w:p>
            <w:pPr>
              <w:pStyle w:val="TableContents"/>
              <w:bidi w:val="0"/>
              <w:spacing w:before="0" w:after="283"/>
              <w:jc w:val="left"/>
              <w:rPr/>
            </w:pPr>
            <w:r>
              <w:rPr/>
              <w:t>Address of Issuer</w:t>
            </w:r>
          </w:p>
        </w:tc>
        <w:tc>
          <w:tcPr>
            <w:tcW w:w="4226" w:type="dxa"/>
            <w:tcBorders/>
            <w:vAlign w:val="center"/>
          </w:tcPr>
          <w:p>
            <w:pPr>
              <w:pStyle w:val="TableContents"/>
              <w:bidi w:val="0"/>
              <w:spacing w:before="0" w:after="0"/>
              <w:jc w:val="left"/>
              <w:rPr/>
            </w:pPr>
            <w:r>
              <w:rPr/>
              <w:t>3222 PHOENIXVILLE PIKE</w:t>
              <w:br/>
              <w:t>MALVERN</w:t>
              <w:br/>
              <w:t xml:space="preserve">PENNSYLVANIA </w:t>
              <w:br/>
              <w:t>19355</w:t>
            </w:r>
          </w:p>
        </w:tc>
      </w:tr>
      <w:tr>
        <w:trPr/>
        <w:tc>
          <w:tcPr>
            <w:tcW w:w="5979" w:type="dxa"/>
            <w:tcBorders/>
            <w:vAlign w:val="center"/>
          </w:tcPr>
          <w:p>
            <w:pPr>
              <w:pStyle w:val="TableContents"/>
              <w:bidi w:val="0"/>
              <w:spacing w:before="0" w:after="283"/>
              <w:jc w:val="left"/>
              <w:rPr/>
            </w:pPr>
            <w:r>
              <w:rPr/>
              <w:t>Phone</w:t>
            </w:r>
          </w:p>
        </w:tc>
        <w:tc>
          <w:tcPr>
            <w:tcW w:w="4226" w:type="dxa"/>
            <w:tcBorders/>
            <w:vAlign w:val="center"/>
          </w:tcPr>
          <w:p>
            <w:pPr>
              <w:pStyle w:val="TableContents"/>
              <w:bidi w:val="0"/>
              <w:spacing w:before="0" w:after="0"/>
              <w:jc w:val="left"/>
              <w:rPr/>
            </w:pPr>
            <w:r>
              <w:rPr/>
              <w:t>877-600-7555</w:t>
            </w:r>
          </w:p>
        </w:tc>
      </w:tr>
      <w:tr>
        <w:trPr/>
        <w:tc>
          <w:tcPr>
            <w:tcW w:w="5979" w:type="dxa"/>
            <w:tcBorders/>
            <w:vAlign w:val="center"/>
          </w:tcPr>
          <w:p>
            <w:pPr>
              <w:pStyle w:val="TableContents"/>
              <w:bidi w:val="0"/>
              <w:spacing w:before="0" w:after="283"/>
              <w:jc w:val="left"/>
              <w:rPr/>
            </w:pPr>
            <w:r>
              <w:rPr/>
              <w:t>Name of Person for Whose Account the Securities are To Be Sold</w:t>
            </w:r>
          </w:p>
        </w:tc>
        <w:tc>
          <w:tcPr>
            <w:tcW w:w="4226" w:type="dxa"/>
            <w:tcBorders/>
            <w:vAlign w:val="center"/>
          </w:tcPr>
          <w:p>
            <w:pPr>
              <w:pStyle w:val="TableContents"/>
              <w:bidi w:val="0"/>
              <w:spacing w:before="0" w:after="0"/>
              <w:jc w:val="left"/>
              <w:rPr/>
            </w:pPr>
            <w:r>
              <w:rPr/>
              <w:t>MACAN WILLIAM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9" w:type="dxa"/>
            <w:tcBorders/>
            <w:vAlign w:val="center"/>
          </w:tcPr>
          <w:p>
            <w:pPr>
              <w:pStyle w:val="TableContents"/>
              <w:bidi w:val="0"/>
              <w:spacing w:before="0" w:after="283"/>
              <w:jc w:val="left"/>
              <w:rPr/>
            </w:pPr>
            <w:r>
              <w:rPr/>
              <w:t>Relationship to Issuer</w:t>
            </w:r>
          </w:p>
        </w:tc>
        <w:tc>
          <w:tcPr>
            <w:tcW w:w="42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121033</w:t>
            </w:r>
          </w:p>
        </w:tc>
        <w:tc>
          <w:tcPr>
            <w:tcW w:w="1377" w:type="dxa"/>
            <w:tcBorders/>
            <w:vAlign w:val="center"/>
          </w:tcPr>
          <w:p>
            <w:pPr>
              <w:pStyle w:val="TableContents"/>
              <w:bidi w:val="0"/>
              <w:spacing w:before="0" w:after="283"/>
              <w:jc w:val="left"/>
              <w:rPr/>
            </w:pPr>
            <w:r>
              <w:rPr/>
              <w:t>388273.87</w:t>
            </w:r>
          </w:p>
        </w:tc>
        <w:tc>
          <w:tcPr>
            <w:tcW w:w="1552" w:type="dxa"/>
            <w:tcBorders/>
            <w:vAlign w:val="center"/>
          </w:tcPr>
          <w:p>
            <w:pPr>
              <w:pStyle w:val="TableContents"/>
              <w:bidi w:val="0"/>
              <w:spacing w:before="0" w:after="283"/>
              <w:jc w:val="left"/>
              <w:rPr/>
            </w:pPr>
            <w:r>
              <w:rPr/>
              <w:t>76197222</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121033</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/s/Wade Moss, as a duly authorized representative of Fidelity Brokerage Services LLC, as attorney-in-fact for William A. Macan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3097</Characters>
  <CharactersWithSpaces>3645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