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205740</wp:posOffset>
            </wp:positionH>
            <wp:positionV relativeFrom="page">
              <wp:posOffset>212725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229235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55245</wp:posOffset>
            </wp:positionV>
            <wp:extent cx="1430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10-K</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-95250</wp:posOffset>
            </wp:positionV>
            <wp:extent cx="1430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ind w:left="520" w:hanging="516"/>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-106045</wp:posOffset>
            </wp:positionV>
            <wp:extent cx="83820" cy="8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 cy="85090"/>
                    </a:xfrm>
                    <a:prstGeom prst="rect">
                      <a:avLst/>
                    </a:prstGeom>
                    <a:noFill/>
                  </pic:spPr>
                </pic:pic>
              </a:graphicData>
            </a:graphic>
          </wp:anchor>
        </w:drawing>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65" w:lineRule="exact"/>
        <w:rPr>
          <w:sz w:val="24"/>
          <w:szCs w:val="24"/>
          <w:color w:val="auto"/>
        </w:rPr>
      </w:pPr>
    </w:p>
    <w:p>
      <w:pPr>
        <w:ind w:left="520" w:hanging="516"/>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-97790</wp:posOffset>
            </wp:positionV>
            <wp:extent cx="83820" cy="8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820" cy="85090"/>
                    </a:xfrm>
                    <a:prstGeom prst="rect">
                      <a:avLst/>
                    </a:prstGeom>
                    <a:noFill/>
                  </pic:spPr>
                </pic:pic>
              </a:graphicData>
            </a:graphic>
          </wp:anchor>
        </w:drawing>
      </w:r>
    </w:p>
    <w:p>
      <w:pPr>
        <w:spacing w:after="0" w:line="54"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60960</wp:posOffset>
            </wp:positionV>
            <wp:extent cx="143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25"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NEURONETICS, INC.</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64770</wp:posOffset>
            </wp:positionV>
            <wp:extent cx="1430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p>
      <w:pPr>
        <w:spacing w:after="0" w:line="175"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33-1051425</w:t>
      </w:r>
    </w:p>
    <w:p>
      <w:pPr>
        <w:spacing w:after="0" w:line="53" w:lineRule="exact"/>
        <w:rPr>
          <w:sz w:val="24"/>
          <w:szCs w:val="24"/>
          <w:color w:val="auto"/>
        </w:rPr>
      </w:pPr>
    </w:p>
    <w:p>
      <w:pPr>
        <w:sectPr>
          <w:pgSz w:w="11900" w:h="16838" w:orient="portrait"/>
          <w:cols w:equalWidth="0" w:num="2">
            <w:col w:w="7360" w:space="720"/>
            <w:col w:w="3120"/>
          </w:cols>
          <w:pgMar w:left="320" w:top="411" w:right="37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1" w:lineRule="exact"/>
        <w:rPr>
          <w:sz w:val="24"/>
          <w:szCs w:val="24"/>
          <w:color w:val="auto"/>
        </w:rPr>
      </w:pPr>
    </w:p>
    <w:p>
      <w:pPr>
        <w:sectPr>
          <w:pgSz w:w="11900" w:h="16838" w:orient="portrait"/>
          <w:cols w:equalWidth="0" w:num="2">
            <w:col w:w="6720" w:space="720"/>
            <w:col w:w="3760"/>
          </w:cols>
          <w:pgMar w:left="320" w:top="411" w:right="37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3222 Phoenixville Pike, Malvern, Pennsylvania 19355</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(610) 640-4202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82550</wp:posOffset>
            </wp:positionV>
            <wp:extent cx="1430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69" w:lineRule="exact"/>
        <w:rPr>
          <w:sz w:val="24"/>
          <w:szCs w:val="24"/>
          <w:color w:val="auto"/>
        </w:rPr>
      </w:pPr>
    </w:p>
    <w:tbl>
      <w:tblPr>
        <w:tblLayout w:type="fixed"/>
        <w:tblInd w:w="20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3420" w:type="dxa"/>
            <w:vAlign w:val="bottom"/>
            <w:gridSpan w:val="5"/>
          </w:tcPr>
          <w:p>
            <w:pPr>
              <w:jc w:val="center"/>
              <w:ind w:right="100"/>
              <w:spacing w:after="0"/>
              <w:rPr>
                <w:sz w:val="20"/>
                <w:szCs w:val="20"/>
                <w:color w:val="auto"/>
              </w:rPr>
            </w:pPr>
            <w:r>
              <w:rPr>
                <w:rFonts w:ascii="Arial" w:cs="Arial" w:eastAsia="Arial" w:hAnsi="Arial"/>
                <w:sz w:val="14"/>
                <w:szCs w:val="14"/>
                <w:color w:val="auto"/>
                <w:w w:val="89"/>
              </w:rPr>
              <w:t>Securities registered pursuant to Section 12(b) of the Act:</w:t>
            </w:r>
          </w:p>
        </w:tc>
        <w:tc>
          <w:tcPr>
            <w:tcW w:w="3680" w:type="dxa"/>
            <w:vAlign w:val="bottom"/>
          </w:tcPr>
          <w:p>
            <w:pPr>
              <w:spacing w:after="0"/>
              <w:rPr>
                <w:sz w:val="15"/>
                <w:szCs w:val="15"/>
                <w:color w:val="auto"/>
              </w:rPr>
            </w:pPr>
          </w:p>
        </w:tc>
      </w:tr>
      <w:tr>
        <w:trPr>
          <w:trHeight w:val="207"/>
        </w:trPr>
        <w:tc>
          <w:tcPr>
            <w:tcW w:w="3760" w:type="dxa"/>
            <w:vAlign w:val="bottom"/>
          </w:tcPr>
          <w:p>
            <w:pPr>
              <w:jc w:val="center"/>
              <w:ind w:left="642"/>
              <w:spacing w:after="0"/>
              <w:rPr>
                <w:sz w:val="20"/>
                <w:szCs w:val="20"/>
                <w:color w:val="auto"/>
              </w:rPr>
            </w:pPr>
            <w:r>
              <w:rPr>
                <w:rFonts w:ascii="Arial" w:cs="Arial" w:eastAsia="Arial" w:hAnsi="Arial"/>
                <w:sz w:val="14"/>
                <w:szCs w:val="14"/>
                <w:b w:val="1"/>
                <w:bCs w:val="1"/>
                <w:color w:val="auto"/>
                <w:w w:val="86"/>
              </w:rPr>
              <w:t>Title of each class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9"/>
              </w:rPr>
              <w:t>Trading Symbol(s)</w:t>
            </w:r>
          </w:p>
        </w:tc>
        <w:tc>
          <w:tcPr>
            <w:tcW w:w="3680" w:type="dxa"/>
            <w:vAlign w:val="bottom"/>
          </w:tcPr>
          <w:p>
            <w:pPr>
              <w:jc w:val="center"/>
              <w:ind w:right="742"/>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20"/>
        </w:trPr>
        <w:tc>
          <w:tcPr>
            <w:tcW w:w="3760" w:type="dxa"/>
            <w:vAlign w:val="bottom"/>
            <w:tcBorders>
              <w:top w:val="single" w:sz="8" w:color="auto"/>
            </w:tcBorders>
          </w:tcPr>
          <w:p>
            <w:pPr>
              <w:jc w:val="center"/>
              <w:ind w:left="642"/>
              <w:spacing w:after="0"/>
              <w:rPr>
                <w:sz w:val="20"/>
                <w:szCs w:val="20"/>
                <w:color w:val="auto"/>
              </w:rPr>
            </w:pPr>
            <w:r>
              <w:rPr>
                <w:rFonts w:ascii="Arial" w:cs="Arial" w:eastAsia="Arial" w:hAnsi="Arial"/>
                <w:sz w:val="17"/>
                <w:szCs w:val="17"/>
                <w:color w:val="auto"/>
                <w:w w:val="91"/>
              </w:rPr>
              <w:t>Common Stock, par value $0.01 per share</w:t>
            </w: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STIM</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80" w:type="dxa"/>
            <w:vAlign w:val="bottom"/>
            <w:tcBorders>
              <w:top w:val="single" w:sz="8" w:color="auto"/>
            </w:tcBorders>
          </w:tcPr>
          <w:p>
            <w:pPr>
              <w:jc w:val="center"/>
              <w:ind w:right="742"/>
              <w:spacing w:after="0"/>
              <w:rPr>
                <w:sz w:val="20"/>
                <w:szCs w:val="20"/>
                <w:color w:val="auto"/>
              </w:rPr>
            </w:pPr>
            <w:r>
              <w:rPr>
                <w:rFonts w:ascii="Arial" w:cs="Arial" w:eastAsia="Arial" w:hAnsi="Arial"/>
                <w:sz w:val="17"/>
                <w:szCs w:val="17"/>
                <w:color w:val="auto"/>
                <w:w w:val="93"/>
              </w:rPr>
              <w:t>The Nasdaq Stock Market LLC</w:t>
            </w:r>
          </w:p>
        </w:tc>
      </w:tr>
    </w:tbl>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48" w:lineRule="exact"/>
        <w:rPr>
          <w:sz w:val="24"/>
          <w:szCs w:val="24"/>
          <w:color w:val="auto"/>
        </w:rPr>
      </w:pPr>
    </w:p>
    <w:p>
      <w:pPr>
        <w:ind w:right="3780"/>
        <w:spacing w:after="0" w:line="226"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0" w:lineRule="exact"/>
        <w:rPr>
          <w:sz w:val="24"/>
          <w:szCs w:val="24"/>
          <w:color w:val="auto"/>
        </w:rPr>
      </w:pPr>
    </w:p>
    <w:p>
      <w:pPr>
        <w:ind w:right="20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0" w:lineRule="exact"/>
        <w:rPr>
          <w:sz w:val="24"/>
          <w:szCs w:val="24"/>
          <w:color w:val="auto"/>
        </w:rPr>
      </w:pPr>
    </w:p>
    <w:p>
      <w:pPr>
        <w:ind w:right="10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74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1"/>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17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720" w:type="dxa"/>
            <w:vAlign w:val="bottom"/>
          </w:tcPr>
          <w:p>
            <w:pPr>
              <w:ind w:left="274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51" w:lineRule="exact"/>
        <w:rPr>
          <w:sz w:val="24"/>
          <w:szCs w:val="24"/>
          <w:color w:val="auto"/>
        </w:rPr>
      </w:pPr>
    </w:p>
    <w:p>
      <w:pPr>
        <w:ind w:right="3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8" w:lineRule="exact"/>
        <w:rPr>
          <w:sz w:val="24"/>
          <w:szCs w:val="24"/>
          <w:color w:val="auto"/>
        </w:rPr>
      </w:pPr>
    </w:p>
    <w:p>
      <w:pPr>
        <w:spacing w:after="0" w:line="228"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2" w:lineRule="exact"/>
        <w:rPr>
          <w:sz w:val="24"/>
          <w:szCs w:val="24"/>
          <w:color w:val="auto"/>
        </w:rPr>
      </w:pPr>
    </w:p>
    <w:p>
      <w:pPr>
        <w:spacing w:after="0" w:line="150" w:lineRule="exact"/>
        <w:tabs>
          <w:tab w:leader="none" w:pos="68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10" w:lineRule="exact"/>
        <w:rPr>
          <w:sz w:val="24"/>
          <w:szCs w:val="24"/>
          <w:color w:val="auto"/>
        </w:rPr>
      </w:pPr>
    </w:p>
    <w:p>
      <w:pPr>
        <w:ind w:right="280"/>
        <w:spacing w:after="0" w:line="272" w:lineRule="auto"/>
        <w:rPr>
          <w:sz w:val="20"/>
          <w:szCs w:val="20"/>
          <w:color w:val="auto"/>
        </w:rPr>
      </w:pPr>
      <w:r>
        <w:rPr>
          <w:rFonts w:ascii="Arial" w:cs="Arial" w:eastAsia="Arial" w:hAnsi="Arial"/>
          <w:sz w:val="13"/>
          <w:szCs w:val="13"/>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2020) was approximately $33.4 million.</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25, 2021 was 25,407,813.</w:t>
      </w:r>
    </w:p>
    <w:p>
      <w:pPr>
        <w:spacing w:after="0" w:line="26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64" w:lineRule="exact"/>
        <w:rPr>
          <w:sz w:val="24"/>
          <w:szCs w:val="24"/>
          <w:color w:val="auto"/>
        </w:rPr>
      </w:pPr>
    </w:p>
    <w:p>
      <w:pPr>
        <w:ind w:right="20"/>
        <w:spacing w:after="0" w:line="237" w:lineRule="auto"/>
        <w:rPr>
          <w:sz w:val="20"/>
          <w:szCs w:val="20"/>
          <w:color w:val="auto"/>
        </w:rPr>
      </w:pPr>
      <w:r>
        <w:rPr>
          <w:rFonts w:ascii="Arial" w:cs="Arial" w:eastAsia="Arial" w:hAnsi="Arial"/>
          <w:sz w:val="14"/>
          <w:szCs w:val="14"/>
          <w:color w:val="auto"/>
        </w:rPr>
        <w:t>Portions of the Registrant’s Definitive Proxy Statement relating to the 2021 Annual Meeting of Stockholders, which will be filed with the Securities and Exchange Commission within 120 days after the end of the Registrant’s fiscal year ended December 31, 2020,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137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66040</wp:posOffset>
            </wp:positionV>
            <wp:extent cx="7137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149225</wp:posOffset>
            </wp:positionV>
            <wp:extent cx="713740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NEURONETICS,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Annual Report on Form 10-K for the year ended December 31, 2020</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w w:val="77"/>
              </w:rPr>
              <w:t>Page</w:t>
            </w:r>
          </w:p>
        </w:tc>
      </w:tr>
      <w:tr>
        <w:trPr>
          <w:trHeight w:val="319"/>
        </w:trPr>
        <w:tc>
          <w:tcPr>
            <w:tcW w:w="9940" w:type="dxa"/>
            <w:vAlign w:val="bottom"/>
            <w:gridSpan w:val="2"/>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Cautionary Note Regarding Forward-Looking Statements</w:t>
              </w:r>
            </w:hyperlink>
          </w:p>
        </w:tc>
        <w:tc>
          <w:tcPr>
            <w:tcW w:w="8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60"/>
        </w:trPr>
        <w:tc>
          <w:tcPr>
            <w:tcW w:w="1000" w:type="dxa"/>
            <w:vAlign w:val="bottom"/>
          </w:tcPr>
          <w:p>
            <w:pPr>
              <w:spacing w:after="0"/>
              <w:rPr>
                <w:sz w:val="22"/>
                <w:szCs w:val="22"/>
                <w:color w:val="auto"/>
              </w:rPr>
            </w:pPr>
          </w:p>
        </w:tc>
        <w:tc>
          <w:tcPr>
            <w:tcW w:w="8940" w:type="dxa"/>
            <w:vAlign w:val="bottom"/>
          </w:tcPr>
          <w:p>
            <w:pPr>
              <w:jc w:val="center"/>
              <w:ind w:left="133"/>
              <w:spacing w:after="0"/>
              <w:rPr>
                <w:rFonts w:ascii="Arial" w:cs="Arial" w:eastAsia="Arial" w:hAnsi="Arial"/>
                <w:sz w:val="17"/>
                <w:szCs w:val="17"/>
                <w:u w:val="single" w:color="auto"/>
                <w:color w:val="0000EE"/>
                <w:w w:val="94"/>
              </w:rPr>
            </w:pPr>
            <w:hyperlink w:anchor="page4">
              <w:r>
                <w:rPr>
                  <w:rFonts w:ascii="Arial" w:cs="Arial" w:eastAsia="Arial" w:hAnsi="Arial"/>
                  <w:sz w:val="17"/>
                  <w:szCs w:val="17"/>
                  <w:u w:val="single" w:color="auto"/>
                  <w:color w:val="0000EE"/>
                  <w:w w:val="94"/>
                </w:rPr>
                <w:t>PART I</w:t>
              </w:r>
            </w:hyperlink>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w:t>
            </w:r>
          </w:p>
        </w:tc>
        <w:tc>
          <w:tcPr>
            <w:tcW w:w="8940" w:type="dxa"/>
            <w:vAlign w:val="bottom"/>
          </w:tcPr>
          <w:p>
            <w:pPr>
              <w:ind w:left="26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Business.</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2</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1A.</w:t>
            </w:r>
          </w:p>
        </w:tc>
        <w:tc>
          <w:tcPr>
            <w:tcW w:w="8940" w:type="dxa"/>
            <w:vAlign w:val="bottom"/>
          </w:tcPr>
          <w:p>
            <w:pPr>
              <w:ind w:left="260"/>
              <w:spacing w:after="0"/>
              <w:rPr>
                <w:rFonts w:ascii="Arial" w:cs="Arial" w:eastAsia="Arial" w:hAnsi="Arial"/>
                <w:sz w:val="17"/>
                <w:szCs w:val="17"/>
                <w:color w:val="0000EE"/>
              </w:rPr>
            </w:pPr>
            <w:hyperlink w:anchor="page22">
              <w:r>
                <w:rPr>
                  <w:rFonts w:ascii="Arial" w:cs="Arial" w:eastAsia="Arial" w:hAnsi="Arial"/>
                  <w:sz w:val="17"/>
                  <w:szCs w:val="17"/>
                  <w:u w:val="single" w:color="auto"/>
                  <w:color w:val="0000EE"/>
                </w:rPr>
                <w:t>Risk Factors</w:t>
              </w:r>
              <w:r>
                <w:rPr>
                  <w:rFonts w:ascii="Arial" w:cs="Arial" w:eastAsia="Arial" w:hAnsi="Arial"/>
                  <w:sz w:val="17"/>
                  <w:szCs w:val="17"/>
                  <w:color w:val="0000EE"/>
                </w:rPr>
                <w:t>.</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20</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1B.</w:t>
            </w:r>
          </w:p>
        </w:tc>
        <w:tc>
          <w:tcPr>
            <w:tcW w:w="8940" w:type="dxa"/>
            <w:vAlign w:val="bottom"/>
          </w:tcPr>
          <w:p>
            <w:pPr>
              <w:ind w:left="260"/>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Unresolved Staff Comments.</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58</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2.</w:t>
            </w:r>
          </w:p>
        </w:tc>
        <w:tc>
          <w:tcPr>
            <w:tcW w:w="8940" w:type="dxa"/>
            <w:vAlign w:val="bottom"/>
          </w:tcPr>
          <w:p>
            <w:pPr>
              <w:ind w:left="260"/>
              <w:spacing w:after="0"/>
              <w:rPr>
                <w:rFonts w:ascii="Arial" w:cs="Arial" w:eastAsia="Arial" w:hAnsi="Arial"/>
                <w:sz w:val="17"/>
                <w:szCs w:val="17"/>
                <w:color w:val="0000EE"/>
              </w:rPr>
            </w:pPr>
            <w:hyperlink w:anchor="page60">
              <w:r>
                <w:rPr>
                  <w:rFonts w:ascii="Arial" w:cs="Arial" w:eastAsia="Arial" w:hAnsi="Arial"/>
                  <w:sz w:val="17"/>
                  <w:szCs w:val="17"/>
                  <w:u w:val="single" w:color="auto"/>
                  <w:color w:val="0000EE"/>
                </w:rPr>
                <w:t>Properties</w:t>
              </w:r>
              <w:r>
                <w:rPr>
                  <w:rFonts w:ascii="Arial" w:cs="Arial" w:eastAsia="Arial" w:hAnsi="Arial"/>
                  <w:sz w:val="17"/>
                  <w:szCs w:val="17"/>
                  <w:color w:val="0000EE"/>
                </w:rPr>
                <w:t>.</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58</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3.</w:t>
            </w:r>
          </w:p>
        </w:tc>
        <w:tc>
          <w:tcPr>
            <w:tcW w:w="8940" w:type="dxa"/>
            <w:vAlign w:val="bottom"/>
          </w:tcPr>
          <w:p>
            <w:pPr>
              <w:ind w:left="260"/>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Legal Proceedings.</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58</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4.</w:t>
            </w:r>
          </w:p>
        </w:tc>
        <w:tc>
          <w:tcPr>
            <w:tcW w:w="8940" w:type="dxa"/>
            <w:vAlign w:val="bottom"/>
          </w:tcPr>
          <w:p>
            <w:pPr>
              <w:ind w:left="260"/>
              <w:spacing w:after="0"/>
              <w:rPr>
                <w:rFonts w:ascii="Arial" w:cs="Arial" w:eastAsia="Arial" w:hAnsi="Arial"/>
                <w:sz w:val="17"/>
                <w:szCs w:val="17"/>
                <w:color w:val="0000EE"/>
              </w:rPr>
            </w:pPr>
            <w:hyperlink w:anchor="page60">
              <w:r>
                <w:rPr>
                  <w:rFonts w:ascii="Arial" w:cs="Arial" w:eastAsia="Arial" w:hAnsi="Arial"/>
                  <w:sz w:val="17"/>
                  <w:szCs w:val="17"/>
                  <w:u w:val="single" w:color="auto"/>
                  <w:color w:val="0000EE"/>
                </w:rPr>
                <w:t>Mine Safety Disclosures</w:t>
              </w:r>
              <w:r>
                <w:rPr>
                  <w:rFonts w:ascii="Arial" w:cs="Arial" w:eastAsia="Arial" w:hAnsi="Arial"/>
                  <w:sz w:val="17"/>
                  <w:szCs w:val="17"/>
                  <w:color w:val="0000EE"/>
                </w:rPr>
                <w:t>.</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58</w:t>
            </w:r>
          </w:p>
        </w:tc>
      </w:tr>
      <w:tr>
        <w:trPr>
          <w:trHeight w:val="521"/>
        </w:trPr>
        <w:tc>
          <w:tcPr>
            <w:tcW w:w="1000" w:type="dxa"/>
            <w:vAlign w:val="bottom"/>
          </w:tcPr>
          <w:p>
            <w:pPr>
              <w:spacing w:after="0"/>
              <w:rPr>
                <w:sz w:val="24"/>
                <w:szCs w:val="24"/>
                <w:color w:val="auto"/>
              </w:rPr>
            </w:pPr>
          </w:p>
        </w:tc>
        <w:tc>
          <w:tcPr>
            <w:tcW w:w="8940" w:type="dxa"/>
            <w:vAlign w:val="bottom"/>
          </w:tcPr>
          <w:p>
            <w:pPr>
              <w:jc w:val="center"/>
              <w:ind w:left="153"/>
              <w:spacing w:after="0"/>
              <w:rPr>
                <w:rFonts w:ascii="Arial" w:cs="Arial" w:eastAsia="Arial" w:hAnsi="Arial"/>
                <w:sz w:val="17"/>
                <w:szCs w:val="17"/>
                <w:u w:val="single" w:color="auto"/>
                <w:color w:val="0000EE"/>
                <w:w w:val="97"/>
              </w:rPr>
            </w:pPr>
            <w:hyperlink w:anchor="page61">
              <w:r>
                <w:rPr>
                  <w:rFonts w:ascii="Arial" w:cs="Arial" w:eastAsia="Arial" w:hAnsi="Arial"/>
                  <w:sz w:val="17"/>
                  <w:szCs w:val="17"/>
                  <w:u w:val="single" w:color="auto"/>
                  <w:color w:val="0000EE"/>
                  <w:w w:val="97"/>
                </w:rPr>
                <w:t>PART II</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5.</w:t>
            </w:r>
          </w:p>
        </w:tc>
        <w:tc>
          <w:tcPr>
            <w:tcW w:w="8940" w:type="dxa"/>
            <w:vAlign w:val="bottom"/>
          </w:tcPr>
          <w:p>
            <w:pPr>
              <w:ind w:left="260"/>
              <w:spacing w:after="0"/>
              <w:rPr>
                <w:rFonts w:ascii="Arial" w:cs="Arial" w:eastAsia="Arial" w:hAnsi="Arial"/>
                <w:sz w:val="17"/>
                <w:szCs w:val="17"/>
                <w:color w:val="0000EE"/>
              </w:rPr>
            </w:pPr>
            <w:hyperlink w:anchor="page61">
              <w:r>
                <w:rPr>
                  <w:rFonts w:ascii="Arial" w:cs="Arial" w:eastAsia="Arial" w:hAnsi="Arial"/>
                  <w:sz w:val="17"/>
                  <w:szCs w:val="17"/>
                  <w:u w:val="single" w:color="auto"/>
                  <w:color w:val="0000EE"/>
                </w:rPr>
                <w:t>Market for Registrant’s Common Equity, Related Stockholder Matters and Issuer Purchases of Equity Securities</w:t>
              </w:r>
              <w:r>
                <w:rPr>
                  <w:rFonts w:ascii="Arial" w:cs="Arial" w:eastAsia="Arial" w:hAnsi="Arial"/>
                  <w:sz w:val="17"/>
                  <w:szCs w:val="17"/>
                  <w:color w:val="0000EE"/>
                </w:rPr>
                <w:t>.</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59</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6.</w:t>
            </w:r>
          </w:p>
        </w:tc>
        <w:tc>
          <w:tcPr>
            <w:tcW w:w="8940" w:type="dxa"/>
            <w:vAlign w:val="bottom"/>
          </w:tcPr>
          <w:p>
            <w:pPr>
              <w:ind w:left="260"/>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Selected Financial Data.</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60</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7.</w:t>
            </w:r>
          </w:p>
        </w:tc>
        <w:tc>
          <w:tcPr>
            <w:tcW w:w="8940" w:type="dxa"/>
            <w:vAlign w:val="bottom"/>
          </w:tcPr>
          <w:p>
            <w:pPr>
              <w:ind w:left="260"/>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Management’s Discussion and Analysis of Financial Condition and Results of Operations.</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61</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7A.</w:t>
            </w:r>
          </w:p>
        </w:tc>
        <w:tc>
          <w:tcPr>
            <w:tcW w:w="8940" w:type="dxa"/>
            <w:vAlign w:val="bottom"/>
          </w:tcPr>
          <w:p>
            <w:pPr>
              <w:ind w:left="26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Quantitative and Qualitative Disclosures About Market Risk.</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77</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8.</w:t>
            </w:r>
          </w:p>
        </w:tc>
        <w:tc>
          <w:tcPr>
            <w:tcW w:w="8940" w:type="dxa"/>
            <w:vAlign w:val="bottom"/>
          </w:tcPr>
          <w:p>
            <w:pPr>
              <w:ind w:left="26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Financial Statements and Supplementary Data.</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77</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9.</w:t>
            </w:r>
          </w:p>
        </w:tc>
        <w:tc>
          <w:tcPr>
            <w:tcW w:w="8940" w:type="dxa"/>
            <w:vAlign w:val="bottom"/>
          </w:tcPr>
          <w:p>
            <w:pPr>
              <w:ind w:left="26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Changes in and Disagreements with Accountants on Accounting and Financial Disclosure.</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77</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9A.</w:t>
            </w:r>
          </w:p>
        </w:tc>
        <w:tc>
          <w:tcPr>
            <w:tcW w:w="8940" w:type="dxa"/>
            <w:vAlign w:val="bottom"/>
          </w:tcPr>
          <w:p>
            <w:pPr>
              <w:ind w:left="260"/>
              <w:spacing w:after="0"/>
              <w:rPr>
                <w:rFonts w:ascii="Arial" w:cs="Arial" w:eastAsia="Arial" w:hAnsi="Arial"/>
                <w:sz w:val="17"/>
                <w:szCs w:val="17"/>
                <w:color w:val="0000EE"/>
              </w:rPr>
            </w:pPr>
            <w:hyperlink w:anchor="page79">
              <w:r>
                <w:rPr>
                  <w:rFonts w:ascii="Arial" w:cs="Arial" w:eastAsia="Arial" w:hAnsi="Arial"/>
                  <w:sz w:val="17"/>
                  <w:szCs w:val="17"/>
                  <w:u w:val="single" w:color="auto"/>
                  <w:color w:val="0000EE"/>
                </w:rPr>
                <w:t>Controls and Procedures</w:t>
              </w:r>
              <w:r>
                <w:rPr>
                  <w:rFonts w:ascii="Arial" w:cs="Arial" w:eastAsia="Arial" w:hAnsi="Arial"/>
                  <w:sz w:val="17"/>
                  <w:szCs w:val="17"/>
                  <w:color w:val="0000EE"/>
                </w:rPr>
                <w:t>.</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77</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9B.</w:t>
            </w:r>
          </w:p>
        </w:tc>
        <w:tc>
          <w:tcPr>
            <w:tcW w:w="8940" w:type="dxa"/>
            <w:vAlign w:val="bottom"/>
          </w:tcPr>
          <w:p>
            <w:pPr>
              <w:ind w:left="260"/>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Other Information.</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78</w:t>
            </w:r>
          </w:p>
        </w:tc>
      </w:tr>
      <w:tr>
        <w:trPr>
          <w:trHeight w:val="521"/>
        </w:trPr>
        <w:tc>
          <w:tcPr>
            <w:tcW w:w="1000" w:type="dxa"/>
            <w:vAlign w:val="bottom"/>
          </w:tcPr>
          <w:p>
            <w:pPr>
              <w:spacing w:after="0"/>
              <w:rPr>
                <w:sz w:val="24"/>
                <w:szCs w:val="24"/>
                <w:color w:val="auto"/>
              </w:rPr>
            </w:pPr>
          </w:p>
        </w:tc>
        <w:tc>
          <w:tcPr>
            <w:tcW w:w="8940" w:type="dxa"/>
            <w:vAlign w:val="bottom"/>
          </w:tcPr>
          <w:p>
            <w:pPr>
              <w:jc w:val="center"/>
              <w:ind w:left="133"/>
              <w:spacing w:after="0"/>
              <w:rPr>
                <w:rFonts w:ascii="Arial" w:cs="Arial" w:eastAsia="Arial" w:hAnsi="Arial"/>
                <w:sz w:val="17"/>
                <w:szCs w:val="17"/>
                <w:u w:val="single" w:color="auto"/>
                <w:color w:val="0000EE"/>
                <w:w w:val="99"/>
              </w:rPr>
            </w:pPr>
            <w:hyperlink w:anchor="page81">
              <w:r>
                <w:rPr>
                  <w:rFonts w:ascii="Arial" w:cs="Arial" w:eastAsia="Arial" w:hAnsi="Arial"/>
                  <w:sz w:val="17"/>
                  <w:szCs w:val="17"/>
                  <w:u w:val="single" w:color="auto"/>
                  <w:color w:val="0000EE"/>
                  <w:w w:val="99"/>
                </w:rPr>
                <w:t>PART III</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10.</w:t>
            </w:r>
          </w:p>
        </w:tc>
        <w:tc>
          <w:tcPr>
            <w:tcW w:w="8940" w:type="dxa"/>
            <w:vAlign w:val="bottom"/>
          </w:tcPr>
          <w:p>
            <w:pPr>
              <w:ind w:left="260"/>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Directors, Executive Officers and Corporate Governance.</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79</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11.</w:t>
            </w:r>
          </w:p>
        </w:tc>
        <w:tc>
          <w:tcPr>
            <w:tcW w:w="8940" w:type="dxa"/>
            <w:vAlign w:val="bottom"/>
          </w:tcPr>
          <w:p>
            <w:pPr>
              <w:ind w:left="260"/>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Executive Compensation.</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79</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12.</w:t>
            </w:r>
          </w:p>
        </w:tc>
        <w:tc>
          <w:tcPr>
            <w:tcW w:w="8940" w:type="dxa"/>
            <w:vAlign w:val="bottom"/>
          </w:tcPr>
          <w:p>
            <w:pPr>
              <w:ind w:left="260"/>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Security Ownership of Certain Beneficial Owners and Management and Related Stockholder Matters.</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79</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13.</w:t>
            </w:r>
          </w:p>
        </w:tc>
        <w:tc>
          <w:tcPr>
            <w:tcW w:w="8940" w:type="dxa"/>
            <w:vAlign w:val="bottom"/>
          </w:tcPr>
          <w:p>
            <w:pPr>
              <w:ind w:left="260"/>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Certain Relationships and Related Transactions, and Director Independence.</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79</w:t>
            </w: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14.</w:t>
            </w:r>
          </w:p>
        </w:tc>
        <w:tc>
          <w:tcPr>
            <w:tcW w:w="8940" w:type="dxa"/>
            <w:vAlign w:val="bottom"/>
          </w:tcPr>
          <w:p>
            <w:pPr>
              <w:ind w:left="260"/>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Principal Accounting Fees and Services.</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79</w:t>
            </w:r>
          </w:p>
        </w:tc>
      </w:tr>
      <w:tr>
        <w:trPr>
          <w:trHeight w:val="521"/>
        </w:trPr>
        <w:tc>
          <w:tcPr>
            <w:tcW w:w="1000" w:type="dxa"/>
            <w:vAlign w:val="bottom"/>
          </w:tcPr>
          <w:p>
            <w:pPr>
              <w:spacing w:after="0"/>
              <w:rPr>
                <w:sz w:val="24"/>
                <w:szCs w:val="24"/>
                <w:color w:val="auto"/>
              </w:rPr>
            </w:pPr>
          </w:p>
        </w:tc>
        <w:tc>
          <w:tcPr>
            <w:tcW w:w="8940" w:type="dxa"/>
            <w:vAlign w:val="bottom"/>
          </w:tcPr>
          <w:p>
            <w:pPr>
              <w:jc w:val="center"/>
              <w:ind w:left="133"/>
              <w:spacing w:after="0"/>
              <w:rPr>
                <w:rFonts w:ascii="Arial" w:cs="Arial" w:eastAsia="Arial" w:hAnsi="Arial"/>
                <w:sz w:val="17"/>
                <w:szCs w:val="17"/>
                <w:u w:val="single" w:color="auto"/>
                <w:color w:val="0000EE"/>
                <w:w w:val="96"/>
              </w:rPr>
            </w:pPr>
            <w:hyperlink w:anchor="page82">
              <w:r>
                <w:rPr>
                  <w:rFonts w:ascii="Arial" w:cs="Arial" w:eastAsia="Arial" w:hAnsi="Arial"/>
                  <w:sz w:val="17"/>
                  <w:szCs w:val="17"/>
                  <w:u w:val="single" w:color="auto"/>
                  <w:color w:val="0000EE"/>
                  <w:w w:val="96"/>
                </w:rPr>
                <w:t>PART IV</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0"/>
        </w:trPr>
        <w:tc>
          <w:tcPr>
            <w:tcW w:w="1000" w:type="dxa"/>
            <w:vAlign w:val="bottom"/>
          </w:tcPr>
          <w:p>
            <w:pPr>
              <w:ind w:left="140"/>
              <w:spacing w:after="0"/>
              <w:rPr>
                <w:sz w:val="20"/>
                <w:szCs w:val="20"/>
                <w:color w:val="auto"/>
              </w:rPr>
            </w:pPr>
            <w:r>
              <w:rPr>
                <w:rFonts w:ascii="Arial" w:cs="Arial" w:eastAsia="Arial" w:hAnsi="Arial"/>
                <w:sz w:val="17"/>
                <w:szCs w:val="17"/>
                <w:color w:val="auto"/>
              </w:rPr>
              <w:t>Item 15.</w:t>
            </w:r>
          </w:p>
        </w:tc>
        <w:tc>
          <w:tcPr>
            <w:tcW w:w="8940" w:type="dxa"/>
            <w:vAlign w:val="bottom"/>
          </w:tcPr>
          <w:p>
            <w:pPr>
              <w:ind w:left="260"/>
              <w:spacing w:after="0"/>
              <w:rPr>
                <w:rFonts w:ascii="Arial" w:cs="Arial" w:eastAsia="Arial" w:hAnsi="Arial"/>
                <w:sz w:val="17"/>
                <w:szCs w:val="17"/>
                <w:u w:val="single" w:color="auto"/>
                <w:color w:val="0000EE"/>
              </w:rPr>
            </w:pPr>
            <w:hyperlink w:anchor="page82">
              <w:r>
                <w:rPr>
                  <w:rFonts w:ascii="Arial" w:cs="Arial" w:eastAsia="Arial" w:hAnsi="Arial"/>
                  <w:sz w:val="17"/>
                  <w:szCs w:val="17"/>
                  <w:u w:val="single" w:color="auto"/>
                  <w:color w:val="0000EE"/>
                </w:rPr>
                <w:t>Exhibits, Financial Statement Schedules.</w:t>
              </w:r>
            </w:hyperlink>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80</w:t>
            </w:r>
          </w:p>
        </w:tc>
      </w:tr>
    </w:tbl>
    <w:p>
      <w:pPr>
        <w:spacing w:after="0" w:line="300" w:lineRule="exact"/>
        <w:rPr>
          <w:sz w:val="20"/>
          <w:szCs w:val="20"/>
          <w:color w:val="auto"/>
        </w:rPr>
      </w:pPr>
    </w:p>
    <w:p>
      <w:pPr>
        <w:jc w:val="center"/>
        <w:ind w:right="20"/>
        <w:spacing w:after="0"/>
        <w:rPr>
          <w:rFonts w:ascii="Arial" w:cs="Arial" w:eastAsia="Arial" w:hAnsi="Arial"/>
          <w:sz w:val="17"/>
          <w:szCs w:val="17"/>
          <w:u w:val="single" w:color="auto"/>
          <w:color w:val="0000EE"/>
        </w:rPr>
      </w:pPr>
      <w:hyperlink w:anchor="page82">
        <w:r>
          <w:rPr>
            <w:rFonts w:ascii="Arial" w:cs="Arial" w:eastAsia="Arial" w:hAnsi="Arial"/>
            <w:sz w:val="17"/>
            <w:szCs w:val="17"/>
            <w:u w:val="single" w:color="auto"/>
            <w:color w:val="0000EE"/>
          </w:rPr>
          <w:t>EXHIBIT INDEX</w:t>
        </w:r>
      </w:hyperlink>
    </w:p>
    <w:p>
      <w:pPr>
        <w:spacing w:after="0" w:line="325" w:lineRule="exact"/>
        <w:rPr>
          <w:sz w:val="20"/>
          <w:szCs w:val="20"/>
          <w:color w:val="auto"/>
        </w:rPr>
      </w:pPr>
    </w:p>
    <w:p>
      <w:pPr>
        <w:jc w:val="center"/>
        <w:ind w:right="20"/>
        <w:spacing w:after="0"/>
        <w:rPr>
          <w:rFonts w:ascii="Arial" w:cs="Arial" w:eastAsia="Arial" w:hAnsi="Arial"/>
          <w:sz w:val="17"/>
          <w:szCs w:val="17"/>
          <w:u w:val="single" w:color="auto"/>
          <w:color w:val="0000EE"/>
        </w:rPr>
      </w:pPr>
      <w:hyperlink w:anchor="page119">
        <w:r>
          <w:rPr>
            <w:rFonts w:ascii="Arial" w:cs="Arial" w:eastAsia="Arial" w:hAnsi="Arial"/>
            <w:sz w:val="17"/>
            <w:szCs w:val="17"/>
            <w:u w:val="single" w:color="auto"/>
            <w:color w:val="0000EE"/>
          </w:rPr>
          <w:t>SIGNATURES</w:t>
        </w:r>
      </w:hyperlink>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81915</wp:posOffset>
            </wp:positionV>
            <wp:extent cx="713740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60" w:top="538"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7" w:lineRule="exact"/>
        <w:rPr>
          <w:sz w:val="20"/>
          <w:szCs w:val="20"/>
          <w:color w:val="auto"/>
        </w:rPr>
      </w:pPr>
    </w:p>
    <w:p>
      <w:pPr>
        <w:ind w:right="440"/>
        <w:spacing w:after="0" w:line="303" w:lineRule="auto"/>
        <w:rPr>
          <w:sz w:val="20"/>
          <w:szCs w:val="20"/>
          <w:color w:val="auto"/>
        </w:rPr>
      </w:pPr>
      <w:r>
        <w:rPr>
          <w:rFonts w:ascii="Arial" w:cs="Arial" w:eastAsia="Arial" w:hAnsi="Arial"/>
          <w:sz w:val="15"/>
          <w:szCs w:val="15"/>
          <w:color w:val="auto"/>
        </w:rPr>
        <w:t>This Annual Report on Form 10-K contains forward-looking statements within the meaning of the Private Securities Litigation Reform Act of 1995. All statements other than statements of historical facts contained herein,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risks, uncertainties and assumptions described under the sections entitled “Risk Factors” and “Management’s Discussion and Analysis of Financial Condition and Results of Operations” and elsewhere herein.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in this Annual Report on Form 10-K, whether as a result of any new information, future events, changed circumstances or otherwise.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Channels to Disseminate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Company announces material information to the public about the Company, its products and services and other matters through a variety of means, including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filings with the U.S. Securities and Exchange Commission, or SEC, press releases, public conference calls, the Company’s website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https://neurostar.com/neuronetics/</w:t>
      </w:r>
      <w:r>
        <w:rPr>
          <w:rFonts w:ascii="Arial" w:cs="Arial" w:eastAsia="Arial" w:hAnsi="Arial"/>
          <w:sz w:val="17"/>
          <w:szCs w:val="17"/>
          <w:color w:val="auto"/>
        </w:rPr>
        <w:t>), including the Investors section thereof, and/or social media, including its Facebook page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https://www.facebook.com/NeuroStarAdvancedTMS/</w:t>
      </w:r>
      <w:r>
        <w:rPr>
          <w:rFonts w:ascii="Arial" w:cs="Arial" w:eastAsia="Arial" w:hAnsi="Arial"/>
          <w:sz w:val="16"/>
          <w:szCs w:val="16"/>
          <w:color w:val="auto"/>
        </w:rPr>
        <w:t>), Twitter account (@TMSTherapy), Instagram account (@NeurostarAdvancedTMS), YouTube account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https://www.youtube.com/user/NeuroStarTMSTherapy</w:t>
      </w:r>
      <w:r>
        <w:rPr>
          <w:rFonts w:ascii="Arial" w:cs="Arial" w:eastAsia="Arial" w:hAnsi="Arial"/>
          <w:sz w:val="16"/>
          <w:szCs w:val="16"/>
          <w:color w:val="auto"/>
        </w:rPr>
        <w:t>) and/or LinkedIn account (</w:t>
      </w:r>
      <w:r>
        <w:rPr>
          <w:rFonts w:ascii="Arial" w:cs="Arial" w:eastAsia="Arial" w:hAnsi="Arial"/>
          <w:sz w:val="16"/>
          <w:szCs w:val="16"/>
          <w:u w:val="single" w:color="auto"/>
          <w:color w:val="auto"/>
        </w:rPr>
        <w:t>https://www.linkedin.com/company/neuronetics-inc./</w:t>
      </w:r>
      <w:r>
        <w:rPr>
          <w:rFonts w:ascii="Arial" w:cs="Arial" w:eastAsia="Arial" w:hAnsi="Arial"/>
          <w:sz w:val="16"/>
          <w:szCs w:val="16"/>
          <w:color w:val="auto"/>
        </w:rPr>
        <w:t>), in order to achieve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broad, non-exclusionary distribution of information to the public. The Company encourages investors and others to review the information it makes public in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these locations, as such information could be deemed to be material information. Please note that this list may be updated from time to time. Our internet</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website, Facebook page, Instagram account, YouTube account and LinkedIn account, and the information contained therein or connected thereto, shall not be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is not intended to be incorporated by reference into this Annual Report on Form 10-K or our other filings with the SEC unless otherwise expressly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346710</wp:posOffset>
            </wp:positionV>
            <wp:extent cx="71374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at least one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1,170 active NeuroStar Advanced Therapy Systems in approximately 916 psychiatrist offices as of December 31, 2020 and the estimated 100,231 patients treated with approximately 3.6 million treatment sessions through such date. We generated revenues of $49.2 million for the year ended December 31, 2020.</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MDD is a mood disorder characterized by the presence of one or both of two major diagnostic criteria: a depressed mood or loss of interest in pleasure that continues for at least two weeks. The presence of at least one of these diagnostic symptoms must be accompanied by several of the following additional symptoms: sleep disturbance, changes in appetite, sexual dysfunction, anxiety, fatigue, difficulty concentrating and suicidal thinking. MDD is a recurrent disease and follows a fluctuating course over an individual’s lifetime, that can be characterized by periods of remission and relapse.</w:t>
      </w:r>
    </w:p>
    <w:p>
      <w:pPr>
        <w:spacing w:after="0" w:line="162"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 xml:space="preserve">The World Health Organization, or WHO, ranks MDD as the single largest contributor to global disability and a major contributor to suicide worldwide. According to a study published in the </w:t>
      </w:r>
      <w:r>
        <w:rPr>
          <w:rFonts w:ascii="Arial" w:cs="Arial" w:eastAsia="Arial" w:hAnsi="Arial"/>
          <w:sz w:val="15"/>
          <w:szCs w:val="15"/>
          <w:i w:val="1"/>
          <w:iCs w:val="1"/>
          <w:color w:val="auto"/>
        </w:rPr>
        <w:t>Journal of Clinical Psychiatry</w:t>
      </w:r>
      <w:r>
        <w:rPr>
          <w:rFonts w:ascii="Arial" w:cs="Arial" w:eastAsia="Arial" w:hAnsi="Arial"/>
          <w:sz w:val="15"/>
          <w:szCs w:val="15"/>
          <w:color w:val="auto"/>
        </w:rPr>
        <w:t xml:space="preserve">, the economic burden of MDD was estimated to be $210 billion in 2010 in the United States, including outpatient and inpatient medical costs, pharmacy costs, suicide related costs and workplace costs. A study published in </w:t>
      </w:r>
      <w:r>
        <w:rPr>
          <w:rFonts w:ascii="Arial" w:cs="Arial" w:eastAsia="Arial" w:hAnsi="Arial"/>
          <w:sz w:val="15"/>
          <w:szCs w:val="15"/>
          <w:i w:val="1"/>
          <w:iCs w:val="1"/>
          <w:color w:val="auto"/>
        </w:rPr>
        <w:t>Psychological Medicine</w:t>
      </w:r>
      <w:r>
        <w:rPr>
          <w:rFonts w:ascii="Arial" w:cs="Arial" w:eastAsia="Arial" w:hAnsi="Arial"/>
          <w:sz w:val="15"/>
          <w:szCs w:val="15"/>
          <w:color w:val="auto"/>
        </w:rPr>
        <w:t xml:space="preserve"> reported a global incidence rate of MDD is 3.0% and the WHO estimates that there are over 300 million people in the world living with depression. Based on U.S. Census Bureau data and a study published in the </w:t>
      </w:r>
      <w:r>
        <w:rPr>
          <w:rFonts w:ascii="Arial" w:cs="Arial" w:eastAsia="Arial" w:hAnsi="Arial"/>
          <w:sz w:val="15"/>
          <w:szCs w:val="15"/>
          <w:i w:val="1"/>
          <w:iCs w:val="1"/>
          <w:color w:val="auto"/>
        </w:rPr>
        <w:t>Journal of the American Medical Association,</w:t>
      </w:r>
      <w:r>
        <w:rPr>
          <w:rFonts w:ascii="Arial" w:cs="Arial" w:eastAsia="Arial" w:hAnsi="Arial"/>
          <w:sz w:val="15"/>
          <w:szCs w:val="15"/>
          <w:color w:val="auto"/>
        </w:rPr>
        <w:t xml:space="preserve"> we estimate that approximately 21 million people in the United States suffer from MDD annually. Of these people, we estimate approximately 13.3 million are adults aged 22 to 70 years, of whom an estimated</w:t>
      </w:r>
    </w:p>
    <w:p>
      <w:pPr>
        <w:spacing w:after="0" w:line="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7.6 million, based on data from the </w:t>
      </w:r>
      <w:r>
        <w:rPr>
          <w:rFonts w:ascii="Arial" w:cs="Arial" w:eastAsia="Arial" w:hAnsi="Arial"/>
          <w:sz w:val="17"/>
          <w:szCs w:val="17"/>
          <w:i w:val="1"/>
          <w:iCs w:val="1"/>
          <w:color w:val="auto"/>
        </w:rPr>
        <w:t>Journal of the American Medical Association</w:t>
      </w:r>
      <w:r>
        <w:rPr>
          <w:rFonts w:ascii="Arial" w:cs="Arial" w:eastAsia="Arial" w:hAnsi="Arial"/>
          <w:sz w:val="17"/>
          <w:szCs w:val="17"/>
          <w:color w:val="auto"/>
        </w:rPr>
        <w:t>, are being treated by a psychiatrist. We estimate, based on data from the Sequenced Treatment Alternatives to Relieve Depression, or the STAR*D study, that approximately 5.5 million of these patients have failed to achieve remission of their MDD from their prior antidepressant medication therapy and that approximately 3.8 million of those patients have commercial insurance or Medicare coverage for NeuroStar Advanced Therapy. As a result, based on our expected revenues for a standard course of treatment, we believe our total annual addressable market opportunity for treatment sessions in the United States is approximately $9.6 billion.</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Initial treatment options for MDD often consist of antidepressant medication prescribed by a primary care physician. Although a variety of antidepressant medications are available, drug therapy has at least two primary limitations: limited effectiveness and treatment-emergent side effects. These limitations were demonstrated in the STAR*D study, a large clinical trial funded by the U.S. National Institute of Mental Health, or NIMH, that enrolled more than 4,000 adult MDD patients at 41 clinical sites to examine the outcomes to a sequenced series of antidepressant medication attempts that mimicked best practices. In the study, only approximately 28% and 21% of patients achieved remission in their first and second medication attempts, respectively. Many patients taking antidepressant medications experience intolerable or troubling side effects that contribute to a delay or failure in attaining an effective or optimal antidepressant dose, poor patient treatment adherence or discontinuation of treatment therapy. The likelihood of achieving remission is limited and declines with each successive medication attempt.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4" w:name="page5"/>
    <w:bookmarkEnd w:id="4"/>
    <w:p>
      <w:pPr>
        <w:spacing w:after="0" w:line="306" w:lineRule="auto"/>
        <w:rPr>
          <w:sz w:val="20"/>
          <w:szCs w:val="20"/>
          <w:color w:val="auto"/>
        </w:rPr>
      </w:pPr>
      <w:r>
        <w:rPr>
          <w:rFonts w:ascii="Arial" w:cs="Arial" w:eastAsia="Arial" w:hAnsi="Arial"/>
          <w:sz w:val="15"/>
          <w:szCs w:val="15"/>
          <w:color w:val="auto"/>
        </w:rPr>
        <w:t>TMS is considered to be an appropriate therapy for the treatment of MDD patients who have failed to achieve satisfactory improvement from at least one prior antidepressant medication. TMS is typically performed as an office-based procedure using a capital equipment system designed to deliver the magnetic pulses necessary to stimulate the specific areas of the brain associated with mood. A course of treatment typically requires treatment sessions five times a week for up to six weeks that can last from as low as three to as long as 45 minutes per session. We believe the effectiveness of TMS depends on the psychiatrist’s ability to deliver a precise amount of magnetic pulses to a specific area of the brain in a manner that can be consistently repeated during each treatment session.</w:t>
      </w:r>
    </w:p>
    <w:p>
      <w:pPr>
        <w:spacing w:after="0" w:line="15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designed the NeuroStar Advanced Therapy as a non-invasive therapeutic alternative to treat patients who suffer from MDD and to address many of the key limitations of existing treatment options. We believe our NeuroStar Advanced Therapy provides our psychiatrist customers and their patients with several benefits, including clinically demonstrated response and remission with durable results, a demonstrated safety profile with limited treatment-emergent side effects and high patient adherence. Additionally, NeuroStar Advanced Therapy was designed to provide a precise and reproducible office-based therapy that is also efficient and convenient. Our therapy is delivered without general anesthesia or sedation, enabling the patient to drive and resume normal activities immediately following each treatment session. We couple our product’s clinical benefits with significant practice development resources, on-site clinical training and reimbursement and service support to help our psychiatrist customers develop a successful NeuroStar Advanced Therapy practice. We also provide cloud-based practice management solutions that enhance convenience for both psychiatrists and patients. Based on our commercial data, we believe psychiatrists can recoup their initial capital investment in our system by providing a standard course of treatment to approximately 12 patients, assuming these patients receive reimbursement from Medicare or commercial insurance at rates that are similar to what our customers have observed for existing and prior patients. We believe psychiatrists can generate approximately $7,500 to $10,000 of revenue per patient for a standard course of treatment, which may provide meaningful incremental income to their practices. We believe that the NeuroStar Advanced Therapy coupled with these advantages offer significant improvement over competing TMS, which lack the ability to reproduce consistent treatments, significant clinical data from randomized outcome trials, practice development resources, and a cloud-based practice management system.</w:t>
      </w:r>
    </w:p>
    <w:p>
      <w:pPr>
        <w:spacing w:after="0" w:line="1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safety, effectiveness and durability of NeuroStar Advanced Therapy is supported by a large clinical data set published in 25 articles in peer-reviewed medical journals, including from 12 clinical studies that have collectively enrolled more than 900 adult patients suffering from MDD. In a 307 patient, naturalistic, prospective, observational trial conducted at 42 U.S. clinical sites in patients who had tried and failed to receive relief from one or more medication trials in their current MDD episode, following an acute course of NeuroStar Advanced Therapy, 58% of patients responded, which means they achieved a clinically meaningful reduction in symptoms, and 37% achieved remission. Response and remission were maintained over a 12-month period for a majority of these patients. In the STAR*D study, approximately 28% and 21% of patients achieved remission in their first and second medication trials, respectively.</w:t>
      </w:r>
    </w:p>
    <w:p>
      <w:pPr>
        <w:spacing w:after="0" w:line="16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Our growth strategy includes expanding our commercialization efforts in the United States, expanding international opportunities and pursuing pipeline development of our therapy for additional indications. Outside the United States, our products have received marketing authorizations in the European Union and Japan. Our initial international commercial focus is Japan, which has the third largest healthcare spend globally. We have entered into an exclusive distribution agreement with Teijin Pharma Limited, or Teijin, a leading Japanese healthcare company, to further expand our commercialization efforts in this market. We are also evaluating the use of enhancements to our NeuroStar Advanced Therapy System to treat additional indications, which may include bipolar depression and post-traumatic stress disorder.</w:t>
      </w:r>
    </w:p>
    <w:p>
      <w:pPr>
        <w:spacing w:after="0" w:line="17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As of December 31, 2020, we had an installed base of 1,170 active NeuroStar Advanced Therapy Systems in the United States. We currently sell our NeuroStar Advanced Therapy System and recurring treatment sessions in the United States with the collaborative support of our 126 employees as of December 31, 2020. Our sales force targets an estimated 50,000 psychiatrists across 26,000 psychiatric practices in the United States, based on data from Symphony Health and our own internal estimates that treat approximately 42% of the total MDD patients in the United States who meet our labeled indication and are insured. Patients are reimbursed by Medicare and the vast majority of commercial payors in the United States for treatment sessions utilizing our NeuroStar Advanced Therapy System.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ind w:right="240"/>
        <w:spacing w:after="0" w:line="281" w:lineRule="auto"/>
        <w:rPr>
          <w:sz w:val="20"/>
          <w:szCs w:val="20"/>
          <w:color w:val="auto"/>
        </w:rPr>
      </w:pPr>
      <w:r>
        <w:rPr>
          <w:rFonts w:ascii="Arial" w:cs="Arial" w:eastAsia="Arial" w:hAnsi="Arial"/>
          <w:sz w:val="16"/>
          <w:szCs w:val="16"/>
          <w:color w:val="auto"/>
        </w:rPr>
        <w:t>We generate revenues from initial capital sales of our systems, sales of our recurring treatment sessions and from service and repair and extended warranty contracts. We derive the majority of our revenues from recurring treatment sessions. For the year ended December 31, 2020, we generated revenues of $49.2 million and had a net loss of $27.5 million. Our revenues decreased 21% during the year ended December 31, 2020 compared to the year ended December 31, 2019. For the year ended December 31, 2020, our U.S. revenues were $47.5 million, compared to $60.8 million for the year ended December 31, 2019, which represented a decrease of 22% compared to the prior period. Revenues from treatment sessions represented 73% of our U.S. revenues for the year ended December 31, 2020 compared to 68% of our U.S. revenues for the prior year.</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maintain and extend our leadership position in TMS therapy for patients with psychiatric disorders. The key elements of our strategy include:</w:t>
      </w:r>
    </w:p>
    <w:p>
      <w:pPr>
        <w:spacing w:after="0" w:line="129" w:lineRule="exact"/>
        <w:rPr>
          <w:sz w:val="20"/>
          <w:szCs w:val="20"/>
          <w:color w:val="auto"/>
        </w:rPr>
      </w:pPr>
    </w:p>
    <w:p>
      <w:pPr>
        <w:ind w:left="1000" w:right="140" w:hanging="371"/>
        <w:spacing w:after="0" w:line="292" w:lineRule="auto"/>
        <w:tabs>
          <w:tab w:leader="none" w:pos="1000" w:val="left"/>
        </w:tabs>
        <w:numPr>
          <w:ilvl w:val="0"/>
          <w:numId w:val="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Improve customer targeting and expand our direct sales and customer support team to accelerate growth. </w:t>
      </w:r>
      <w:r>
        <w:rPr>
          <w:rFonts w:ascii="Arial" w:cs="Arial" w:eastAsia="Arial" w:hAnsi="Arial"/>
          <w:sz w:val="15"/>
          <w:szCs w:val="15"/>
          <w:color w:val="auto"/>
        </w:rPr>
        <w:t>To capture new psychiatrist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customers, we plan to expand our specialized, direct sales organization that targets MDD treating psychiatric practices that accept reimbursement from private insurance and Medicare. Symphony Health estimates that there are approximately 26,300 group and solo practice sites in the United States with psychiatrists that prescribe antidepressant medications. Our direct sales force primarily targets 50,000 psychiatrists at 26,000 psychiatric practices that we estimate, based on data from Symphony Health and our own internal estimates, treat approximately 2.5 million patients, representing 42% of the total MDD patients in the United States who meet our labeled indication and are insured. We estimate that approximately 1.2 million of these patients have failed prior antidepressant medication attempts in the current MDD episode and are covered by insurance that will provide reimbursement based on this medical status, resulting in a targeted total addressable market of approximately</w:t>
      </w:r>
    </w:p>
    <w:p>
      <w:pPr>
        <w:ind w:left="1000" w:right="320"/>
        <w:spacing w:after="0" w:line="261" w:lineRule="auto"/>
        <w:rPr>
          <w:rFonts w:ascii="Arial" w:cs="Arial" w:eastAsia="Arial" w:hAnsi="Arial"/>
          <w:sz w:val="15"/>
          <w:szCs w:val="15"/>
          <w:color w:val="auto"/>
        </w:rPr>
      </w:pPr>
      <w:r>
        <w:rPr>
          <w:rFonts w:ascii="Arial" w:cs="Arial" w:eastAsia="Arial" w:hAnsi="Arial"/>
          <w:sz w:val="17"/>
          <w:szCs w:val="17"/>
          <w:color w:val="auto"/>
        </w:rPr>
        <w:t>$3.0 billion. We intend to continue to expand our team of business development managers that are responsible for driving new customer acquisitions. To reach our target practices, we also plan to expand our advertising efforts, both online and through more traditional approaches, such as targeting leading psychiatric journals, practice outreach and education through monthly webcasts, attendance at key psychiatric trade shows and sponsoring clinical symposiums and product theaters.</w:t>
      </w:r>
    </w:p>
    <w:p>
      <w:pPr>
        <w:spacing w:after="0" w:line="75" w:lineRule="exact"/>
        <w:rPr>
          <w:rFonts w:ascii="Arial" w:cs="Arial" w:eastAsia="Arial" w:hAnsi="Arial"/>
          <w:sz w:val="15"/>
          <w:szCs w:val="15"/>
          <w:color w:val="auto"/>
        </w:rPr>
      </w:pPr>
    </w:p>
    <w:p>
      <w:pPr>
        <w:ind w:left="1000" w:hanging="371"/>
        <w:spacing w:after="0" w:line="276"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utilization of our new and existing installed base of NeuroStar Advanced Therapy Systems. </w:t>
      </w:r>
      <w:r>
        <w:rPr>
          <w:rFonts w:ascii="Arial" w:cs="Arial" w:eastAsia="Arial" w:hAnsi="Arial"/>
          <w:sz w:val="16"/>
          <w:szCs w:val="16"/>
          <w:color w:val="auto"/>
        </w:rPr>
        <w:t>We plan to expand our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support team to increase the number of patients treated by our installed base at the end of 2020 of 1,170 active NeuroStar Advanced Therapy Systems in the United States and any additional systems that we sell in the future. We intend to hire additional clinical training consultants to our existing team of eight who will focus on the ongoing training of our psychiatrist customers and their staff in order to allow our team at the end of 2020 of 18 NeuroStar practice consultants to focus exclusively on helping increase patient utilization of NeuroStar Advanced Therapy in a practice. Our NeuroStar practice consultants focus their efforts on helping psychiatrist customers implement our six step Practice Success Program. We intend to make further investments in marketing tools, such as our marketing portal, which consists of customizable practice development and advertisement materials all of which are designed to drive patient awareness within an existing practice and in the local community. We recently concluded a three-week national television advertising campaign designed to increase patient awareness of NeuroStar Advanced Therapy. We also plan to invest further in our direct to consumer marketing programs, primarily through digital marketing, which is comprised of paid search, display advertising, social media and public relations to our psychiatrist customers.</w:t>
      </w:r>
    </w:p>
    <w:p>
      <w:pPr>
        <w:spacing w:after="0" w:line="68" w:lineRule="exact"/>
        <w:rPr>
          <w:rFonts w:ascii="Arial" w:cs="Arial" w:eastAsia="Arial" w:hAnsi="Arial"/>
          <w:sz w:val="16"/>
          <w:szCs w:val="16"/>
          <w:color w:val="auto"/>
        </w:rPr>
      </w:pPr>
    </w:p>
    <w:p>
      <w:pPr>
        <w:ind w:left="1000" w:right="220" w:hanging="371"/>
        <w:spacing w:after="0" w:line="262"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international market opportunities. </w:t>
      </w:r>
      <w:r>
        <w:rPr>
          <w:rFonts w:ascii="Arial" w:cs="Arial" w:eastAsia="Arial" w:hAnsi="Arial"/>
          <w:sz w:val="17"/>
          <w:szCs w:val="17"/>
          <w:color w:val="auto"/>
        </w:rPr>
        <w:t>We primarily sell our products within the United States and also sell our products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distributors in countries where we have received regulatory approval, including Japan, Saudi Arabia, The United Arab Emirates, Singapore, and the Republic of Korea. We primarily focus our commercial efforts outside of the United States on Japan. We worked with Teijin to obtain reimbursement approval for the NeuroStar Advanced Therapy System in June 2019 and will continue to provide sales, marketing and clinical support to ensure our commercial success. We will continue to opportunistically evaluate additional markets outside the United States and Japan for commercial expansion.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 w:name="page7"/>
    <w:bookmarkEnd w:id="6"/>
    <w:p>
      <w:pPr>
        <w:ind w:left="1000" w:right="80" w:hanging="371"/>
        <w:spacing w:after="0" w:line="312" w:lineRule="auto"/>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Pursue enhancements of our NeuroStar Advanced Therapy System and pipeline development for additional indications. </w:t>
      </w:r>
      <w:r>
        <w:rPr>
          <w:rFonts w:ascii="Arial" w:cs="Arial" w:eastAsia="Arial" w:hAnsi="Arial"/>
          <w:sz w:val="15"/>
          <w:szCs w:val="15"/>
          <w:color w:val="auto"/>
        </w:rPr>
        <w:t>We plan to continue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research and development efforts to enhance the hardware and software components of our NeuroStar Advanced Therapy System for the treatment of MDD and other psychiatric disorders. We also plan to evaluate the use of enhancements to our NeuroStar Advanced Therapy System to treat other psychiatric disorders, which may include bipolar depression and post-traumatic stress disorder, or PTSD.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3" w:lineRule="exact"/>
        <w:rPr>
          <w:sz w:val="20"/>
          <w:szCs w:val="20"/>
          <w:color w:val="auto"/>
        </w:rPr>
      </w:pPr>
    </w:p>
    <w:p>
      <w:pPr>
        <w:jc w:val="both"/>
        <w:ind w:right="580"/>
        <w:spacing w:after="0" w:line="295" w:lineRule="auto"/>
        <w:rPr>
          <w:sz w:val="20"/>
          <w:szCs w:val="20"/>
          <w:color w:val="auto"/>
        </w:rPr>
      </w:pPr>
      <w:r>
        <w:rPr>
          <w:rFonts w:ascii="Arial" w:cs="Arial" w:eastAsia="Arial" w:hAnsi="Arial"/>
          <w:sz w:val="16"/>
          <w:szCs w:val="16"/>
          <w:color w:val="auto"/>
        </w:rPr>
        <w:t>We invest in research and development for the use of the NeuroStar Advanced Therapy System in psychiatric disorders. Throughout our history, we have provided material support to 50 investigator-initiated trials of such prospective additional indications. We are currently considering a number of potential indications for the use of the NeuroStar Advanced Therapy System, including, but not limited to, those described below.</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Bipolar Depression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Bipolar depression is a psychiatric disorder characterized by a recurrent episodes of mania and depression. The depressed phase of bipolar disorder is considered to be a form of treatment resistant depression and is the most difficult to treat phase of bipolar disorder. The depressive episode diagnostic criteria in bipolar depression are identical to our current MDD indication. Although bipolar depression represents a smaller market than MDD, this disease state has few treatment options available and many patients experience suboptimal outcomes. Current treatment options for patients with bipolar depression include the use of mood stabilizers, including lithium carbonate, anticonvulsant, and second-generation antipsychotics. While these treatments are effective in managing the recurrent mania, there are few effective treatments for the depressed phase of the illness. For example, antidepressant medications may lead to instability in resolution of the manic episodes if administered alone, and the use of second-generation antipsychotic medications can be associated with undesirable long-term medical side effects, including weight gain or the development of metabolic syndrome. Based on early research, we are evaluating whether treatment with our NeuroStar Advanced Therapy System could be beneficial to these patients. If we were to pursue an additional indication in bipolar depression, we believe we would need to conduct additional clinical trials, file an investigational device exemption and clinical trial protocols with the FDA, submit a 510(k) pre-market notification and receive clearance prior to commercialization.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Post-Traumatic Stress Disorder</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Post-traumatic stress disorder, or PTSD, is a psychiatric disorder that develops in some people who have experienced an overwhelming traumatic event, such as witnessing death in a military or civilian setting, or as a result of severe physical abuse such as assault or rape. This exposure to a traumatic stressor can lead to a later unwanted re-experiencing of symptoms, avoidance behavior, alteration in cognition and mood and states of increased physiological arousal. Treatment options for PTSD include psychotherapy and SSRI antidepressant medications. We believe NeuroStar Advanced Therapy may represent a potential new treatment option for PTSD patients. If we were to pursue an additional indication in PTSD, we would need to conduct additional clinical trials, file an investigational device exemption and clinical trial protocols with the FDA, submit a 510(k) pre-market notification and receive clearance prior to commercialization.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Adolescent MDD</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completed patient enrollment with 112 adolescent MDD patients in a prospective, 13-center, randomized, sham-controlled, double-blind pivotal clinical trial with three phases that mirrors the design of our original adult, randomized, controlled trial. The purpose of this study was to evaluate the acute and long-term safety and efficacy of NeuroStar Advanced Therapy in treating adolescents with MDD. The trial utilized a double-blind control design to minimize variability and allow for blinded assessment of the safety and efficacy of NeuroStar Advanced Therapy, using an active NeuroStar Treatment Coil compared to a system utilizing a sham NeuroStar Treatment Coil. Patients were randomly allocated in a one-to-one ratio to either active NeuroStar Treatment Coil or sham NeuroStar Treatment Coil. At the time of enrollment, patients were antidepressant-free for at least one week and up to four weeks, depending on medication washout period.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5"/>
          <w:szCs w:val="15"/>
          <w:color w:val="auto"/>
        </w:rPr>
        <w:t>The first phase was designed to evaluate the antidepressant effects of active NeuroStar Advanced Therapy compared with sham treatment when administered five times per week for a six-week acute course of therapy. The primary endpoint of this phase was the difference between active and sham arms using the 24-</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Item Hamilton Depression Rating Scale, or HAMD24, total score change from baseline score over the six-week acute phase. Safety was assessed at every treatment visit by recording adverse events. We are completing the analysis of all phases of the study, including the randomized controlled trial, open label extension and six-month follow-up study. Based on a preliminary analysis conducted in the second quarter of 2018, the primary endpoint in the first phase of the trial was not met. Although we cannot directly attribute clinical trial outcomes from other studies to our own clinical trials, we believe several clinical trials for antidepressant medications failed to meet the primary efficacy endpoint in their studies for MDD in adolescents and children. These include duloxetine, venlafaxine and, most recently, desvenlafaxine. To date, the data safety monitoring board has not identified any serious safety issues in the study population, including suicidality and seizure.</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Consistent with our clinical trial protocols, patients who completed the first phase were eligible to participate in the second phase of our clinical trial, which was a separate, open-label extension study. The second phase trial was designed to evaluate the benefit of active treatment administered five times per week for a six-week acute course of NeuroStar Advanced Therapy in patients who received active or sham treatment and did not receive protocol-defined clinical benefit in the first phase. Patients remained antidepressant medication free during the second phase. This trial provided descriptive data on patients who switched from sham to active treatments or received a longer course of active treatment up to 12 weeks.</w:t>
      </w:r>
    </w:p>
    <w:p>
      <w:pPr>
        <w:spacing w:after="0" w:line="17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Patients who met the criteria for at least partial response in either the first or second phases of the trial were eligible to be followed in a third phase that was a separate six-month follow up phase. Patients who entered the third phase underwent a three-week transition during which they were gradually tapered off NeuroStar Advanced Therapy. Patients who experienced symptom worsening during this phase of the study may have received reintroduction of NeuroStar Advanced Therapy. Patients remained antidepressant medication free during the third phase of the trial. The purpose of this phase was to provide descriptive data on the six-month follow-up period and any retreatments received by patients.</w:t>
      </w:r>
    </w:p>
    <w:p>
      <w:pPr>
        <w:spacing w:after="0" w:line="179"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Although we believe we are unlikely to seek a label expansion for the NeuroStar Advanced Therapy System for the treatment of adolescent MDD, we plan to evaluate next steps with respect to our clinical development efforts for this indication following the completion of the data analysis. We do not expect that the results from the clinical trial will be sufficient to obtain approval of our system for this indication. Nevertheless, we do not believe these clinical trial results or the failure to obtain approval of our NeuroStar Advanced Therapy System for the treatment of adolescents with MDD will have a material impact on our current or future business.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Customer Support Team and Psychiatrist Training</w:t>
      </w:r>
    </w:p>
    <w:p>
      <w:pPr>
        <w:spacing w:after="0" w:line="12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As of December 31, 2020, our sales and customer support team consisted of 48 employees working collaboratively across the following departments: sales, marketing, field service and customer support, and reimbursement.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Marketing—United States</w:t>
      </w:r>
    </w:p>
    <w:p>
      <w:pPr>
        <w:spacing w:after="0" w:line="11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Our commercialization team selectively markets and sells the NeuroStar Advanced Therapy System and recurring treatment sessions in the United States. Our primary focus is on selling to psychiatrists, with primary care physicians and pain management specialists representing a small percentage of our customer base. We target approximately 50,000 psychiatrists across 26,000 psychiatric practices, who we estimate, based on data from Symphony Health and our own internal estimates, treat approximately 42% of MDD patients who meet our labeled indication and are insured. We target these practices by the number of psychiatrists within their practices, the number of patients they treat and their acceptance of commercial insurance and Medicare. We believe that our psychiatrist targeting strategy makes for a well-defined customer base that is accessible by our direct sales organization.</w:t>
      </w:r>
    </w:p>
    <w:p>
      <w:pPr>
        <w:spacing w:after="0" w:line="16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have structured our sales and customer support team with specialized roles to sell our NeuroStar Advanced Therapy Systems and recurring treatment sessions, while delivering customer service at each stage of the implementation process. Our business development managers are responsible for identifying key customer prospects, educating them on the value of NeuroStar Advanced Therapy System, gaining their commitment for capital placement and introducing our NeuroStar practice consultants. Our NeuroStar practice consultants enhance the operational experience for providers and drive implementation of the NeuroStar Advanced Therapy System into our customers’ practices. We created the role of clinical training consultant to partner with our psychiatrist providers to conduct initial and ongoing on-site clinical training to ensure clinical and practice success.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color w:val="auto"/>
        </w:rPr>
        <w:t>Practice Management Support and Psychiatrist Training—United States</w:t>
      </w:r>
    </w:p>
    <w:p>
      <w:pPr>
        <w:spacing w:after="0" w:line="117"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color w:val="auto"/>
        </w:rPr>
        <w:t>Our NeuroStar practice consultants play a pivotal role in ensuring the success of our customers as they implement a new service line into their practice. In the early stages of implementation, they help the practice set goals, educate on the types of patients that can benefit from our therapy and assist in preparing the office workflow and staffing needs. As the office prepares to begin scheduling consults, the NeuroStar practice consultants will train the office staff on how to talk with patients about TMS and how to use patient educational tools such as presentations, videos and starter kits. Once the practice begins treating patients, they will educate the psychiatrist on how to track clinical outcomes, interpret data and how to effectively convey results to existing and potential patients and referring physicians. Our NeuroStar practice consultants also work with our customers to increase awareness with referring physicians and develop external marketing tactics. Our dedicated reimbursement managers help each practice navigate all issues regarding the reimbursement process including investigation of benefits, prior authorizations and claims documentation. This group has assisted our customers to conduct over 31,000 benefit investigations.</w:t>
      </w:r>
    </w:p>
    <w:p>
      <w:pPr>
        <w:spacing w:after="0" w:line="156"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Psychiatrists and staff training on the NeuroStar Advanced Therapy System is a key to success within each practice. Our clinical training consultants take the burden of clinical training off our NeuroStar practice consultants and provide a dedicated training resource to each customer. Clinical training consultants conduct at least a three-day, hands on training course that is scheduled after system installation at each practice and also provide ongoing advanced on-site clinical training.</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Field Support—United States</w:t>
      </w:r>
    </w:p>
    <w:p>
      <w:pPr>
        <w:spacing w:after="0" w:line="117"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Our field service engineers are responsible for maintenance, repairs and installation of upgrades. We provide a 24/7 support hotline to respond to medical information inquiries and technical questions that arise in all time zones. We pledge to have a field service engineer on-site within 24 hours of a service call. Because of the size and geographical coverage of our field service engineers and our standard 24-hour response time, NeuroStar Advanced Therapy Systems experience over 99% uptime, helping to ensure uninterrupted patient treatments.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market our products in a few select markets outside the United States through independent distributors. In Japan, we have an exclusive distribution agreement with Teijin, for the commercialization of our products. The current term of this distribution agreement expires March 31, 2025, subject to automatic renewal unless terminated by either party.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competitors that sell other forms of TMS therapy, including Brainsway, Magstim, MagVenture, CloudTMS and Nexstim, that compete directly with the NeuroStar Advanced Therapy System. We also face competition from pharmaceutical and other companies that develop products, such as antidepressant medications, for the treatment of psychiatric disorders.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a more comprehensive discussion of the risks related to our intellectual property, please see “Risk Factors – Risks Related to Our Business and Industry.”</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patent estate includes patents and applications with claims directed to our NeuroStar Advanced Therapy Systems and broader claims for potential future products and developments. On a worldwide basis, as of December 31, 2020, our patent estate included over 100 issued or allowed patents and pending patent applications for our products and novel design methods, manufacturing process, novel TMS devices and systems and future combination products that are mainly designed to treat psychiatric conditions or perform diagnostic procedures. In the United States, as of December 31, 2020, we owned or licensed 39 issued or allowed patents and 6 patent applications filed that are directed to our TMS technology. Outside the United States, as of December 31, 2020, we owned or licensed 53 issued or allowed patents, 9 pending patent applications and zero pending Patent Cooperation Treaty application.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 w:name="page10"/>
    <w:bookmarkEnd w:id="9"/>
    <w:p>
      <w:pPr>
        <w:ind w:right="160"/>
        <w:spacing w:after="0" w:line="281" w:lineRule="auto"/>
        <w:rPr>
          <w:sz w:val="20"/>
          <w:szCs w:val="20"/>
          <w:color w:val="auto"/>
        </w:rPr>
      </w:pPr>
      <w:r>
        <w:rPr>
          <w:rFonts w:ascii="Arial" w:cs="Arial" w:eastAsia="Arial" w:hAnsi="Arial"/>
          <w:sz w:val="16"/>
          <w:szCs w:val="16"/>
          <w:color w:val="auto"/>
        </w:rPr>
        <w:t>These U.S. issued patents are expected to remain in effect until between 2020 and 2035. Our core patents in the United States will not expire before 2024. Our non-U.S. patents are expected to remain in effect until between 2024 and 2035. Our worldwide intellectual property portfolio includes multiple pending patent applications relating to methods and apparatuses for the treatment of psychiatric health conditions in Australia, Canada, the European Union, Japan and the United States. Our patents and patent applications mainly relate to iron core technology, including materials, manufacturing methods, geometries, applications, and open core technologies, TMS design patents, including coil position, motor threshold level determination, contact sensing, and articulation arm designs, patient comfort, TMS support technologies and pulse monitoring, and potential next generation technologies.</w:t>
      </w:r>
    </w:p>
    <w:p>
      <w:pPr>
        <w:spacing w:after="0" w:line="166"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color w:val="auto"/>
        </w:rPr>
        <w:t>We own trade secrets relating to our technology, and we maintain the confidentiality of proprietary information to protect aspects of our business that are not amenable to, or that we do not consider appropriate for, patent protection. We seek to protect our trade secrets and know-how by entering into confidentiality agreements with third-parties, consultants and employees who have access to such trade secrets and know-how.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a more comprehensive discussion of the risks related to our intellectual property, please see “Risk Factors—Risks Related to Intellectual Property.”</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w:t>
      </w:r>
    </w:p>
    <w:p>
      <w:pPr>
        <w:spacing w:after="0" w:line="123"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color w:val="auto"/>
        </w:rPr>
        <w:t>We manage all aspects of product supply through our operations team based in Malvern, Pennsylvania. We outsource the manufacture of components and high-level assemblies, which are produced and tested to our specifications. We rely on third party providers to provide components used in existing products and we expect to continue to do so for future products.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establish our relationships with our third-party manufacturers and suppliers through supplier contracts and purchase orders. In most cases, these supplier relationships may be terminated by either party upon short notice. As of December 31, 2020, we engaged with Sparton Medical Systems to supply our console; Gharieni Group GmbH to supply our chair; Molex Incorporated to supply our SenStar Treatment Link; Paragon Micro to supply our computer systems as well as other companies to supply components of our chairs and treatment packs.</w:t>
      </w:r>
    </w:p>
    <w:p>
      <w:pPr>
        <w:spacing w:after="0" w:line="17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have not experienced material delays in obtaining any of our components, nor has the ready supply of finished products to our customers or clinicians been adversely affected by component supply issues.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Payor Relations and Customer Support</w:t>
      </w:r>
    </w:p>
    <w:p>
      <w:pPr>
        <w:spacing w:after="0" w:line="12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Based on our estimates, over 65 major private insurers in the United States, including the top 25 largest private insurers, have coverage policies for reimbursement of NeuroStar Advanced Therapy, representing approximately 205 million covered lives or about 95% of the total payor covered lives in the United States. Treatments using NeuroStar Advanced Therapy are also eligible for reimbursement from Medicare, representing an additional 61 million covered lives in the United States as of January 2021.</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in foreign jurisdictions.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FDA</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Our products are subject to regulation as medical devices under the Federal Food, Drug, and Cosmetic Act, as amended, or the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 w:name="page11"/>
    <w:bookmarkEnd w:id="10"/>
    <w:p>
      <w:pPr>
        <w:ind w:right="180"/>
        <w:spacing w:after="0" w:line="287" w:lineRule="auto"/>
        <w:rPr>
          <w:sz w:val="20"/>
          <w:szCs w:val="20"/>
          <w:color w:val="auto"/>
        </w:rPr>
      </w:pPr>
      <w:r>
        <w:rPr>
          <w:rFonts w:ascii="Arial" w:cs="Arial" w:eastAsia="Arial" w:hAnsi="Arial"/>
          <w:sz w:val="16"/>
          <w:szCs w:val="16"/>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The marketing authorization process varies from country to country and the time may be longer or shorter than that required for FDA clearance or approval.</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FDA Premarket Clearance and Approval Requirements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or PMA approval. Under the FDCA, medical devices are classified into one of three classes—Class I, Class II or Class III—depending on the degree of risk associated with each medical device and the extent of manufacturer and regulatory control needed to ensure its safety and efficacy. Class I includes devices with the lowest risk to the patient and are those for which safety and efficacy can be assured by adherence to the FDA’s General Controls for medical devices, which include compliance with the applicable portions of the quality systems regulation, or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efficacy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w:t>
      </w:r>
    </w:p>
    <w:p>
      <w:pPr>
        <w:spacing w:after="0" w:line="186"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color w:val="auto"/>
        </w:rPr>
        <w:t xml:space="preserve">Our NeuroStar Advanced Therapy System is classified as a Class II medical device. We initially received marketing authorization of this device through the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novo </w:t>
      </w:r>
      <w:r>
        <w:rPr>
          <w:rFonts w:ascii="Arial" w:cs="Arial" w:eastAsia="Arial" w:hAnsi="Arial"/>
          <w:sz w:val="16"/>
          <w:szCs w:val="16"/>
          <w:color w:val="auto"/>
        </w:rPr>
        <w:t>classification process. Subsequently, we have cleared any changes made to our system through the 510(k) clearance process.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510(k) Marketing Clearance Pathway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nine to twelve months, but may take significantly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Pre-Market Approval Process</w:t>
      </w:r>
    </w:p>
    <w:p>
      <w:pPr>
        <w:spacing w:after="0" w:line="11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clinical trials, manufacturing and labeling data to demonstrate to the FDA’s satisfaction the safety and effectiveness of the device.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 w:name="page12"/>
    <w:bookmarkEnd w:id="11"/>
    <w:p>
      <w:pPr>
        <w:spacing w:after="0" w:line="276" w:lineRule="auto"/>
        <w:rPr>
          <w:sz w:val="20"/>
          <w:szCs w:val="20"/>
          <w:color w:val="auto"/>
        </w:rPr>
      </w:pPr>
      <w:r>
        <w:rPr>
          <w:rFonts w:ascii="Arial" w:cs="Arial" w:eastAsia="Arial" w:hAnsi="Arial"/>
          <w:sz w:val="16"/>
          <w:szCs w:val="16"/>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 novo Classification Process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Medical device types that the FDA has not previously classified as Class I, II, or III are automatically classified as Class III regardless of the level of risk they pose. The Food and Drug Administration Modernization Act of 1997 established a new route to market for low to moderate risk medical devices that are automatically placed into Class III due to the absence of a substantially equivalent predicate device, called the “Request for Evaluation of Automatic Class III Designation,” or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procedure. This procedure allows a manufacturer whose novel device is automatically classified as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or FDASIA, in July 2012, a medical device could only be eligible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pathway by permitting manufacturers to request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directly without first submitting a 510(k) premarket notification to the FDA and receiving a not substantially equivalent determination. We originally obtained marketing authorization for our system using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after receiving a not substantially equivalent determination following the submission of a 510(k) premarket notification. We have subsequently used the 510(k) clearance process to obtain authorization from the FDA for changes to our marketed system, including for our TouchStar</w:t>
      </w:r>
      <w:r>
        <w:rPr>
          <w:rFonts w:ascii="Arial" w:cs="Arial" w:eastAsia="Arial" w:hAnsi="Arial"/>
          <w:sz w:val="16"/>
          <w:szCs w:val="16"/>
          <w:i w:val="1"/>
          <w:iCs w:val="1"/>
          <w:color w:val="auto"/>
        </w:rPr>
        <w:t>®</w:t>
      </w:r>
      <w:r>
        <w:rPr>
          <w:rFonts w:ascii="Arial" w:cs="Arial" w:eastAsia="Arial" w:hAnsi="Arial"/>
          <w:sz w:val="16"/>
          <w:szCs w:val="16"/>
          <w:color w:val="auto"/>
        </w:rPr>
        <w:t xml:space="preserve"> treatment, a three-minute intermittent theta burst protocol with our NeuroStar Advanced Therapy System, which was granted clearance by the FDA on November 23, 2020.</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 xml:space="preserve">A clinical trial is typically required to support a PMA application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is sometimes required for a 510(k) pre-market notification. Clinical trials for significant risk devices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or IRBs,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 Moreover, the results of a clinical trial may not be sufficient to obtain clearance or approval of the product.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i w:val="1"/>
          <w:iCs w:val="1"/>
          <w:color w:val="auto"/>
        </w:rPr>
        <w:t>Changes to Marketed Devices</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After a device receives 510(k) marketing clearance,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any modification that could significantly affect its safety or efficacy, or that would constitute a major change or modification in its intended use, will require a new 510(k) marketing clearance or, depending on the modification, a de novo classification or PMA approval. The FDA requires each manufacturer to determine whether the proposed change requires submission of a 510(k) or a PMA in the 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approval is obtained. Also, in these circumstances, we may be subject to significant regulatory fines or penalties.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Post-Market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After a device is cleared or approved for marketing, numerous and pervasive regulatory requirements continue to apply. These include:</w:t>
      </w:r>
    </w:p>
    <w:p>
      <w:pPr>
        <w:spacing w:after="0" w:line="117" w:lineRule="exact"/>
        <w:rPr>
          <w:sz w:val="20"/>
          <w:szCs w:val="20"/>
          <w:color w:val="auto"/>
        </w:rPr>
      </w:pPr>
    </w:p>
    <w:p>
      <w:pPr>
        <w:ind w:left="1000" w:hanging="371"/>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establishment registration and device listing with the FDA;</w:t>
      </w:r>
    </w:p>
    <w:p>
      <w:pPr>
        <w:spacing w:after="0" w:line="143" w:lineRule="exact"/>
        <w:rPr>
          <w:rFonts w:ascii="Arial" w:cs="Arial" w:eastAsia="Arial" w:hAnsi="Arial"/>
          <w:sz w:val="17"/>
          <w:szCs w:val="17"/>
          <w:color w:val="auto"/>
        </w:rPr>
      </w:pPr>
    </w:p>
    <w:p>
      <w:pPr>
        <w:ind w:left="1000" w:right="160" w:hanging="371"/>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55" w:lineRule="exact"/>
        <w:rPr>
          <w:rFonts w:ascii="Arial" w:cs="Arial" w:eastAsia="Arial" w:hAnsi="Arial"/>
          <w:sz w:val="17"/>
          <w:szCs w:val="17"/>
          <w:color w:val="auto"/>
        </w:rPr>
      </w:pPr>
    </w:p>
    <w:p>
      <w:pPr>
        <w:ind w:left="1000" w:right="220" w:hanging="371"/>
        <w:spacing w:after="0" w:line="295"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50" w:lineRule="exact"/>
        <w:rPr>
          <w:rFonts w:ascii="Arial" w:cs="Arial" w:eastAsia="Arial" w:hAnsi="Arial"/>
          <w:sz w:val="16"/>
          <w:szCs w:val="16"/>
          <w:color w:val="auto"/>
        </w:rPr>
      </w:pPr>
    </w:p>
    <w:p>
      <w:pPr>
        <w:ind w:left="1000" w:right="20" w:hanging="371"/>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clearance or approval of product modifications to 510(k)-cleared devices that could significantly affect safety or efficacy or that would constitute a major change in intended use of one of our cleared devices;</w:t>
      </w:r>
    </w:p>
    <w:p>
      <w:pPr>
        <w:spacing w:after="0" w:line="55" w:lineRule="exact"/>
        <w:rPr>
          <w:rFonts w:ascii="Arial" w:cs="Arial" w:eastAsia="Arial" w:hAnsi="Arial"/>
          <w:sz w:val="17"/>
          <w:szCs w:val="17"/>
          <w:color w:val="auto"/>
        </w:rPr>
      </w:pPr>
    </w:p>
    <w:p>
      <w:pPr>
        <w:jc w:val="both"/>
        <w:ind w:left="1000" w:right="20" w:hanging="371"/>
        <w:spacing w:after="0" w:line="271"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or serious adverse events, if the malfunction were to recur;</w:t>
      </w:r>
    </w:p>
    <w:p>
      <w:pPr>
        <w:spacing w:after="0" w:line="67" w:lineRule="exact"/>
        <w:rPr>
          <w:rFonts w:ascii="Arial" w:cs="Arial" w:eastAsia="Arial" w:hAnsi="Arial"/>
          <w:sz w:val="17"/>
          <w:szCs w:val="17"/>
          <w:color w:val="auto"/>
        </w:rPr>
      </w:pPr>
    </w:p>
    <w:p>
      <w:pPr>
        <w:ind w:left="1000" w:right="240" w:hanging="371"/>
        <w:spacing w:after="0" w:line="357" w:lineRule="auto"/>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7" w:lineRule="exact"/>
        <w:rPr>
          <w:rFonts w:ascii="Arial" w:cs="Arial" w:eastAsia="Arial" w:hAnsi="Arial"/>
          <w:sz w:val="15"/>
          <w:szCs w:val="15"/>
          <w:color w:val="auto"/>
        </w:rPr>
      </w:pPr>
    </w:p>
    <w:p>
      <w:pPr>
        <w:ind w:left="1000" w:right="160" w:hanging="371"/>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complying with regulations requiring Unique Device Identifiers (UDI) on devices and also requiring the submission of certain information about each device to the FDA’s Global Unique Device Identification Database (GUDID);</w:t>
      </w:r>
    </w:p>
    <w:p>
      <w:pPr>
        <w:spacing w:after="0" w:line="55" w:lineRule="exact"/>
        <w:rPr>
          <w:rFonts w:ascii="Arial" w:cs="Arial" w:eastAsia="Arial" w:hAnsi="Arial"/>
          <w:sz w:val="17"/>
          <w:szCs w:val="17"/>
          <w:color w:val="auto"/>
        </w:rPr>
      </w:pPr>
    </w:p>
    <w:p>
      <w:pPr>
        <w:ind w:left="1000" w:right="20" w:hanging="371"/>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FDA’s recall authority, whereby the agency can order device manufacturers to recall from the market a product that is in violation of governing laws and regulations; and</w:t>
      </w:r>
    </w:p>
    <w:p>
      <w:pPr>
        <w:spacing w:after="0" w:line="55" w:lineRule="exact"/>
        <w:rPr>
          <w:rFonts w:ascii="Arial" w:cs="Arial" w:eastAsia="Arial" w:hAnsi="Arial"/>
          <w:sz w:val="17"/>
          <w:szCs w:val="17"/>
          <w:color w:val="auto"/>
        </w:rPr>
      </w:pPr>
    </w:p>
    <w:p>
      <w:pPr>
        <w:ind w:left="1000" w:right="540" w:hanging="371"/>
        <w:spacing w:after="0" w:line="28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post-market surveillance activities and regulations, which apply when deemed by the FDA to be necessary to protect the public health or to provide additional safety and efficacy data for the device.</w:t>
      </w:r>
    </w:p>
    <w:p>
      <w:pPr>
        <w:spacing w:after="0" w:line="15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may be subject to similar foreign laws that may include applicable post-marketing requirements such as safety surveillance and risk-benefit analysis.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3" w:name="page14"/>
    <w:bookmarkEnd w:id="13"/>
    <w:p>
      <w:pPr>
        <w:ind w:right="80"/>
        <w:spacing w:after="0" w:line="286" w:lineRule="auto"/>
        <w:rPr>
          <w:sz w:val="20"/>
          <w:szCs w:val="20"/>
          <w:color w:val="auto"/>
        </w:rPr>
      </w:pPr>
      <w:r>
        <w:rPr>
          <w:rFonts w:ascii="Arial" w:cs="Arial" w:eastAsia="Arial" w:hAnsi="Arial"/>
          <w:sz w:val="17"/>
          <w:szCs w:val="17"/>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55" w:lineRule="exact"/>
        <w:rPr>
          <w:sz w:val="20"/>
          <w:szCs w:val="20"/>
          <w:color w:val="auto"/>
        </w:rPr>
      </w:pPr>
    </w:p>
    <w:p>
      <w:pPr>
        <w:ind w:left="1000" w:hanging="371"/>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warning letters, untitled letters, fines, injunctions, consent decrees and civil penalties;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recalls, withdrawals, or administrative detention or seizure of our products;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restrictions or partial suspension or total shutdown of production;</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refusing or delaying requests for 510(k) marketing clearance or PMA approvals of new products or modified products;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withdrawing 510(k) clearances or PMA approvals that have already been granted;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refusal to grant export or import approvals for our products; or</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and Foreign Healthcare Laws and Compliance Requirements</w:t>
      </w:r>
    </w:p>
    <w:p>
      <w:pPr>
        <w:spacing w:after="0" w:line="11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Healthcare providers, physicians and third-party payors play a primary role in the recommendation, prescription and payment for medical treatments. A medical device manufacturer’s arrangements with third-party payors, providers and patients may expose it to broadly applicable fraud and abuse and other healthcare laws and regulations that may affect its business or the financial arrangements and relationships through which it markets, sells and distributes its products. Even if a medical device manufacturer does not control referrals of healthcare services or bill directly to Medicare, Medicaid or other third-party payors, federal and state healthcare laws and regulations are applicable to its business. In addition, a portion of our business is subject to the Health Insurance Portability and Accountability Act of 1996, or HIPAA, as a business associate of our covered entity customers. To provide our covered entity customers with services that involve the use or disclosure of PHI, we are required to enter into business associate agreements. As a business associate, we are also directly liable for compliance with HIPAA. The laws that may affect a medical device manufacturer’s ability to operate include, but are not limited to:</w:t>
      </w:r>
    </w:p>
    <w:p>
      <w:pPr>
        <w:spacing w:after="0" w:line="66" w:lineRule="exact"/>
        <w:rPr>
          <w:sz w:val="20"/>
          <w:szCs w:val="20"/>
          <w:color w:val="auto"/>
        </w:rPr>
      </w:pPr>
    </w:p>
    <w:p>
      <w:pPr>
        <w:ind w:left="1000" w:hanging="371"/>
        <w:spacing w:after="0" w:line="275"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a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4" w:name="page15"/>
    <w:bookmarkEnd w:id="14"/>
    <w:p>
      <w:pPr>
        <w:ind w:left="371" w:right="60" w:hanging="371"/>
        <w:spacing w:after="0" w:line="274" w:lineRule="auto"/>
        <w:tabs>
          <w:tab w:leader="none" w:pos="37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such as the False Claims Act, or FCA, which can be enforced by private citizens through civil qui tam actions, prohibits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The Social Security Act also has a provision that provides for the imposition of civil monetary penalties against any person who offers or transfers remuneration to a Medicare or Medicaid beneficiary that such person knows or should know is likely to influence the beneficiary’s selection of a particular provider, practitioner, or supplier for the order or receipt of any item or service payable by a federal health care program. Private individuals, commonly known as “whistleblowers,” can bring FCA qui tam actions on behalf of the government and themselves, and may share in amounts paid by the entity to the government in recovery or settlement. False Claims Act liability is potentially significant in the healthcare industry because the statute provides for treble damages and mandatory penalties of $11,665 to $23,331 per false or fraudulent claim or statement. Many pharmaceutical and medical device manufacturers have been investigated and have reached substantial settlements under the FCA in connection with alleged off label promotion of their products and allegedly providing free products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p>
      <w:pPr>
        <w:spacing w:after="0" w:line="74" w:lineRule="exact"/>
        <w:rPr>
          <w:rFonts w:ascii="Arial" w:cs="Arial" w:eastAsia="Arial" w:hAnsi="Arial"/>
          <w:sz w:val="16"/>
          <w:szCs w:val="16"/>
          <w:color w:val="auto"/>
        </w:rPr>
      </w:pPr>
    </w:p>
    <w:p>
      <w:pPr>
        <w:ind w:left="371" w:right="20" w:hanging="371"/>
        <w:spacing w:after="0" w:line="279" w:lineRule="auto"/>
        <w:tabs>
          <w:tab w:leader="none" w:pos="371" w:val="left"/>
        </w:tabs>
        <w:numPr>
          <w:ilvl w:val="0"/>
          <w:numId w:val="8"/>
        </w:numPr>
        <w:rPr>
          <w:rFonts w:ascii="Arial" w:cs="Arial" w:eastAsia="Arial" w:hAnsi="Arial"/>
          <w:sz w:val="16"/>
          <w:szCs w:val="16"/>
          <w:color w:val="auto"/>
        </w:rPr>
      </w:pPr>
      <w:r>
        <w:rPr>
          <w:rFonts w:ascii="Arial" w:cs="Arial" w:eastAsia="Arial" w:hAnsi="Arial"/>
          <w:sz w:val="16"/>
          <w:szCs w:val="16"/>
          <w:color w:val="auto"/>
        </w:rPr>
        <w:t>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or to have committed a violation;</w:t>
      </w:r>
    </w:p>
    <w:p>
      <w:pPr>
        <w:spacing w:after="0" w:line="65" w:lineRule="exact"/>
        <w:rPr>
          <w:rFonts w:ascii="Arial" w:cs="Arial" w:eastAsia="Arial" w:hAnsi="Arial"/>
          <w:sz w:val="16"/>
          <w:szCs w:val="16"/>
          <w:color w:val="auto"/>
        </w:rPr>
      </w:pPr>
    </w:p>
    <w:p>
      <w:pPr>
        <w:ind w:left="371" w:hanging="371"/>
        <w:spacing w:after="0" w:line="283" w:lineRule="auto"/>
        <w:tabs>
          <w:tab w:leader="none" w:pos="371" w:val="left"/>
        </w:tabs>
        <w:numPr>
          <w:ilvl w:val="0"/>
          <w:numId w:val="8"/>
        </w:numPr>
        <w:rPr>
          <w:rFonts w:ascii="Arial" w:cs="Arial" w:eastAsia="Arial" w:hAnsi="Arial"/>
          <w:sz w:val="16"/>
          <w:szCs w:val="16"/>
          <w:color w:val="auto"/>
        </w:rPr>
      </w:pPr>
      <w:r>
        <w:rPr>
          <w:rFonts w:ascii="Arial" w:cs="Arial" w:eastAsia="Arial" w:hAnsi="Arial"/>
          <w:sz w:val="16"/>
          <w:szCs w:val="16"/>
          <w:color w:val="auto"/>
        </w:rPr>
        <w:t>HIPAA, as amended by HITECH, and their implementing regulations, which imposes privacy, security, transmission and breach reporting obligations with respect to individually identifiable health information upon “covered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laws and seek attorneys’ fees and costs associated with pursuing federal civil actions. On December 10, 2020, the U.S. Department of Health and Human Services Office for Civil Rights issued a Notice of Proposed Rulemaking, which if finalized, would make changes to some of HIPAA’s regulatory requirements, which would apply to business associates;</w:t>
      </w:r>
    </w:p>
    <w:p>
      <w:pPr>
        <w:spacing w:after="0" w:line="166" w:lineRule="exact"/>
        <w:rPr>
          <w:sz w:val="20"/>
          <w:szCs w:val="20"/>
          <w:color w:val="auto"/>
        </w:rPr>
      </w:pPr>
    </w:p>
    <w:p>
      <w:pPr>
        <w:ind w:left="4911"/>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81915</wp:posOffset>
            </wp:positionV>
            <wp:extent cx="713740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611"/>
          </w:cols>
          <w:pgMar w:left="949" w:top="440" w:right="339" w:bottom="1440" w:gutter="0" w:footer="0" w:header="0"/>
        </w:sectPr>
      </w:pPr>
    </w:p>
    <w:bookmarkStart w:id="15" w:name="page16"/>
    <w:bookmarkEnd w:id="15"/>
    <w:p>
      <w:pPr>
        <w:ind w:left="1000" w:right="40" w:hanging="371"/>
        <w:spacing w:after="0" w:line="283"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“Physician Payments Sunshine Act,” created under the PPACA, which requires, among other things, certain manufacturers of drugs, devices, biologics and medical supplies reimbursed under Medicare, Medicaid, or the Children’s Health Insurance Program (with certain exceptions) to report annually to the United States Department of Health and Human Services, Centers for Medicare and Medicare Services, or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 and</w:t>
      </w:r>
    </w:p>
    <w:p>
      <w:pPr>
        <w:spacing w:after="0" w:line="61" w:lineRule="exact"/>
        <w:rPr>
          <w:rFonts w:ascii="Arial" w:cs="Arial" w:eastAsia="Arial" w:hAnsi="Arial"/>
          <w:sz w:val="16"/>
          <w:szCs w:val="16"/>
          <w:color w:val="auto"/>
        </w:rPr>
      </w:pPr>
    </w:p>
    <w:p>
      <w:pPr>
        <w:ind w:left="1000" w:right="100" w:hanging="371"/>
        <w:spacing w:after="0" w:line="276"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17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Because of the breadth of these laws and the narrowness of their statutory exceptions and regulatory safe harbors, it is possible that some of a medical device manufacturer’s business activities could be subject to challenge under one or more of these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6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Ensuring that business arrangements with third parties comply with applicable healthcare laws and regulations is costly and time consuming. If a medical device manufacturer’s operations are found to be in violation of any of the laws described above or any other governmental regulations that apply to it, it may be subject to penalties, including civil, criminal and administrative penalties, damages, fines, disgorgement, substantial monetary penalties, individual imprisonment, exclusion from governmental funded healthcare programs, such as Medicare and Medicaid, additional reporting obligations and oversight if it becomes subject to a corporate integrity agreement or other agreement to resolve allegations of non-compliance with these laws, reputational harm, diminished profits and future earnings, and the curtailment or restructuring of operations, any of which could adversely affect the ability of a medical device manufacturer to operate its business and the results of its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color w:val="auto"/>
        </w:rPr>
        <w:t>United States Healthcare Reform</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the United States, a number of legislative and regulatory proposals have been considered or enacted to change the healthcare system in ways that could affect a medical device manufacturer’s business. Among policy makers and governmental and private insurers in the United States, there is significant interest in promoting changes in healthcare systems with the stated goals of containing healthcare costs, improving quality or expanding access. For example, in 2010, the PPACA was enacted, which includes measures to significantly change the way health care is financed by both governmental and private insurers, and significantly impacts the medical device industry. Among other ways in which it may impact a medical device manufacturer’s business, the PPACA:</w:t>
      </w:r>
    </w:p>
    <w:p>
      <w:pPr>
        <w:spacing w:after="0" w:line="61" w:lineRule="exact"/>
        <w:rPr>
          <w:sz w:val="20"/>
          <w:szCs w:val="20"/>
          <w:color w:val="auto"/>
        </w:rPr>
      </w:pPr>
    </w:p>
    <w:p>
      <w:pPr>
        <w:ind w:left="1000" w:right="20" w:hanging="371"/>
        <w:spacing w:after="0" w:line="266"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imposes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or 2018 Appropriations Resolution, signed by President Trump on January 22, 2018, was further suspended through December 31, 2019;</w:t>
      </w:r>
    </w:p>
    <w:p>
      <w:pPr>
        <w:spacing w:after="0" w:line="71" w:lineRule="exact"/>
        <w:rPr>
          <w:rFonts w:ascii="Arial" w:cs="Arial" w:eastAsia="Arial" w:hAnsi="Arial"/>
          <w:sz w:val="17"/>
          <w:szCs w:val="17"/>
          <w:color w:val="auto"/>
        </w:rPr>
      </w:pPr>
    </w:p>
    <w:p>
      <w:pPr>
        <w:ind w:left="1000" w:right="240" w:hanging="371"/>
        <w:spacing w:after="0" w:line="286"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establishes a new Patient-Centered Outcomes Research Institute to oversee and identify priorities in comparative clinical efficacy research in an effort to coordinate and develop such research;</w:t>
      </w:r>
    </w:p>
    <w:p>
      <w:pPr>
        <w:spacing w:after="0" w:line="55" w:lineRule="exact"/>
        <w:rPr>
          <w:rFonts w:ascii="Arial" w:cs="Arial" w:eastAsia="Arial" w:hAnsi="Arial"/>
          <w:sz w:val="17"/>
          <w:szCs w:val="17"/>
          <w:color w:val="auto"/>
        </w:rPr>
      </w:pPr>
    </w:p>
    <w:p>
      <w:pPr>
        <w:ind w:left="1000" w:right="620" w:hanging="371"/>
        <w:spacing w:after="0" w:line="319"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31" w:lineRule="exact"/>
        <w:rPr>
          <w:rFonts w:ascii="Arial" w:cs="Arial" w:eastAsia="Arial" w:hAnsi="Arial"/>
          <w:sz w:val="16"/>
          <w:szCs w:val="16"/>
          <w:color w:val="auto"/>
        </w:rPr>
      </w:pPr>
    </w:p>
    <w:p>
      <w:pPr>
        <w:ind w:left="1000" w:hanging="371"/>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expands the eligibility criteria for Medicaid programs.</w:t>
      </w:r>
    </w:p>
    <w:p>
      <w:pPr>
        <w:spacing w:after="0" w:line="24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Some of the provisions of the PPACA have yet to be implemented, and there were judicial and Congressional challenges to certain aspects of the PPACA, as well as recent efforts by the Trump administration to repeal or replace certain aspects of the PPACA. Most recently, under President Biden, the Department of Justice dropped support of two Supreme Court cases challenging PPACA in addition to a case before the U.S. Court of Appeals for the Fifth Circuit. On January 28, 2021, President Biden signed an executive order to expand access to PPACA coverage, stating that it is the “policy” of the Biden administration to protect and strengthen the PPACA and directing agencies to consider suspending, revising, or rescinding actions related to President Trump’s executive orders that are inconsistent with this policy position. In the past, Congress has considered legislation that would repeal or repeal and replace all or part of the PPACA; however, this is not the policy of the Biden administration. While Congress has not passed comprehensive repeal legislation, two bills affecting the implementation of certain taxes under the PPACA have been signed into law. The Tax Cuts and Jobs Act of 2017, or the Tax Act, includes a provision repealing, effective January 1, 2019, the tax-based shared responsibility payment imposed by the PPACA on certain individuals who fail to maintain qualifying health coverage for all or part of a year that is commonly referred to as the “individual mandate”. The 2018 Appropriations Resolution delayed the implementation of certain PPACA-mandated fees, including, without limitation, the medical device excise tax. The Bipartisan Budget Act of 2018, or the BBA, among other things, amends the PPACA, effective January 1, 2019, to close the coverage gap in most Medicare drug plans, commonly referred to as the “donut hole”. In July 2018, CMS published a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U.S. District Court Judge in the Northern District of Texas, or Texas District Court Judge, ruled that the individual mandate is a critical and inseverable feature of the PPACA, and therefore, because it was repealed as part of the Tax Act, the remaining provisions of the PPACA are invalid as well. On appeal, the Fifth Circuit Court of Appeals affirmed the holding on the individual mandate but remanded the case back to the lower court to reassess whether and how such holding affects the validity if the rest of the PPACA; however, as stated above, the Department of Justice under President Biden has dropped its support of this appeal. There is no way to know whether, and to what extent, if any, the PPACA will remain in-effect in the future, and it is unclear how judicial decisions, subsequent appeals, or other efforts to repeal and replace or, possibly, to restore the PPACA will impact the U.S. healthcare industry or our business.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 w:name="page18"/>
    <w:bookmarkEnd w:id="17"/>
    <w:p>
      <w:pPr>
        <w:ind w:right="120"/>
        <w:spacing w:after="0" w:line="276" w:lineRule="auto"/>
        <w:rPr>
          <w:sz w:val="20"/>
          <w:szCs w:val="20"/>
          <w:color w:val="auto"/>
        </w:rPr>
      </w:pPr>
      <w:r>
        <w:rPr>
          <w:rFonts w:ascii="Arial" w:cs="Arial" w:eastAsia="Arial" w:hAnsi="Arial"/>
          <w:sz w:val="16"/>
          <w:szCs w:val="16"/>
          <w:color w:val="auto"/>
        </w:rPr>
        <w:t>In addition, other legislative changes have been proposed and adopted since the PPACA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subsequent legislative amendments to the statute, including the Bipartisan Budget Act of 2018, will stay in effect through 2027 unless additional Congressional action is taken. On January 2, 2013, President Obama signed into law the American Taxpayer Relief Act of 2012, or the ATRA, which, among other things, further reduced Medicare payments to several types of providers and increased the statute of limitations period for the government to recover overpayments to providers from three to five years. In addition, the Medicare Access and CHIP Reauthorization Act of 2015, enacted on April 16, 2015, or MACRA,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17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Recently there has been heightened governmental scrutiny over the manner in which manufacturers set prices for their marketed products, which has resulted in several U.S. Congressional inquiries and proposed federal legislation designed to, among other things, bring more transparency to product pricing, reduce the cost of certain products under Medicare, review the relationship between pricing and manufacturer patient programs, and reform government program reimbursement methodologies. At the state level, individual states in the United States are also increasingly passing legislation and implementing regulations designed to control product pricing, including price or patient reimbursement constraints, discounts, restrictions on certain product access and marketing cost disclosure and transparency measures.</w:t>
      </w:r>
    </w:p>
    <w:p>
      <w:pPr>
        <w:spacing w:after="0" w:line="17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It is likely that additional state and federal healthcare reform measures will be adopted in the future, any of which could limit the amounts that federal and state governments will pay for healthcare products and services, which could result in reduced demand for a medical device manufacturer’s products or additional pricing pressure.</w:t>
      </w:r>
    </w:p>
    <w:p>
      <w:pPr>
        <w:spacing w:after="0" w:line="17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cannot predict the impact that such actions against the PPACA or other health care reform under the Biden administration will have on our business, and there is uncertainty as to what healthcare programs and regulations may be implemented or changed at the federal and/or state level in the United States, or the effect of any future legislation or regulation. However, it is possible that such initiatives could have an adverse effect on our ability to obtain approval and/or successfully commercialize products in the United States in the future. For example,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Japanese Regulation</w:t>
      </w:r>
    </w:p>
    <w:p>
      <w:pPr>
        <w:spacing w:after="0" w:line="11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 Japan, medical devices must be approved prior to importation and commercial sale by the JMHLW. The approval process identifies a Marketing Authorization Holder, or MAH, who is designated as the only authorized seller of products. Manufacturers of medical devices outside of Japan who do not operate through a Japanese entity are able to designate a MAH who will apply for product approval and take responsibility for the medical device as designated. The JMHLW evaluates each device for safety and efficacy. As part of its approval process, the JMHLW may require that the product be tested in Japanese laboratories. The approval process ranges in length and certain medical devices may require a longer review period for approval. Once a device is approved, the JMHLW issues a Shonin to the MAH or designated MAH, thereby permitting such entity to import the device into Japan for sale.</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After a device is approved for importation and commercial sale in Japan, the MHLW continues to monitor sales of approved products for compliance with labeling regulations, which prohibit promotion of devices for unapproved uses, and reporting regulations, which require reporting of product malfunctions, including serious injury or death caused by any approved device. Failure to comply with applicable regulatory requirements can result in enforcement action by the MHLW, which may include fines, injunctions, and civil penalties; recall or seizure of our products; operating restrictions; partial suspension or total shutdown of sales in Japan; or criminal prosecution.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i w:val="1"/>
          <w:iCs w:val="1"/>
          <w:color w:val="auto"/>
        </w:rPr>
        <w:t>European Union Regulation</w:t>
      </w:r>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also have received European Conformity (CE) marking in the European Economic Area (EEA). Sales and marketing of medical devices outside of the United States are subject to foreign regulatory requirements that vary widely from country to country. The time required to obtain appropriate marketing authorizations from other foreign authorities may be longer or shorter than required for FDA approval. Whether or not we have obtained FDA approval, our NeuroStar Advanced Therapy System may be subject to different regulatory requirements in other jurisdictions. The foreign regulatory approval process includes all the risks associated with FDA regulation, as well as country-specific regulations.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Regulations</w:t>
      </w:r>
    </w:p>
    <w:p>
      <w:pPr>
        <w:spacing w:after="0" w:line="11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i w:val="1"/>
          <w:iCs w:val="1"/>
          <w:color w:val="auto"/>
        </w:rPr>
        <w:t xml:space="preserve">Import-export. </w:t>
      </w:r>
      <w:r>
        <w:rPr>
          <w:rFonts w:ascii="Arial" w:cs="Arial" w:eastAsia="Arial" w:hAnsi="Arial"/>
          <w:sz w:val="16"/>
          <w:szCs w:val="16"/>
          <w:color w:val="auto"/>
        </w:rPr>
        <w:t>Our international operations subject us to laws regarding sanctioned countries, entities and persons, customs, and import-export.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these laws restrict, and in some cases can prevent, U.S. companies from directly or indirectly selling goods, technology or services to people or entities in certain countries. In addition, these laws require that we exercise care in our business dealings with entities in and from foreign countries.</w:t>
      </w:r>
    </w:p>
    <w:p>
      <w:pPr>
        <w:spacing w:after="0" w:line="15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i w:val="1"/>
          <w:iCs w:val="1"/>
          <w:color w:val="auto"/>
        </w:rPr>
        <w:t xml:space="preserve">Data Privacy and Cybersecurity Laws and Regulations. </w:t>
      </w:r>
      <w:r>
        <w:rPr>
          <w:rFonts w:ascii="Arial" w:cs="Arial" w:eastAsia="Arial" w:hAnsi="Arial"/>
          <w:sz w:val="16"/>
          <w:szCs w:val="16"/>
          <w:color w:val="auto"/>
        </w:rPr>
        <w:t>As a business with a significant global footprint, compliance with evolving regulations and standards in</w:t>
      </w:r>
      <w:r>
        <w:rPr>
          <w:rFonts w:ascii="Arial" w:cs="Arial" w:eastAsia="Arial" w:hAnsi="Arial"/>
          <w:sz w:val="16"/>
          <w:szCs w:val="16"/>
          <w:i w:val="1"/>
          <w:iCs w:val="1"/>
          <w:color w:val="auto"/>
        </w:rPr>
        <w:t xml:space="preserve"> </w:t>
      </w:r>
      <w:r>
        <w:rPr>
          <w:rFonts w:ascii="Arial" w:cs="Arial" w:eastAsia="Arial" w:hAnsi="Arial"/>
          <w:sz w:val="16"/>
          <w:szCs w:val="16"/>
          <w:color w:val="auto"/>
        </w:rPr>
        <w:t>data privacy and cybersecurity (relating to the confidentiality and security of our information technology systems, products such as medical devices, and other services provided by us) may result in increased costs, lower revenue, new complexities in compliance, new challenges for competition, and the threat of increased regulatory enforcement activity. Our business relies on the secure electronic transmission, storage and hosting of sensitive information, including personal information, financial information, intellectual property, and other sensitive information related to our customers and workforce.</w:t>
      </w:r>
    </w:p>
    <w:p>
      <w:pPr>
        <w:spacing w:after="0" w:line="16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For example, in the U.S. the collection, maintenance, protection, use, transmission, disclosure and disposal of certain personal information and the security of medical devices are regulated at the U.S. federal and state, and industry levels. U.S. federal and state laws protect the confidentiality of certain patient health information, including patient medical records, and restrict the use and disclosure of patient health information by health care providers. In addition, the FDA has issued guidance advising manufacturers to take cybersecurity risks into account in product design for connected medical devices and systems, to assure that appropriate safeguards are in place to reduce the risk of unauthorized access or modification to medical devices that contain software and reduce the risk of introducing threats into hospital systems that are connected to such devices. The FDA also issued guidance on post market management of cyber security in medical devices.</w:t>
      </w:r>
    </w:p>
    <w:p>
      <w:pPr>
        <w:spacing w:after="0" w:line="179"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Outside the U.S., we are impacted by the privacy and data security requirements at the international, national and regional level, and on an industry specific basis. Legal requirements in these countries relating to the collection, storage, handling and transfer of personal data and, potentially, intellectual property continue to evolve with increasingly strict enforcement regimes.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Employees</w:t>
      </w:r>
    </w:p>
    <w:p>
      <w:pPr>
        <w:spacing w:after="0" w:line="11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As of December 31, 2020, we had 126 full time employees working collaboratively across our sales and customer support team, in research and development, including clinical, regulatory and certain quality functions, operations and in general and administrative. All of our employees are employed full time. We have never had a work stoppage and none of our employees are covered by collective bargaining agreements or represented by a labor union. We believe that our employee relations are strong.</w:t>
      </w:r>
    </w:p>
    <w:p>
      <w:pPr>
        <w:spacing w:after="0" w:line="7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We recruit employees with the skills and training relevant to functional responsibilities. We believe that cultural fit and energy are important considerations. We assess the likelihood that a particular candidate will contribute to the Company’s overall goals, and beyond their specifically assigned tasks. We aim to provide market-based compensation and work to retain our employees for many years. During 2020, as we worked to manage through the effects of the COVID-19 pandemic, we provided the option of working remotely through June 2020 before implementing a staggered return policy to bring all home office employees back to our Malvern facility with appropriate safeguards by September 2020. The Company continues to offer a two-day work from home policy to ensure employees are able to manage family priorities during the COVID-19 pandemic.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Developing employees contributes to growing our business. The Company has leadership development programs which bring a consistent approach to leadership development that all managers and directors are required to attend. The Company also provides learning opportunities for all employees to continue to progress their development and career at the Company.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117"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auto"/>
        </w:rPr>
        <w:t>A diverse and inclusive culture that provides fair and equitable opportunities helps the Company remain competitive, advance its innovation culture, and serve customers. The Company focuses on attracting and advancing top talent as well as advancing diversity, equity, and inclusion initiatives.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117"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In addition to a professional work environment that promotes innovation and rewards performance, our total compensation for employees includes a variety of components that support sustainable employment and the ability to build a strong financial future, including competitive market-based pay, share-based compensation awards, and comprehensive benefits. In addition to earning a base salary, eligible employees are compensated for their contributions to the Company’s goals with cash incentives and long-term equity-based incentives. The Company is committed to providing fair and equitable pay for employees. Eligible full-time employees also have access to medical, dental, and vision plans; savings and retirement plans; and other benefits.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23"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 xml:space="preserve">We were incorporated in Delaware in April of 2003. Our principal executive offices are located at 3222 Phoenixville Pike, Malvern, Pennsylvania 19355, and our telephone number is (610) 640-4202. Our website address is </w:t>
      </w:r>
      <w:r>
        <w:rPr>
          <w:rFonts w:ascii="Arial" w:cs="Arial" w:eastAsia="Arial" w:hAnsi="Arial"/>
          <w:sz w:val="15"/>
          <w:szCs w:val="15"/>
          <w:u w:val="single" w:color="auto"/>
          <w:color w:val="auto"/>
        </w:rPr>
        <w:t>www.neurostar.com</w:t>
      </w:r>
      <w:r>
        <w:rPr>
          <w:rFonts w:ascii="Arial" w:cs="Arial" w:eastAsia="Arial" w:hAnsi="Arial"/>
          <w:sz w:val="15"/>
          <w:szCs w:val="15"/>
          <w:color w:val="auto"/>
        </w:rPr>
        <w:t>. We make available, free of charge on our website, our annual report on Form</w:t>
      </w:r>
    </w:p>
    <w:p>
      <w:pPr>
        <w:spacing w:after="0" w:line="1" w:lineRule="exact"/>
        <w:rPr>
          <w:sz w:val="20"/>
          <w:szCs w:val="20"/>
          <w:color w:val="auto"/>
        </w:rPr>
      </w:pPr>
    </w:p>
    <w:p>
      <w:pPr>
        <w:spacing w:after="0" w:line="208" w:lineRule="exact"/>
        <w:rPr>
          <w:sz w:val="20"/>
          <w:szCs w:val="20"/>
          <w:color w:val="auto"/>
        </w:rPr>
      </w:pPr>
      <w:r>
        <w:rPr>
          <w:rFonts w:ascii="Arial" w:cs="Arial" w:eastAsia="Arial" w:hAnsi="Arial"/>
          <w:sz w:val="17"/>
          <w:szCs w:val="17"/>
          <w:color w:val="auto"/>
        </w:rPr>
        <w:t>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 xml:space="preserve">K and all amendments to those reports filed or furnished pursuant to Section 13(a) or 15(d) of the Securities Exchange Act of 1934, as amended, or the Exchange Act, as soon as reasonably practicable after we electronically file those reports with, or furnish them to, the SEC. The SEC maintains an Internet site that contains reports, proxy and information statements, and other information regarding issuers that file electronically with the SEC, which can be found at </w:t>
      </w:r>
      <w:r>
        <w:rPr>
          <w:rFonts w:ascii="Arial" w:cs="Arial" w:eastAsia="Arial" w:hAnsi="Arial"/>
          <w:sz w:val="17"/>
          <w:szCs w:val="17"/>
          <w:u w:val="single" w:color="auto"/>
          <w:color w:val="auto"/>
        </w:rPr>
        <w:t>www.sec.gov</w:t>
      </w:r>
      <w:r>
        <w:rPr>
          <w:rFonts w:ascii="Arial" w:cs="Arial" w:eastAsia="Arial" w:hAnsi="Arial"/>
          <w:sz w:val="17"/>
          <w:szCs w:val="17"/>
          <w:color w:val="auto"/>
        </w:rPr>
        <w:t>. The information contained on, or accessible through, our website is not incorporated by reference into this Annual Report on Form 10-K, and you should not consider any information contained in, or that can be accessed through, our website as part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Factors</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 investment in shares of our common stock involves significant risks. See “Risk Factors” beginning on page 20. These risks include, among others:</w:t>
      </w:r>
    </w:p>
    <w:p>
      <w:pPr>
        <w:spacing w:after="0" w:line="233" w:lineRule="exact"/>
        <w:rPr>
          <w:sz w:val="20"/>
          <w:szCs w:val="20"/>
          <w:color w:val="auto"/>
        </w:rPr>
      </w:pPr>
    </w:p>
    <w:p>
      <w:pPr>
        <w:ind w:left="740" w:hanging="371"/>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success depends upon patient satisfaction with the effectiveness of our NeuroStar Advanced Therapy System.</w:t>
      </w:r>
    </w:p>
    <w:p>
      <w:pPr>
        <w:spacing w:after="0" w:line="221" w:lineRule="exact"/>
        <w:rPr>
          <w:rFonts w:ascii="Arial" w:cs="Arial" w:eastAsia="Arial" w:hAnsi="Arial"/>
          <w:sz w:val="17"/>
          <w:szCs w:val="17"/>
          <w:color w:val="auto"/>
        </w:rPr>
      </w:pPr>
    </w:p>
    <w:p>
      <w:pPr>
        <w:ind w:left="740" w:right="280" w:hanging="371"/>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COVID-19 pandemic has had, and we expect will continue to have, an adverse effect on our business, results of operations, financial condition and cash flows, the nature and extent of which are highly uncertain and unpredictable.</w:t>
      </w:r>
    </w:p>
    <w:p>
      <w:pPr>
        <w:spacing w:after="0" w:line="159" w:lineRule="exact"/>
        <w:rPr>
          <w:rFonts w:ascii="Arial" w:cs="Arial" w:eastAsia="Arial" w:hAnsi="Arial"/>
          <w:sz w:val="17"/>
          <w:szCs w:val="17"/>
          <w:color w:val="auto"/>
        </w:rPr>
      </w:pPr>
    </w:p>
    <w:p>
      <w:pPr>
        <w:ind w:left="740" w:right="40" w:hanging="371"/>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operate in a very competitive environment and if we are unable to compete successfully against our existing or potential competitors, our sales and operating results may be negatively affected.</w:t>
      </w:r>
    </w:p>
    <w:p>
      <w:pPr>
        <w:spacing w:after="0" w:line="159" w:lineRule="exact"/>
        <w:rPr>
          <w:rFonts w:ascii="Arial" w:cs="Arial" w:eastAsia="Arial" w:hAnsi="Arial"/>
          <w:sz w:val="17"/>
          <w:szCs w:val="17"/>
          <w:color w:val="auto"/>
        </w:rPr>
      </w:pPr>
    </w:p>
    <w:p>
      <w:pPr>
        <w:ind w:left="740" w:right="120" w:hanging="371"/>
        <w:spacing w:after="0" w:line="271"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rely on single-source suppliers for some components used in our NeuroStar Advanced Therapy System and on a single manufacturer for the assembly of our NeuroStar Advanced Therapy System, and we may be unable to find replacements or immediately transition to alternative parties for these components.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0" w:name="page21"/>
    <w:bookmarkEnd w:id="20"/>
    <w:p>
      <w:pPr>
        <w:ind w:left="380" w:right="260" w:hanging="371"/>
        <w:spacing w:after="0" w:line="286"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rely and, in the future, expect to rely on a network of third-party distributors to market and distribute our products internationally, and if we are unable to maintain and expand this network, we may be unable to generate anticipated sales.</w:t>
      </w:r>
    </w:p>
    <w:p>
      <w:pPr>
        <w:spacing w:after="0" w:line="159" w:lineRule="exact"/>
        <w:rPr>
          <w:rFonts w:ascii="Arial" w:cs="Arial" w:eastAsia="Arial" w:hAnsi="Arial"/>
          <w:sz w:val="17"/>
          <w:szCs w:val="17"/>
          <w:color w:val="auto"/>
        </w:rPr>
      </w:pPr>
    </w:p>
    <w:p>
      <w:pPr>
        <w:ind w:left="380" w:right="20" w:hanging="371"/>
        <w:spacing w:after="0" w:line="286"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not able to obtain and enforce patent protection for our technologies, products, or product candidates, development and commercialization of our products and product candidates may be adversely affected.</w:t>
      </w:r>
    </w:p>
    <w:p>
      <w:pPr>
        <w:spacing w:after="0" w:line="159" w:lineRule="exact"/>
        <w:rPr>
          <w:rFonts w:ascii="Arial" w:cs="Arial" w:eastAsia="Arial" w:hAnsi="Arial"/>
          <w:sz w:val="17"/>
          <w:szCs w:val="17"/>
          <w:color w:val="auto"/>
        </w:rPr>
      </w:pPr>
    </w:p>
    <w:p>
      <w:pPr>
        <w:ind w:left="380" w:right="360" w:hanging="371"/>
        <w:spacing w:after="0" w:line="286"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products and operations are subject to extensive government regulation and oversight both in the United States and abroad, and our failure to comply with applicable requirements could harm our business.</w:t>
      </w:r>
    </w:p>
    <w:p>
      <w:pPr>
        <w:spacing w:after="0" w:line="159" w:lineRule="exact"/>
        <w:rPr>
          <w:rFonts w:ascii="Arial" w:cs="Arial" w:eastAsia="Arial" w:hAnsi="Arial"/>
          <w:sz w:val="17"/>
          <w:szCs w:val="17"/>
          <w:color w:val="auto"/>
        </w:rPr>
      </w:pPr>
    </w:p>
    <w:p>
      <w:pPr>
        <w:ind w:left="380" w:right="300" w:hanging="371"/>
        <w:spacing w:after="0" w:line="286"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Modifications to our products may require new 510(k) clearances or PMA approvals, and may require us to cease marketing or recall the modified products until clearances are obtained.</w:t>
      </w:r>
    </w:p>
    <w:p>
      <w:pPr>
        <w:spacing w:after="0" w:line="159" w:lineRule="exact"/>
        <w:rPr>
          <w:rFonts w:ascii="Arial" w:cs="Arial" w:eastAsia="Arial" w:hAnsi="Arial"/>
          <w:sz w:val="17"/>
          <w:szCs w:val="17"/>
          <w:color w:val="auto"/>
        </w:rPr>
      </w:pPr>
    </w:p>
    <w:p>
      <w:pPr>
        <w:ind w:left="380" w:right="620" w:hanging="371"/>
        <w:spacing w:after="0" w:line="286"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products must be manufactured in accordance with federal and state regulations, and we could be forced to recall our installed systems or terminate production if we fail to comply with these regulations.</w:t>
      </w:r>
    </w:p>
    <w:p>
      <w:pPr>
        <w:spacing w:after="0" w:line="159" w:lineRule="exact"/>
        <w:rPr>
          <w:rFonts w:ascii="Arial" w:cs="Arial" w:eastAsia="Arial" w:hAnsi="Arial"/>
          <w:sz w:val="17"/>
          <w:szCs w:val="17"/>
          <w:color w:val="auto"/>
        </w:rPr>
      </w:pPr>
    </w:p>
    <w:p>
      <w:pPr>
        <w:ind w:left="380" w:right="120" w:hanging="371"/>
        <w:spacing w:after="0" w:line="266"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products may cause or contribute to adverse medical events that we are required to report to the United States Food and Drug Administration, or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75" w:lineRule="exact"/>
        <w:rPr>
          <w:rFonts w:ascii="Arial" w:cs="Arial" w:eastAsia="Arial" w:hAnsi="Arial"/>
          <w:sz w:val="17"/>
          <w:szCs w:val="17"/>
          <w:color w:val="auto"/>
        </w:rPr>
      </w:pPr>
    </w:p>
    <w:p>
      <w:pPr>
        <w:ind w:left="380" w:hanging="371"/>
        <w:spacing w:after="0" w:line="271"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71" w:lineRule="exact"/>
        <w:rPr>
          <w:rFonts w:ascii="Arial" w:cs="Arial" w:eastAsia="Arial" w:hAnsi="Arial"/>
          <w:sz w:val="17"/>
          <w:szCs w:val="17"/>
          <w:color w:val="auto"/>
        </w:rPr>
      </w:pPr>
    </w:p>
    <w:p>
      <w:pPr>
        <w:ind w:left="380" w:right="360" w:hanging="371"/>
        <w:spacing w:after="0" w:line="295"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operating results are directly dependent upon the sales and marketing efforts of our sales and customer support team as well as our field sales personnel in the United States and our independent third-party distributors outside of the United States. If our employees or our independent distributors fail to adequately promote, market and sell our products, our sales could significantly decrease.</w:t>
      </w:r>
    </w:p>
    <w:p>
      <w:pPr>
        <w:spacing w:after="0" w:line="155" w:lineRule="exact"/>
        <w:rPr>
          <w:rFonts w:ascii="Arial" w:cs="Arial" w:eastAsia="Arial" w:hAnsi="Arial"/>
          <w:sz w:val="16"/>
          <w:szCs w:val="16"/>
          <w:color w:val="auto"/>
        </w:rPr>
      </w:pPr>
    </w:p>
    <w:p>
      <w:pPr>
        <w:ind w:left="380" w:right="140" w:hanging="371"/>
        <w:spacing w:after="0" w:line="286"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an “emerging growth company” and the reduced disclosure requirements applicable to emerging growth companies could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81915</wp:posOffset>
            </wp:positionV>
            <wp:extent cx="713740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840"/>
          </w:cols>
          <w:pgMar w:left="680" w:top="544" w:right="379" w:bottom="1440" w:gutter="0" w:footer="0" w:header="0"/>
        </w:sectPr>
      </w:pPr>
    </w:p>
    <w:bookmarkStart w:id="21" w:name="page22"/>
    <w:bookmarkEnd w:id="21"/>
    <w:p>
      <w:pPr>
        <w:spacing w:after="0"/>
        <w:tabs>
          <w:tab w:leader="none" w:pos="14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3"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and the other information contained in this Annual Report on Form 10-K before deciding whether to invest in our common stock. The occurrence of any of the events or developments described below could harm our business, financial condition, results of operations and prospects. As a result, the market price of our common stock could decline, and you may lose all or part of your investment.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losses in the past and may be unable to achieve or sustain profitability in the future.</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We have incurred net losses since inception, including net losses of $27.5 million and $29.0 million for the years ended December 31, 2020 and 2019 respectively. As a result of ongoing losses, as of December 31, 2020, we had an accumulated deficit of $277.5 million. We expect to continue to incur significant sales and marketing, product development, regulatory and other expenses as we continue to expand our marketing efforts to increase adoption of our products and expand existing relationships with our customers, to obtain regulatory clearances or approvals for our products in additional countries and for additional indications, and to develop new products or add new features to our existing products. The net losses we incur may fluctuate significantly from quarter to quarter. We will need to generate significant additional revenues to achieve and sustain profitability, and even if we achieve profitability, we cannot be sure that we will remain profitable for any substantial period of time. Our failure to achieve or maintain profitability could negatively impact the value of our common stock.</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the sale of our NeuroStar Advanced Therapy System and treatment sessions to generate revenues.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rely on the sale of our NeuroStar Advanced Therapy System and treatment sessions to generate revenues, and we expect to generate substantially all of our revenues in the foreseeable future from sales of these and any related products and services. Because the market for TMS therapy is still developing and contains a limited number of market participants, sales of our products could be negatively impacted by unfavorable market reactions to our or other TMS devices. If the use of our or other TMS therapies results in serious adverse events, or such products malfunction or are misused, patients and psychiatrists may attribute such negative events to TMS therapy generally, which may adversely affect market adoption of our products. Additionally, if patients undergoing treatment with a NeuroStar Advanced Therapy System perceive the benefits to be inadequate or adverse events too numerous or severe compared to the relevant rates of alternative TMS therapies or pharmaceutical options, it will be difficult to demonstrate the value of our NeuroStar Advanced Therapy System to patients and psychiatrists. As a result, demand for and the use of our NeuroStar Advanced Therapy System may decline or may not increase at the pace or to the levels we expect.</w:t>
      </w:r>
    </w:p>
    <w:p>
      <w:pPr>
        <w:spacing w:after="0" w:line="39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The COVID-19 pandemic has had, and we expect will continue to have, an adverse effect on our business, results of operations, financial condition and cash flows, the nature and extent of which are highly uncertain and unpredictable.</w:t>
      </w:r>
    </w:p>
    <w:p>
      <w:pPr>
        <w:spacing w:after="0" w:line="55" w:lineRule="exact"/>
        <w:rPr>
          <w:sz w:val="20"/>
          <w:szCs w:val="20"/>
          <w:color w:val="auto"/>
        </w:rPr>
      </w:pPr>
    </w:p>
    <w:p>
      <w:pPr>
        <w:ind w:right="100" w:firstLine="510"/>
        <w:spacing w:after="0" w:line="279" w:lineRule="auto"/>
        <w:rPr>
          <w:sz w:val="20"/>
          <w:szCs w:val="20"/>
          <w:color w:val="auto"/>
        </w:rPr>
      </w:pPr>
      <w:r>
        <w:rPr>
          <w:rFonts w:ascii="Arial" w:cs="Arial" w:eastAsia="Arial" w:hAnsi="Arial"/>
          <w:sz w:val="16"/>
          <w:szCs w:val="16"/>
          <w:color w:val="auto"/>
        </w:rPr>
        <w:t>Our operations and interactions with healthcare systems, providers and patients expose us to risks associated with public health crises, including epidemics and pandemics. In particular, the global impact of COVID-19, including corresponding preventative and precautionary measures that we and other businesses, communities and governments are taking to mitigate the spread of the disease, has led to unprecedented restrictions on, disruptions in, and other related impacts on business and personal activities. Further, in addition to travel restrictions put in place beginning in early 2020, countries, states and governments may continue to close borders, impose prolonged quarantines or other restrictions and requirements on travel, and further limit our ability to conduct business in-person as we did prior to COVID-19, requiring businesses, including our business, to use alternative methods of communication. It is likely the COVID-19 pandemic will cause a continued economic slowdown of extended duration, and it is possible that it could cause a global recession.</w:t>
      </w:r>
    </w:p>
    <w:p>
      <w:pPr>
        <w:spacing w:after="0" w:line="170" w:lineRule="exact"/>
        <w:rPr>
          <w:sz w:val="20"/>
          <w:szCs w:val="20"/>
          <w:color w:val="auto"/>
        </w:rPr>
      </w:pPr>
    </w:p>
    <w:p>
      <w:pPr>
        <w:ind w:right="260" w:firstLine="510"/>
        <w:spacing w:after="0" w:line="271" w:lineRule="auto"/>
        <w:rPr>
          <w:sz w:val="20"/>
          <w:szCs w:val="20"/>
          <w:color w:val="auto"/>
        </w:rPr>
      </w:pPr>
      <w:r>
        <w:rPr>
          <w:rFonts w:ascii="Arial" w:cs="Arial" w:eastAsia="Arial" w:hAnsi="Arial"/>
          <w:sz w:val="17"/>
          <w:szCs w:val="17"/>
          <w:color w:val="auto"/>
        </w:rPr>
        <w:t>Together with the preventative and precautionary measures being taken, as well as the corresponding need to adapt to new and different methods of communication and conducting business, COVID-19 is having, and will likely continue to have, an adverse impact on significant aspects of our company and business, including on demand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22" w:name="page23"/>
    <w:bookmarkEnd w:id="22"/>
    <w:p>
      <w:pPr>
        <w:ind w:right="60"/>
        <w:spacing w:after="0" w:line="281" w:lineRule="auto"/>
        <w:rPr>
          <w:sz w:val="20"/>
          <w:szCs w:val="20"/>
          <w:color w:val="auto"/>
        </w:rPr>
      </w:pPr>
      <w:r>
        <w:rPr>
          <w:rFonts w:ascii="Arial" w:cs="Arial" w:eastAsia="Arial" w:hAnsi="Arial"/>
          <w:sz w:val="16"/>
          <w:szCs w:val="16"/>
          <w:color w:val="auto"/>
        </w:rPr>
        <w:t>for and supply of our products, operations, supply chains and distribution systems, our ability to research and develop and bring to market new products and services, and our ability to generate cash flow, and may have an adverse impact on our ability to access capital. Although we consider treatment by NeuroStar to be a medical necessity, our experience since March 2020 demonstrates that quarantine and similar public health orders cause a material reduction in sales of NeuroStar and in NeuroStar utilization. It is not possible to predict the possibility, locations or timing of such orders but if such orders are re-imposed regionally or nationally in the United States or Japan or if unemployment or loss of insurance coverage continues or worsens from the present situation, our business, cash flows, financial condition and results of operations will continue to be negatively affected.</w:t>
      </w:r>
    </w:p>
    <w:p>
      <w:pPr>
        <w:spacing w:after="0" w:line="166" w:lineRule="exact"/>
        <w:rPr>
          <w:sz w:val="20"/>
          <w:szCs w:val="20"/>
          <w:color w:val="auto"/>
        </w:rPr>
      </w:pPr>
    </w:p>
    <w:p>
      <w:pPr>
        <w:ind w:right="40" w:firstLine="510"/>
        <w:spacing w:after="0" w:line="263" w:lineRule="auto"/>
        <w:rPr>
          <w:sz w:val="20"/>
          <w:szCs w:val="20"/>
          <w:color w:val="auto"/>
        </w:rPr>
      </w:pPr>
      <w:r>
        <w:rPr>
          <w:rFonts w:ascii="Arial" w:cs="Arial" w:eastAsia="Arial" w:hAnsi="Arial"/>
          <w:sz w:val="17"/>
          <w:szCs w:val="17"/>
          <w:color w:val="auto"/>
        </w:rPr>
        <w:t>A significant number of our suppliers, vendors, distributors and manufacturing facilities have been adversely affected by the COVID-19 pandemic, including by adversely impacting the ability of their employees to get to their places of work and maintain the continuity of their on-site operations. These impacts could impair our ability to move our products through distribution channels to end customers, and any such delay or shortage in the supply of components or materials may result in our inability to satisfy demand for our products in a timely manner or at all, which could harm our reputation, future sales and profitability.</w:t>
      </w:r>
    </w:p>
    <w:p>
      <w:pPr>
        <w:spacing w:after="0" w:line="179" w:lineRule="exact"/>
        <w:rPr>
          <w:sz w:val="20"/>
          <w:szCs w:val="20"/>
          <w:color w:val="auto"/>
        </w:rPr>
      </w:pPr>
    </w:p>
    <w:p>
      <w:pPr>
        <w:ind w:right="20" w:firstLine="510"/>
        <w:spacing w:after="0" w:line="266" w:lineRule="auto"/>
        <w:rPr>
          <w:sz w:val="20"/>
          <w:szCs w:val="20"/>
          <w:color w:val="auto"/>
        </w:rPr>
      </w:pPr>
      <w:r>
        <w:rPr>
          <w:rFonts w:ascii="Arial" w:cs="Arial" w:eastAsia="Arial" w:hAnsi="Arial"/>
          <w:sz w:val="17"/>
          <w:szCs w:val="17"/>
          <w:color w:val="auto"/>
        </w:rPr>
        <w:t>In addition, COVID-19 has impacted and may further impact the global economy and capital markets, including by negatively impacting demand for our products, access to capital markets, foreign currency exchange rates, and interest rates, each of which may adversely impact our business and liquidity. We could experience loss of sales and profits due to delayed payments or insolvency of healthcare professionals, hospitals and other customers, suppliers and vendors facing liquidity issues.</w:t>
      </w:r>
    </w:p>
    <w:p>
      <w:pPr>
        <w:spacing w:after="0" w:line="28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If coverage is unavailable or reimbursement from third-party payors for treatments using our products significantly declines, psychiatrists may be reluctant to use our products.</w:t>
      </w:r>
    </w:p>
    <w:p>
      <w:pPr>
        <w:spacing w:after="0" w:line="5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 the United States, sales of our products will depend, in part, on the extent to which the treatment sessions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Further, patients who are treated in-office for a medical condition generally rely on third-party payors to reimburse all or part of the costs associated with the treatment and may be unwilling to undergo such treatment in the absence of coverage and adequate reimbursement, or due to large annual deductibles associated with certain health insurance plans.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treatment is neither experimental nor investigational, safe, effective, and medically necessary, appropriate for the specific patient, cost-effective, supported by peer-reviewed medical journals and included in clinical practice guidelines.</w:t>
      </w:r>
    </w:p>
    <w:p>
      <w:pPr>
        <w:spacing w:after="0" w:line="17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the United States, there is no uniform policy of coverage and reimbursement among third-party payors. Third-party payors often rely upon Medicare coverage policies and payment limitations in setting their own reimbursement policies, but also have their own methods and approval process apart from Medicare coverage and reimbursement determinations. Therefore, coverage and reimbursement for treatments can differ significantly from payor to payor. Decisions regarding the extent of coverage and amount of reimbursement to be provided for an in-office treatment is made on a plan-by-plan basis. One payor’s determination to provide coverage for a specific treatment does not assure that other payors will also provide coverage, and adequate reimbursement.</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the federal government and state legislatures have continued to implement cost containment programs, including price controls and restrictions on coverage and reimbursement. To contain costs, governmental healthcare programs and third-party payors are increasingly challenging the price, scrutinizing the medical necessity and reviewing the cost-effectiveness of medical treatments.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Outside of the United States, reimbursement systems vary significantly by country. Many foreign markets, including Japan, have government-managed healthcare systems that govern reimbursement for psychiatric treatments and procedures. Additionally, some foreign reimbursement systems provide for limited payments in a given period and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3" w:name="page24"/>
    <w:bookmarkEnd w:id="23"/>
    <w:p>
      <w:pPr>
        <w:ind w:right="700"/>
        <w:spacing w:after="0" w:line="286" w:lineRule="auto"/>
        <w:rPr>
          <w:sz w:val="20"/>
          <w:szCs w:val="20"/>
          <w:color w:val="auto"/>
        </w:rPr>
      </w:pPr>
      <w:r>
        <w:rPr>
          <w:rFonts w:ascii="Arial" w:cs="Arial" w:eastAsia="Arial" w:hAnsi="Arial"/>
          <w:sz w:val="17"/>
          <w:szCs w:val="17"/>
          <w:color w:val="auto"/>
        </w:rPr>
        <w:t>therefore result in extended payment periods. If adequate levels of reimbursement from third-party payors outside of the United States are not obtained, international sales of our products may not materialize or grow significantly.</w:t>
      </w:r>
    </w:p>
    <w:p>
      <w:pPr>
        <w:spacing w:after="0" w:line="159"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The marketability of our products may suffer if the government and third-party payors fail to provide adequate coverage and reimbursement. Even if favorable coverage and reimbursement status is attained, less favorable coverage policies and reimbursement rates may be implemented in the future.</w:t>
      </w:r>
    </w:p>
    <w:p>
      <w:pPr>
        <w:spacing w:after="0" w:line="24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If we are unable to adequately train psychiatrists and other treatment providers on the safe and appropriate use of our products, we may be unable to achieve our expected growth.</w:t>
      </w:r>
    </w:p>
    <w:p>
      <w:pPr>
        <w:spacing w:after="0" w:line="5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There is a learning process involved for treatment providers to become proficient in the use of our products, which requires us to spend considerable time and resources for training. It is critical to the success of our commercialization efforts to train a sufficient number of psychiatrists and to provide them with adequate, ongoing instruction and training in the use of our products. This training process generally requires psychiatrists to review and study product materials, engage in multi-day, hands-on training sessions for up to four hours a day and participate in a multi-day observational period prior to treating patients independently. This training process may also take longer than expected or be more complicated than the psychiatrists or their personnel are comfortable with and may therefore affect our ability to increase sales. Convincing psychiatrists to dedicate the time and energy necessary for adequate training is challenging, and we may not be successful in these efforts.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Psychiatrists and patients may be slow to adopt and use TMS therapies.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TMS therapy is an emerging treatment option for patients suffering from MDD. As a result, psychiatrist and patient awareness of TMS therapy as a treatment option for MDD, and experience with TMS therapies, is limited. Our success depends in large part on our ability to educate and train psychiatrist and patients, and successfully demonstrate the safety, tolerability, ease of use, efficacy, cost effectiveness and other merits of our NeuroStar Advanced Therapy System. We have been engaging in an active marketing campaign to raise awareness of our NeuroStar Advanced Therapy System and its benefits among psychiatrists, but we cannot assure you that these efforts will be successful or that they will not prove to be cost-prohibitive. Some psychiatrists may also find the initial patient set up and the subsequent procedures for future treatment sessions to be difficult or complicated, or could be wary of the initial investment required for the purchase of the NeuroStar Advanced Therapy System, which may impact their decision to purchase or use the NeuroStar Advanced Therapy System as part of their practice. Similarly, psychiatrists may find it difficult to hire additional staff, allocate sufficient space or operationalize our NeuroStar Advanced Therapy System, which could slow its adoption.</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addition, psychiatrists may not derive sufficient cash flow from using the NeuroStar Advanced Therapy Systems due to their own practice economics or otherwise. Failure to achieve economic benefits from the purchase or use of the NeuroStar Advanced Therapy System would adversely affect our customers’ purchase of treatment sessions. These factors could also reduce the number of procedures performed using our NeuroStar Advanced Therapy System, and if we do not facilitate the utilization of our products by our customers, our revenues and results of operations could be harmed.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upon patient satisfaction with the effectiveness of our NeuroStar Advanced Therapy System.</w:t>
      </w:r>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order to generate repeat and referral business, patients must be satisfied with the effectiveness of our NeuroStar Advanced Therapy System. Clinical studies demonstrate that, in order to be effective, our products must be used for a period of four to six weeks, and require a patient to return to a psychiatrist’s office five days a week during that period in order to receive the recommended course of treatment. Since patients who achieve response or remission using our therapy will obtain these results gradually over this treatment period, their perception of their results may vary depending on their compliance with the prescribed treatment course.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4" w:name="page25"/>
    <w:bookmarkEnd w:id="24"/>
    <w:p>
      <w:pPr>
        <w:spacing w:after="0" w:line="279" w:lineRule="auto"/>
        <w:rPr>
          <w:sz w:val="20"/>
          <w:szCs w:val="20"/>
          <w:color w:val="auto"/>
        </w:rPr>
      </w:pPr>
      <w:r>
        <w:rPr>
          <w:rFonts w:ascii="Arial" w:cs="Arial" w:eastAsia="Arial" w:hAnsi="Arial"/>
          <w:sz w:val="16"/>
          <w:szCs w:val="16"/>
          <w:color w:val="auto"/>
        </w:rPr>
        <w:t>We train our psychiatrist customers to select the appropriate patient candidates for treatment using the NeuroStar Advanced Therapy System, explain to their patients the time-period over which the results from a treatment course can be expected to occur, and measure the success of treatments using medical guidelines. However, our psychiatrist customers may not select appropriate patient candidates for NeuroStar Advanced Therapy treatment, which may produce results that may not meet patients’ expectations. In addition, the efficacy of treatment is dependent on proper patient set up at the initial treatment session and duplication of that set up at future treatment sessions. To the extent psychiatrists do not make the proper measurements for a specific patient or use the same procedures at each treatment session, it could result in variability of the treatment efficacy and results for the patient. If patients are not satisfied with the results of our NeuroStar Advanced Therapy System, our reputation and future sales will suffer.</w:t>
      </w:r>
    </w:p>
    <w:p>
      <w:pPr>
        <w:spacing w:after="0" w:line="274"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b w:val="1"/>
          <w:bCs w:val="1"/>
          <w:i w:val="1"/>
          <w:iCs w:val="1"/>
          <w:color w:val="auto"/>
        </w:rPr>
        <w:t>We operate in a very competitive environment and if we are unable to compete successfully against our existing or potential competitors, our sales and operating results may be negatively affected.</w:t>
      </w:r>
    </w:p>
    <w:p>
      <w:pPr>
        <w:spacing w:after="0" w:line="55"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Our currently marketed products are, and any future products we develop and commercialize will be, subject to intense competition. The industry in which we operate is subject to rapid change and is highly sensitive to the introduction of new products or other market activities of current or new industry participants. Our ability to compete successfully will depend on our ability to develop products that reach the market in a timely manner, to receive adequate coverage and reimbursement from third-party payors, and to successfully demonstrate to psychiatrists and patients the merits of our products compared to those of our competitors. If we are not successful in convincing others of the merits of our products, including in comparison to those of our competitors, or educating them on the use of our products, they may not use our products or use them effectively and we may be unable to increase our sales.</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have competitors that sell other forms of TMS therapy, including Brainsway, Magstim, MagVenture, CloudTMS and Nexstim, that compete directly with the NeuroStar Advanced Therapy System. Competing TMS therapy companies have developed and may develop additional treatments that can be administered for shorter time periods or for indications outside of MDD, or may develop treatments that have improved efficacy when compared to our products or that require a less significant investment of resources from psychiatrists. We also face competition from pharmaceutical and other companies that develop competitive products, such as antidepressant medications. Our commercial opportunity could be reduced or eliminated if these competitors develop and commercialize antidepressant medications or other treatments that are safer, more convenient or more effective than the NeuroStar Advanced Therapy System. At any time, these and other potential market entrants may develop treatment alternatives that may render our products uncompetitive.</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our competitors may have more established distribution networks than we do, or may be acquired by enterprises that have more established distribution networks than we do. Our competitors may also develop and patent processes or products earlier than we can or obtain domestic or international regulatory clearances or approvals for competing products more rapidly than we can, which could impair our ability to develop and commercialize similar products. We also compete with our competitors in acquiring technologies and technology licenses complementary to our products or advantageous to our business. In addition, we compete with our competitors to engage the services of independent distributors outside the United States, both those presently working with us and those with whom we hope to work as we expand.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difficulties encountered by companies in new and evolving markets.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assessing our prospects, you must consider the risks and difficulties frequently encountered by companies in new and evolving markets. These risks include our ability to:</w:t>
      </w:r>
    </w:p>
    <w:p>
      <w:pPr>
        <w:spacing w:after="0" w:line="55" w:lineRule="exact"/>
        <w:rPr>
          <w:sz w:val="20"/>
          <w:szCs w:val="20"/>
          <w:color w:val="auto"/>
        </w:rPr>
      </w:pPr>
    </w:p>
    <w:p>
      <w:pPr>
        <w:ind w:left="1000" w:hanging="371"/>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manage rapidly changing and expanding operations;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 awareness of our brand and strengthen customer loyalty;</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successfully execute our business and marketing strategy;</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respond effectively to competitive pressures and developments;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 to develop and enhance our products and products in development;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5" w:name="page26"/>
    <w:bookmarkEnd w:id="25"/>
    <w:p>
      <w:pPr>
        <w:ind w:left="1000" w:hanging="371"/>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 regulatory clearance or approval to commercialize new products and enhance our existing products;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refrain from infringing on the intellectual property rights of others, and maintaining appropriate legal policies and procedures;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 our presence in existing and commence operations in new international markets; and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attract, retain and motivate qualified personnel.</w:t>
      </w:r>
    </w:p>
    <w:p>
      <w:pPr>
        <w:spacing w:after="0" w:line="35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b w:val="1"/>
          <w:bCs w:val="1"/>
          <w:i w:val="1"/>
          <w:iCs w:val="1"/>
          <w:color w:val="auto"/>
        </w:rPr>
        <w:t>If we are unable to adequately address our customers’ needs, it could negatively impact sales and market acceptance of our products and we may never generate sufficient revenues to achieve or sustain profitability.</w:t>
      </w:r>
    </w:p>
    <w:p>
      <w:pPr>
        <w:spacing w:after="0" w:line="55"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Our operating results are directly dependent upon the sales and marketing efforts of our sales and customer support team as well as our field sales personnel in the United States and our independent third-party distributors outside of the United States. If our employees or our independent distributors fail to adequately promote, market and sell our products, our sales could significantly decrease.</w:t>
      </w:r>
    </w:p>
    <w:p>
      <w:pPr>
        <w:spacing w:after="0" w:line="17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If we launch new products, expand our product offerings to new indications or increase our marketing efforts with respect to existing products, we will need to expand the reach of our marketing and sales networks. Our future success will depend largely on our ability to continue to hire, train, retain and motivate skilled employees, and distributors with significant technical knowledge in various areas. Further, most of the salespersons we recently hired have technical expertise from other industries but no experience within our specific industry. New hires require training and take time to achieve full productivity. If we fail to train new hires adequately, new hires fail to successfully transition to our industry, or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products.</w:t>
      </w:r>
    </w:p>
    <w:p>
      <w:pPr>
        <w:spacing w:after="0" w:line="283"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b w:val="1"/>
          <w:bCs w:val="1"/>
          <w:i w:val="1"/>
          <w:iCs w:val="1"/>
          <w:color w:val="auto"/>
        </w:rPr>
        <w:t>The loss of any member of our senior management or our inability to attract and retain highly skilled executives, salespeople and product development personnel could negatively impact our business.</w:t>
      </w:r>
    </w:p>
    <w:p>
      <w:pPr>
        <w:spacing w:after="0" w:line="55"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Our success depends on the skills, experience and performance of the members of our senior management team. The individual and collective efforts of these employees will be important as we continue to develop our products and as we expand our commercial activities. We believe that it is challenging to identify individuals with the requisite skills to serve in many of our key positions, and the loss or incapacity of existing members of our executive management team could negatively impact our operations. We did not maintain key man life insurance on any of our employees in 2020. The existence of our Chief Executive Officer’s employment agreement does not guarantee our retention of our Chief Executive Officer for any period of time.</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commercial, supply chain and research and development programs and operations depend on our ability to attract and retain highly skilled managers, salespeople and product development and customer training personnel. We may be unable to attract or retain qualified managers, salespeople or product development and customer training personnel in the future due to the competition for qualified personnel in the medical treatment and device fields, as well as other fields. We also face competition from universities and public and private research institutions in recruiting and retaining highly qualified scientific personnel. Recruiting and retention difficulties can limit our ability to support our commercial, supply chain and research and development programs. The loss of key employees, the failure of any key employee to perform or our inability to attract and retain skilled employees, as needed, or an inability to effectively plan for and implement a succession plan for key employees could harm our business.</w:t>
      </w:r>
    </w:p>
    <w:p>
      <w:pPr>
        <w:spacing w:after="0" w:line="274"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b w:val="1"/>
          <w:bCs w:val="1"/>
          <w:i w:val="1"/>
          <w:iCs w:val="1"/>
          <w:color w:val="auto"/>
        </w:rPr>
        <w:t>Our long-term growth depends on our ability to commercialize our approved products for current and future indications and to develop and commercialize additional products through our research and development efforts. If we fail to do so we may be unable to compete effectively.</w:t>
      </w:r>
    </w:p>
    <w:p>
      <w:pPr>
        <w:spacing w:after="0" w:line="32"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In order to increase our future revenues, we must successfully enhance our existing product offerings and introduce new products in response to changing customer demands and competitive pressures and technologies. Our industry is characterized by intense competition, including from lower-cost competitors, rapid technological changes, new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6" w:name="page27"/>
    <w:bookmarkEnd w:id="26"/>
    <w:p>
      <w:pPr>
        <w:ind w:right="20"/>
        <w:spacing w:after="0" w:line="261" w:lineRule="auto"/>
        <w:rPr>
          <w:sz w:val="20"/>
          <w:szCs w:val="20"/>
          <w:color w:val="auto"/>
        </w:rPr>
      </w:pPr>
      <w:r>
        <w:rPr>
          <w:rFonts w:ascii="Arial" w:cs="Arial" w:eastAsia="Arial" w:hAnsi="Arial"/>
          <w:sz w:val="17"/>
          <w:szCs w:val="17"/>
          <w:color w:val="auto"/>
        </w:rPr>
        <w:t>product introductions and enhancements and evolving industry standards. We also face competition from pharmaceutical companies, including large pharmaceutical companies with greater capital. Our business prospects depend in part on our ability to develop and commercialize new products and applications for our technology, including in new markets that develop as a result of technological, pharmaceutical and scientific advances, while improving the performance and cost-effectiveness of our products. New pharmaceutical products, technologies, techniques or other products could emerge that might offer better combinations of price and performance than our products. It is important that we anticipate changes in technology and market demand, as well as psychiatrist practices to successfully develop, obtain clearance or approval, if required, and successfully introduce new, enhanced and competitive technologies to meet our prospective customers’ needs on a timely and cost-effective basis.</w:t>
      </w:r>
    </w:p>
    <w:p>
      <w:pPr>
        <w:spacing w:after="0" w:line="17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We might be unable to successfully further commercialize or develop or obtain regulatory clearances or approvals to market new products or our existing products for additional indications. For example, our NeuroStar Advanced Therapy System did not meet the primary endpoint in the initial phase of the clinical trial of adolescents with MDD. While we intend to complete the remaining phases of this clinical trial, in light of these results we are unlikely to seek clearance for this indication. Additionally, these products and any future products, even if cleared, might not be accepted by psychiatrists or the third-party payors who reimburse for the procedures performed with our products. The success of any new product offering or enhancement to an existing product will depend on numerous additional factors, including our ability to:</w:t>
      </w:r>
    </w:p>
    <w:p>
      <w:pPr>
        <w:spacing w:after="0" w:line="74" w:lineRule="exact"/>
        <w:rPr>
          <w:sz w:val="20"/>
          <w:szCs w:val="20"/>
          <w:color w:val="auto"/>
        </w:rPr>
      </w:pPr>
    </w:p>
    <w:p>
      <w:pPr>
        <w:ind w:left="1000" w:hanging="371"/>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properly identify and anticipate clinician and patient needs;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demonstrate the benefits associated with the use or our products when compared to the products and devices of our competitors;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 and introduce new products or product enhancements in a timely manner;</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adequately protect our intellectual property and avoid infringing upon the intellectual property rights of third parties;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demonstrate the safety and efficacy of new products; and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the necessary regulatory clearances or approvals for new products or product enhancements.</w:t>
      </w:r>
    </w:p>
    <w:p>
      <w:pPr>
        <w:spacing w:after="0" w:line="24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If we do not develop and obtain regulatory clearances or approvals for new products or indications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66" w:lineRule="exact"/>
        <w:rPr>
          <w:sz w:val="20"/>
          <w:szCs w:val="20"/>
          <w:color w:val="auto"/>
        </w:rPr>
      </w:pPr>
    </w:p>
    <w:p>
      <w:pPr>
        <w:jc w:val="both"/>
        <w:ind w:right="240"/>
        <w:spacing w:after="0" w:line="271" w:lineRule="auto"/>
        <w:rPr>
          <w:sz w:val="20"/>
          <w:szCs w:val="20"/>
          <w:color w:val="auto"/>
        </w:rPr>
      </w:pPr>
      <w:r>
        <w:rPr>
          <w:rFonts w:ascii="Arial" w:cs="Arial" w:eastAsia="Arial" w:hAnsi="Arial"/>
          <w:sz w:val="17"/>
          <w:szCs w:val="17"/>
          <w:color w:val="auto"/>
        </w:rPr>
        <w:t>Nevertheless, we must carefully manage our introduction of new products. If potential customers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w:t>
      </w:r>
    </w:p>
    <w:p>
      <w:pPr>
        <w:spacing w:after="0" w:line="276" w:lineRule="exact"/>
        <w:rPr>
          <w:sz w:val="20"/>
          <w:szCs w:val="20"/>
          <w:color w:val="auto"/>
        </w:rPr>
      </w:pPr>
    </w:p>
    <w:p>
      <w:pPr>
        <w:jc w:val="both"/>
        <w:ind w:right="60"/>
        <w:spacing w:after="0" w:line="388" w:lineRule="auto"/>
        <w:rPr>
          <w:sz w:val="20"/>
          <w:szCs w:val="20"/>
          <w:color w:val="auto"/>
        </w:rPr>
      </w:pPr>
      <w:r>
        <w:rPr>
          <w:rFonts w:ascii="Arial" w:cs="Arial" w:eastAsia="Arial" w:hAnsi="Arial"/>
          <w:sz w:val="14"/>
          <w:szCs w:val="14"/>
          <w:b w:val="1"/>
          <w:bCs w:val="1"/>
          <w:i w:val="1"/>
          <w:iCs w:val="1"/>
          <w:color w:val="auto"/>
        </w:rPr>
        <w:t>We rely on single-source suppliers for some components used in our NeuroStar Advanced Therapy System and on a single manufacturer for the assembly of our NeuroStar Advanced Therapy System, and we may be unable to find replacements or immediately transition to alternative parties for these components.</w:t>
      </w:r>
    </w:p>
    <w:p>
      <w:pPr>
        <w:spacing w:after="0" w:line="281" w:lineRule="auto"/>
        <w:rPr>
          <w:sz w:val="20"/>
          <w:szCs w:val="20"/>
          <w:color w:val="auto"/>
        </w:rPr>
      </w:pPr>
      <w:r>
        <w:rPr>
          <w:rFonts w:ascii="Arial" w:cs="Arial" w:eastAsia="Arial" w:hAnsi="Arial"/>
          <w:sz w:val="16"/>
          <w:szCs w:val="16"/>
          <w:color w:val="auto"/>
        </w:rPr>
        <w:t>We rely on single-source suppliers for some components used in our NeuroStar Advanced Therapy System, and we do not have long-term supply contracts with these suppliers. Furthermore, we rely on a single manufacturer for the assembly of the mobile console and patient positioning system used in our NeuroStar Advanced Therapy System. For us to be successful, our suppliers and contract manufacturer must be able to provide us with components in substantial quantities, in compliance with regulatory requirements, in accordance with agreed upon specifications, at acceptable costs and on a timely basis. While these suppliers have generally met our demand requirements on a timely basis in the past, their ability and willingness to continue to do so going forward may be limited for several reasons, including our lack of long-term agreements with those suppliers, our relative importance as a customer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7" w:name="page28"/>
    <w:bookmarkEnd w:id="27"/>
    <w:p>
      <w:pPr>
        <w:ind w:right="80"/>
        <w:spacing w:after="0" w:line="271" w:lineRule="auto"/>
        <w:rPr>
          <w:sz w:val="20"/>
          <w:szCs w:val="20"/>
          <w:color w:val="auto"/>
        </w:rPr>
      </w:pPr>
      <w:r>
        <w:rPr>
          <w:rFonts w:ascii="Arial" w:cs="Arial" w:eastAsia="Arial" w:hAnsi="Arial"/>
          <w:sz w:val="17"/>
          <w:szCs w:val="17"/>
          <w:color w:val="auto"/>
        </w:rPr>
        <w:t>those suppliers, or, as applicable, their ability to produce the components for or provide assembly services to manufacture our NeuroStar Advanced Therapy System. An interruption in our commercial operations could occur if we encounter delays or difficulties in securing these components or manufactured products, if we cannot obtain an acceptable substitute.</w:t>
      </w:r>
    </w:p>
    <w:p>
      <w:pPr>
        <w:spacing w:after="0" w:line="171"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Any transition to a new supplier or contract manufacturer could be time-consuming and expensive, may result in interruptions in our operations and product delivery, could affect the performance specifications of our NeuroStar Advanced Therapy System or could require that we modify its design. If we are required to change our contract manufacturer, we will be required to verify that the new manufacturer maintains facilities, procedures and operations that comply with our quality and applicable regulatory requirements, which could further impede our ability to manufacture our products in a timely manner. If the change in manufacturer results in a significant change to any product, a new 510(k) clearance from the FDA or similar non-U.S. regulatory authorization may be necessary before we implement the change, which could cause a substantial delay. We cannot assure you that we will be able to identify and engage alternative suppliers or contract manufacturers on similar terms or without delay. Furthermore, our contract manufacturer could require us to move to a different production facility. The occurrence of any of these events could harm our ability to meet the demand for our NeuroStar Advanced Therapy System in a timely and cost-effective manner.</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achieve or manage our anticipated growth effectively, which could make it difficult to execute our business strategy.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have a relatively short history of operating as a commercial company and our growth rate may be volatile. For example, our revenues decreased from $62.7 million for the year ended December 31, 2019 to $49.2 million for the year ended December 31, 2020. We intend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We may be unable to maintain the quality, or delivery timelines, of our products or customer service or satisfy customer demand if our business grows too rapidly. Our ability to manage our growth properly will require us to continue to improve our operational, financial and management controls, and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As our commercial operations and sales volume grow, we will need to continue to increase our workflow capacity for our supply chain, customer service, training and education personnel, billing, accounting reporting and general process improvements and expand our internal quality assurance program, among other things. Because our products require us to devote significant resources to training our customers on the use, and educating our customers on the benefits, of our products, we will be required to expand these personnel as we increase our sales efforts. We may not successfully implement these increases in scale or the expansion of our personnel, which could harm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8" w:name="page29"/>
    <w:bookmarkEnd w:id="28"/>
    <w:p>
      <w:pPr>
        <w:ind w:right="160"/>
        <w:spacing w:after="0" w:line="286" w:lineRule="auto"/>
        <w:rPr>
          <w:sz w:val="20"/>
          <w:szCs w:val="20"/>
          <w:color w:val="auto"/>
        </w:rPr>
      </w:pPr>
      <w:r>
        <w:rPr>
          <w:rFonts w:ascii="Arial" w:cs="Arial" w:eastAsia="Arial" w:hAnsi="Arial"/>
          <w:sz w:val="17"/>
          <w:szCs w:val="17"/>
          <w:b w:val="1"/>
          <w:bCs w:val="1"/>
          <w:i w:val="1"/>
          <w:iCs w:val="1"/>
          <w:color w:val="auto"/>
        </w:rPr>
        <w:t>We rely and, in the future, expect to rely on a network of third-party distributors to market and distribute our products internationally, and if we are unable to maintain and expand this network, we may be unable to generate anticipated sales.</w:t>
      </w:r>
    </w:p>
    <w:p>
      <w:pPr>
        <w:spacing w:after="0" w:line="5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rely, and expect to rely in the future, on a network of third-party distributors to market and distribute our products in international markets. We currently sell our products in five countries outside of the United States and plan to market and sell our products through our exclusive distribution agreement in Japan once we attain reimbursement approval. We are assessing the opportunity to continue expanding into other international markets. We may face significant challenges and risks in managing a geographically dispersed distribution network. We have limited ability to control any third-party distributors. Our distributors may be unable to successfully market and sell our products and may not devote sufficient time and resources to support the marketing, sales, education and training efforts that we believe enable the products to develop, achieve or sustain market acceptance. Additionally, in some international jurisdictions, we rely on our distributors to manage the regulatory process, while complying with all applicable rules and regulations, and we are dependent on their ability to do so effectively. In addition, if a dispute arises with a distributor or if a distributor is terminated by us or goes out of business, it may take time to locate an alternative distributor, to seek appropriate regulatory approvals and to train new personnel to market our products, and our ability to sell those systems in the region formerly serviced by such terminated distributor could be harmed.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our sales.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our international business.</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currently market and sell our products outside of the United States, including in Japan, and plan to market and sell our products through our exclusive distribution agreement in Japan. Once we attain satisfactory reimbursement approval, we expect that sales of our NeuroStar Advanced Therapy System in Japan will increase.</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sale and shipment of our products across international borders, as well as the purchase of components and products from international sources, subjects us to extensive U.S. and other foreign governmental trade, import and export and customs regulations and laws. Compliance with these regulations and laws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58" w:lineRule="exact"/>
        <w:rPr>
          <w:sz w:val="20"/>
          <w:szCs w:val="20"/>
          <w:color w:val="auto"/>
        </w:rPr>
      </w:pPr>
    </w:p>
    <w:p>
      <w:pPr>
        <w:ind w:left="1000" w:hanging="371"/>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staffing and managing foreign and geographically dispersed operations, to the extent we establish non-U.S. operations;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attaining reimbursement under differing and multiple payor reimbursement regimes, government payors or patient self-pay systems;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determining and creating the proper sales pathway in new, international markets;</w:t>
      </w:r>
    </w:p>
    <w:p>
      <w:pPr>
        <w:spacing w:after="0" w:line="143" w:lineRule="exact"/>
        <w:rPr>
          <w:rFonts w:ascii="Arial" w:cs="Arial" w:eastAsia="Arial" w:hAnsi="Arial"/>
          <w:sz w:val="17"/>
          <w:szCs w:val="17"/>
          <w:color w:val="auto"/>
        </w:rPr>
      </w:pPr>
    </w:p>
    <w:p>
      <w:pPr>
        <w:ind w:left="1000" w:right="380" w:hanging="371"/>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compliance with various U.S. and international laws, including export control laws and the U.S. Foreign Corrupt Practices Act of 1977, or the FCPA, and anti-money laundering laws;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differing regulatory requirements for obtaining clearances or approvals to market our products;</w:t>
      </w:r>
    </w:p>
    <w:p>
      <w:pPr>
        <w:spacing w:after="0" w:line="143" w:lineRule="exact"/>
        <w:rPr>
          <w:rFonts w:ascii="Arial" w:cs="Arial" w:eastAsia="Arial" w:hAnsi="Arial"/>
          <w:sz w:val="17"/>
          <w:szCs w:val="17"/>
          <w:color w:val="auto"/>
        </w:rPr>
      </w:pPr>
    </w:p>
    <w:p>
      <w:pPr>
        <w:ind w:left="1000" w:right="60" w:hanging="371"/>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or uncertainties relating to, foreign rules and regulations that may impact our ability to sell our products, perform services or repatriate profits to the United States;</w:t>
      </w:r>
    </w:p>
    <w:p>
      <w:pPr>
        <w:spacing w:after="0" w:line="55" w:lineRule="exact"/>
        <w:rPr>
          <w:rFonts w:ascii="Arial" w:cs="Arial" w:eastAsia="Arial" w:hAnsi="Arial"/>
          <w:sz w:val="17"/>
          <w:szCs w:val="17"/>
          <w:color w:val="auto"/>
        </w:rPr>
      </w:pPr>
    </w:p>
    <w:p>
      <w:pPr>
        <w:ind w:left="1000" w:right="80" w:hanging="371"/>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tariffs and trade barriers, export regulations, sanctions and other regulatory and contractual limitations on our ability to sell our products in certain foreign markets;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ind w:left="1000" w:right="260" w:hanging="371"/>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adverse tax consequences, including imposition of limitations on or increases of withholding and other taxes on remittances and other payments by foreign subsidiaries or joint ventures;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imposition of differing labor laws and standards;</w:t>
      </w:r>
    </w:p>
    <w:p>
      <w:pPr>
        <w:spacing w:after="0" w:line="143" w:lineRule="exact"/>
        <w:rPr>
          <w:rFonts w:ascii="Arial" w:cs="Arial" w:eastAsia="Arial" w:hAnsi="Arial"/>
          <w:sz w:val="17"/>
          <w:szCs w:val="17"/>
          <w:color w:val="auto"/>
        </w:rPr>
      </w:pPr>
    </w:p>
    <w:p>
      <w:pPr>
        <w:ind w:left="1000" w:right="180" w:hanging="371"/>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armed conflicts or economic, political, health (including pandemic diseases such as COVID-19 from coronavirus) or social instability in foreign countries and regions;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inability, or reduced ability, to protect our intellectual property, including any effect of compulsory licensing imposed by government action;</w:t>
      </w:r>
    </w:p>
    <w:p>
      <w:pPr>
        <w:spacing w:after="0" w:line="154" w:lineRule="exact"/>
        <w:rPr>
          <w:rFonts w:ascii="Arial" w:cs="Arial" w:eastAsia="Arial" w:hAnsi="Arial"/>
          <w:sz w:val="16"/>
          <w:szCs w:val="16"/>
          <w:color w:val="auto"/>
        </w:rPr>
      </w:pPr>
    </w:p>
    <w:p>
      <w:pPr>
        <w:ind w:left="1000" w:hanging="371"/>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availability of government subsidies or other incentives that benefit competitors in their local markets that are not available to us; and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conducting post-market surveillance on product performance.</w:t>
      </w:r>
    </w:p>
    <w:p>
      <w:pPr>
        <w:spacing w:after="0" w:line="247" w:lineRule="exact"/>
        <w:rPr>
          <w:sz w:val="20"/>
          <w:szCs w:val="20"/>
          <w:color w:val="auto"/>
        </w:rPr>
      </w:pPr>
    </w:p>
    <w:p>
      <w:pPr>
        <w:jc w:val="both"/>
        <w:ind w:right="520"/>
        <w:spacing w:after="0" w:line="271" w:lineRule="auto"/>
        <w:rPr>
          <w:sz w:val="20"/>
          <w:szCs w:val="20"/>
          <w:color w:val="auto"/>
        </w:rPr>
      </w:pPr>
      <w:r>
        <w:rPr>
          <w:rFonts w:ascii="Arial" w:cs="Arial" w:eastAsia="Arial" w:hAnsi="Arial"/>
          <w:sz w:val="17"/>
          <w:szCs w:val="17"/>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27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Our employees, consultants, distributors and other commercial partners may engage in misconduct or other improper activities, including non-compliance with regulatory standards and requirements.</w:t>
      </w:r>
    </w:p>
    <w:p>
      <w:pPr>
        <w:spacing w:after="0" w:line="55"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We are exposed to the risk that our employees, consultants, distributors and other commercial partners may engage in inappropriate, fraudulent or illegal activity. Misconduct by these parties could include intentional, reckless or negligent conduct or other unauthorized activities that violate the regulations of the FDA and other U.S. healthcare regulators, as well as non-U.S. regulators, including by violating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distributors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These risks may be more pronounced, and we may find that the processes and policies we have implemented are not effective at preventing misconduct. If any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440" w:right="379" w:bottom="1440" w:gutter="0" w:footer="0" w:header="0"/>
        </w:sectPr>
      </w:pPr>
    </w:p>
    <w:bookmarkStart w:id="30" w:name="page31"/>
    <w:bookmarkEnd w:id="30"/>
    <w:p>
      <w:pPr>
        <w:ind w:right="240"/>
        <w:spacing w:after="0" w:line="286" w:lineRule="auto"/>
        <w:rPr>
          <w:sz w:val="20"/>
          <w:szCs w:val="20"/>
          <w:color w:val="auto"/>
        </w:rPr>
      </w:pPr>
      <w:r>
        <w:rPr>
          <w:rFonts w:ascii="Arial" w:cs="Arial" w:eastAsia="Arial" w:hAnsi="Arial"/>
          <w:sz w:val="17"/>
          <w:szCs w:val="17"/>
          <w:b w:val="1"/>
          <w:bCs w:val="1"/>
          <w:i w:val="1"/>
          <w:iCs w:val="1"/>
          <w:color w:val="auto"/>
        </w:rPr>
        <w:t>We rely in part on third parties to conduct our clinical trials. If these third parties fail to perform their duties on time or as expected, we may not be able to obtain regulatory approval for additional indications that we may seek for the NeuroStar Advanced Therapy System.</w:t>
      </w:r>
    </w:p>
    <w:p>
      <w:pPr>
        <w:spacing w:after="0" w:line="55"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Our clinical trials are managed by our own staff and personnel, but we rely in part upon certain third-parties, including clinical trial sites, medical institutions, clinical research organizations, or CROs, and private practices, for, among other things, site monitoring, statistical work and electronic data capture in our clinical trials. Nevertheless, we are responsible for ensuring that each of our clinical trials is conducted in accordance with applicable protocols, and legal, regulatory and scientific standards, including current good clinical practices, or cGCPs, which are regulations and guidelines enforced by the FDA and comparable foreign regulatory authorities for clinical trials. If we or any such third parties fail to comply with applicable cGCPs, the clinical data generated in such trials may be deemed unreliable and the FDA or comparable foreign regulatory authorities may require us to perform additional clinical trials before approving a marketing application for any particular indication. In addition, if such third parties do not devote sufficient time and resources to our clinical trials or otherwise carry out their contractual duties or obligations or meet expected deadlines, if they need to be replaced or if the quality or accuracy of the clinical data they assist in obtaining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in a specified indication.</w:t>
      </w:r>
    </w:p>
    <w:p>
      <w:pPr>
        <w:spacing w:after="0" w:line="293"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b w:val="1"/>
          <w:bCs w:val="1"/>
          <w:i w:val="1"/>
          <w:iCs w:val="1"/>
          <w:color w:val="auto"/>
        </w:rPr>
        <w:t>If product liability lawsuits are brought against us, our business may be harmed, and we may be required to pay damages that exceed our insurance coverage.</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business exposes us to potential product liability claims that are inherent in the testing, manufacture and sale of medical devices for the treatment of MDD. Our treatments are designed for patients who suffer from significant psychiatric disorders, and these patients are more likely to experience significant adverse health outcomes, which could increase the risk of product liability lawsuits. Furthermore, if psychiatrists are not sufficiently trained in the use of our products, they may misuse or ineffectively use our products, which may result in unsatisfactory patient outcomes. We could become the subject of product liability lawsuits alleging that component failures, malfunctions, manufacturing flaws, design defects or inadequate disclosure of product-related risks or product-related information resulted in an unsafe condition or injury to patients.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Regardless of the merit or eventual outcome, product liability claims may result in:</w:t>
      </w:r>
    </w:p>
    <w:p>
      <w:pPr>
        <w:spacing w:after="0" w:line="117" w:lineRule="exact"/>
        <w:rPr>
          <w:sz w:val="20"/>
          <w:szCs w:val="20"/>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decreased demand for our products;</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significant litigation costs;</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substantial monetary awards to or costly settlements with patients;</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product recalls;</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material defense costs;</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loss of revenues;</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inability to commercialize new products or product candidates; and</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diversion of management attention from pursuing our business strategy.</w:t>
      </w:r>
    </w:p>
    <w:p>
      <w:pPr>
        <w:spacing w:after="0" w:line="2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existing product liability insurance coverage may be inadequate to protect us from any liabilities we might incur.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the result of a product liability claim, could result in significant costs and loss of customers.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Our insurance policies protect us only from some business risks, which will leave us exposed to significant uninsured liabilities.</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cybersecurity liability, employee benefits liability, property, umbrella, workers’ compensation, products and clinical trial liability and directors’ and officers’ insurance. We do not know, however, if these policies will provide us with adequate levels of coverage. Any significant uninsured liability may require us to pay substantial amounts, which would adversely affect our cash position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bear the risk of warranty claims on our products.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bear the risk of warranty claims on the products we supply for two years from the date of delivery. There can be no assurance that we will not face increased claims in the future. We may not be successful in claiming recovery under any warranty or indemnity provided to us by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28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could be negatively impacted by violations of applicable anti-corruption laws or violations of our internal policies designed to ensure ethical business practices.</w:t>
      </w:r>
    </w:p>
    <w:p>
      <w:pPr>
        <w:spacing w:after="0" w:line="5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We are subject to the risk that we, our U.S. employees or any future employees or consultants located in other jurisdictions or any third parties such as our distributors that we engage to do work on our behalf in foreign countries may take action determined to be in violation of anti-corruption laws in any jurisdiction in which we conduct business, including the FCPA.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We will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We have implemented company policies relating to compliance with the FCPA and similar laws. However, such policies may not be effective at preventing all potential FCPA or other violations. Although our agreements with our international distributors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170"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Any violation of the FCPA or any similar anti-corruption law or regulation could result in substantial fines, sanctions, civil and/or criminal penalties and curtailment of operations in certain jurisdictions and might harm our business, financial condition or results of operations.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depend on our information technology systems for the efficient functioning of our business, including for our TrakStar system and accounting, data storage, compliance, purchasing and inventory management. We do not have redundant systems at this time. While we will attempt to mitigate interruptions, we may experience difficulties in implementing upgrades to our information technology systems, which would impact our business operations, or experience difficulties in operating our business during the upgrade, either of which could disrupt our operations, including our ability to provide customers with data on patient outcomes, track the usage of our products, timely ship and track product orders, project inventory requirements, manage our supply chain and otherwise adequately service our customers or disrupt our customers’ ability to access patient data or use our products for treatments. In the event we experience significant disruptions as a 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 Currently we carry business interruption coverage to mitigate any potential losses, but we cannot be certain that such potential losses will not exceed our policy limits.</w:t>
      </w:r>
    </w:p>
    <w:p>
      <w:pPr>
        <w:spacing w:after="0" w:line="183" w:lineRule="exact"/>
        <w:rPr>
          <w:sz w:val="20"/>
          <w:szCs w:val="20"/>
          <w:color w:val="auto"/>
        </w:rPr>
      </w:pPr>
    </w:p>
    <w:p>
      <w:pPr>
        <w:jc w:val="both"/>
        <w:ind w:right="400"/>
        <w:spacing w:after="0" w:line="271" w:lineRule="auto"/>
        <w:rPr>
          <w:sz w:val="20"/>
          <w:szCs w:val="20"/>
          <w:color w:val="auto"/>
        </w:rPr>
      </w:pPr>
      <w:r>
        <w:rPr>
          <w:rFonts w:ascii="Arial" w:cs="Arial" w:eastAsia="Arial" w:hAnsi="Arial"/>
          <w:sz w:val="17"/>
          <w:szCs w:val="17"/>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w:t>
      </w:r>
    </w:p>
    <w:p>
      <w:pPr>
        <w:spacing w:after="0" w:line="2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5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and privacy breaches may expose us to liability and harm our reputation and business.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 part of our business we receive and process information about our customers, partners and their patients, including protected health information, or PHI, and we may store or contract with third parties to store our customers’ data, including PHI. PHI, a subset of individually identifiable information, is regulated at the federal level by HIPAA, as amended by HITECH, and by various laws at the state level, as more fully described below. We are required to safeguard PHI in accordance with HIPAA and, as a business associate, we are also directly liable for compliance with HIPAA.</w:t>
      </w:r>
    </w:p>
    <w:p>
      <w:pPr>
        <w:spacing w:after="0" w:line="162"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security measures we have implemented relating to our NeuroStar Advanced Therapy System and TrakStar database, specifically, and our operations, generally, may not prevent security breaches that could harm our business. Advances in computer capabilities, inadequate technology or facility security measures or other factors may result in a compromise or breach of our systems and the data and PHI we store and process. Our security measures may be breached as a result of actions by third parties or employee error or malfeasance. A party who is able to circumvent our security measures or exploit inadequacies in our security measures, could, among other things, misappropriate proprietary information, including information about our customers and their patients, cause the loss or disclosure of some or all of this information, cause interruptions in our or our customers’ operations or expose our customers to computer viruses or other disruptions or vulnerabilities. Any compromise of our systems or the data we store or process could implicate reporting requirements under HIPAA, result in a loss of confidence in the security of our software, damage our reputation, disrupt our business, lead to legal liability and adversely affect our results of operations. Moreover, a compromise of our systems could remain undetected for an extended period of time, exacerbating the impact of that compromise. Actual or perceived vulnerabilities may lead to claims against us by our customers, their patients or other third parties, including the federal and state governments. While our customer agreements typically contain provisions that seek to limit our liability, there is no assurance these provisions will be enforceable and effective under applicable law. In addition, the cost and operational consequences of implementing further data protection measures could be significant.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Employment litigation and unfavorable publicity could negatively affect our future business.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Employees may, from time to time, bring lawsuits against us or make public claims about us regarding injury, creating a hostile workplace, discrimination, wage and hour, sexual harassment and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Companies that have faced employment or harassment related lawsuits have had to terminate management or other key personnel and have suffered reputational harm that has negatively impacted their sales. If we were to face any employment related claims or allegations, our business could be negatively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2017 comprehensive tax reform law could adversely affect our business and financial condition.</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On December 22, 2017, President Trump signed into law new legislation, (Pub. L. 115-97), commonly referred to as the Tax Cuts and Jobs Act of 2017, or the TCJA, which significantly revised the Internal Revenue Code of 1986, as amended. The TCJA, among other things, contained significant changes to corporate taxation, including the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federal tax law is uncertain and our business and financial condition could be adversely affected. In addition, it is uncertain how various states will respond to the TCJA.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are vulnerable to interruption or loss due to natural or other disasters, power loss, strikes and other events beyond our control.</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 major earthquake, fire or other disaster, such as a major flood, seasonal storms, pandemic disease (such as COVID-19 from coronavirus), or terrorist attack affecting our facilities, or those of our third-party manufacturers or suppliers, could significantly disrupt our or their operations, and delay or prevent product shipment or installation during the time required to repair, rebuild or replace our third-party manufacturers or suppliers’ damaged manufacturing facilities. These delays could be lengthy and costly. If any of our manufacturers’, suppliers’ or customers’ facilities are negatively impacted by a disaster, shipments of our products could be delayed. Additionally, customers may delay purchases of our products until operations return to normal. Even if we are able to quickly respond to a disaster, the ongoing effects of the disaster could create some uncertainty in the operations of our business. In addition, our or their facilities may be subject to a shortage of available electrical power and other energy supplies. Any shortages may increase our costs for power and energy supplies or could result in blackouts, which could disrupt the operations of our affected facilities and harm our business. In addition, concerns about terrorism, the effects of a terrorist attack, political turmoil or an outbreak of pandemic diseases (including COVID-19 from coronavirus) could have a negative effect on our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34" w:name="page35"/>
    <w:bookmarkEnd w:id="34"/>
    <w:p>
      <w:pPr>
        <w:spacing w:after="0" w:line="388" w:lineRule="auto"/>
        <w:rPr>
          <w:sz w:val="20"/>
          <w:szCs w:val="20"/>
          <w:color w:val="auto"/>
        </w:rPr>
      </w:pPr>
      <w:r>
        <w:rPr>
          <w:rFonts w:ascii="Arial" w:cs="Arial" w:eastAsia="Arial" w:hAnsi="Arial"/>
          <w:sz w:val="14"/>
          <w:szCs w:val="14"/>
          <w:b w:val="1"/>
          <w:bCs w:val="1"/>
          <w:i w:val="1"/>
          <w:iCs w:val="1"/>
          <w:color w:val="auto"/>
        </w:rPr>
        <w:t>Epidemic diseases could negatively affect various aspects of our business, make it more difficult to meet our obligations to our customers, and could result in reduced demand from our customers. These could have a material adverse effect on our business, financial condition, results of operations, or cash flows.</w:t>
      </w:r>
    </w:p>
    <w:p>
      <w:pPr>
        <w:ind w:right="100"/>
        <w:spacing w:after="0" w:line="297" w:lineRule="auto"/>
        <w:rPr>
          <w:sz w:val="20"/>
          <w:szCs w:val="20"/>
          <w:color w:val="auto"/>
        </w:rPr>
      </w:pPr>
      <w:r>
        <w:rPr>
          <w:rFonts w:ascii="Arial" w:cs="Arial" w:eastAsia="Arial" w:hAnsi="Arial"/>
          <w:sz w:val="15"/>
          <w:szCs w:val="15"/>
          <w:color w:val="auto"/>
        </w:rPr>
        <w:t>Our business could be adversely affected by the effects of a widespread outbreak of contagious disease, including the recent outbreak of a respiratory illness known as COVID-19 caused by coronavirus. In an effort to halt the outbreak of COVID-19, the Chinese government and the governments of other impacted countries, such as Italy and the Republic of Korea, have placed significant restrictions on travel within their respective borders, leading to extended business closures in some instances. These travel restrictions and business closures could adversely impact our operations in Japan, including our ability to sell or distribute our products, as well as cause temporary or long-term closures of the offices and facilities of our suppliers and customers. Any disruption of our suppliers in China or customers in Japan could impact our global sales and operating results. We cannot at this time accurately predict what effects these conditions will have on our operations due to uncertainties relating to the ultimate geographic spread of the virus, the incidence and severity of the disease, the duration of the outbreak, and the length of the travel restrictions and business closures imposed by governments of impacted countries. In addition,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w:t>
      </w:r>
    </w:p>
    <w:p>
      <w:pPr>
        <w:spacing w:after="0" w:line="2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spacing w:after="0" w:line="67" w:lineRule="exact"/>
        <w:rPr>
          <w:sz w:val="20"/>
          <w:szCs w:val="20"/>
          <w:color w:val="auto"/>
        </w:rPr>
      </w:pPr>
    </w:p>
    <w:p>
      <w:pPr>
        <w:jc w:val="both"/>
        <w:ind w:right="280"/>
        <w:spacing w:after="0" w:line="287" w:lineRule="auto"/>
        <w:rPr>
          <w:sz w:val="20"/>
          <w:szCs w:val="20"/>
          <w:color w:val="auto"/>
        </w:rPr>
      </w:pPr>
      <w:r>
        <w:rPr>
          <w:rFonts w:ascii="Arial" w:cs="Arial" w:eastAsia="Arial" w:hAnsi="Arial"/>
          <w:sz w:val="16"/>
          <w:szCs w:val="16"/>
          <w:color w:val="auto"/>
        </w:rPr>
        <w:t>Our success depends in part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w:t>
      </w:r>
    </w:p>
    <w:p>
      <w:pPr>
        <w:spacing w:after="0" w:line="58" w:lineRule="exact"/>
        <w:rPr>
          <w:sz w:val="20"/>
          <w:szCs w:val="20"/>
          <w:color w:val="auto"/>
        </w:rPr>
      </w:pPr>
    </w:p>
    <w:p>
      <w:pPr>
        <w:ind w:left="1000" w:hanging="37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difficulty assimilating or integrating acquired or licensed technologies, products or business operations;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issues maintaining uniform standards, procedures, controls and policies;</w:t>
      </w:r>
    </w:p>
    <w:p>
      <w:pPr>
        <w:spacing w:after="0" w:line="143" w:lineRule="exact"/>
        <w:rPr>
          <w:rFonts w:ascii="Arial" w:cs="Arial" w:eastAsia="Arial" w:hAnsi="Arial"/>
          <w:sz w:val="17"/>
          <w:szCs w:val="17"/>
          <w:color w:val="auto"/>
        </w:rPr>
      </w:pPr>
    </w:p>
    <w:p>
      <w:pPr>
        <w:ind w:left="1000" w:right="500" w:hanging="371"/>
        <w:spacing w:after="0" w:line="286"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unanticipated costs associated with acquisitions or strategic alliances, including the assumption of unknown or contingent liabilities and the incurrence of debt or future write-offs of intangible assets or goodwill;</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diversion of management’s attention from our core business and disruption of ongoing operations;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effects on existing business relationships with suppliers, distributors and customers;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risks associated with entering new markets in which we have limited or no experience;</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potential losses related to investments in other companies;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potential loss of key employees of the acquired businesses; and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increased legal and accounting compliance costs.</w:t>
      </w:r>
    </w:p>
    <w:p>
      <w:pPr>
        <w:spacing w:after="0" w:line="2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spacing w:after="0" w:line="171" w:lineRule="exact"/>
        <w:rPr>
          <w:sz w:val="20"/>
          <w:szCs w:val="20"/>
          <w:color w:val="auto"/>
        </w:rPr>
      </w:pPr>
    </w:p>
    <w:p>
      <w:pPr>
        <w:ind w:right="260"/>
        <w:spacing w:after="0" w:line="357" w:lineRule="auto"/>
        <w:rPr>
          <w:sz w:val="20"/>
          <w:szCs w:val="20"/>
          <w:color w:val="auto"/>
        </w:rPr>
      </w:pPr>
      <w:r>
        <w:rPr>
          <w:rFonts w:ascii="Arial" w:cs="Arial" w:eastAsia="Arial" w:hAnsi="Arial"/>
          <w:sz w:val="15"/>
          <w:szCs w:val="15"/>
          <w:color w:val="auto"/>
        </w:rPr>
        <w:t>Foreign acquisitions involve unique risks in addition to those mentioned above, including those related to integration of operations across different cultures, languages and legal and regulatory environments, currency risks and the particular economic, political and regulatory risks associated with specific countries.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440" w:right="379" w:bottom="1440" w:gutter="0" w:footer="0" w:header="0"/>
        </w:sectPr>
      </w:pPr>
    </w:p>
    <w:bookmarkStart w:id="35" w:name="page36"/>
    <w:bookmarkEnd w:id="35"/>
    <w:p>
      <w:pPr>
        <w:ind w:right="20"/>
        <w:spacing w:after="0" w:line="323" w:lineRule="auto"/>
        <w:rPr>
          <w:sz w:val="20"/>
          <w:szCs w:val="20"/>
          <w:color w:val="auto"/>
        </w:rPr>
      </w:pPr>
      <w:r>
        <w:rPr>
          <w:rFonts w:ascii="Arial" w:cs="Arial" w:eastAsia="Arial" w:hAnsi="Arial"/>
          <w:sz w:val="15"/>
          <w:szCs w:val="15"/>
          <w:color w:val="auto"/>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17" w:lineRule="exact"/>
        <w:rPr>
          <w:sz w:val="20"/>
          <w:szCs w:val="20"/>
          <w:color w:val="auto"/>
        </w:rPr>
      </w:pPr>
    </w:p>
    <w:p>
      <w:pPr>
        <w:ind w:right="260"/>
        <w:spacing w:after="0" w:line="323" w:lineRule="auto"/>
        <w:rPr>
          <w:sz w:val="20"/>
          <w:szCs w:val="20"/>
          <w:color w:val="auto"/>
        </w:rPr>
      </w:pPr>
      <w:r>
        <w:rPr>
          <w:rFonts w:ascii="Arial" w:cs="Arial" w:eastAsia="Arial" w:hAnsi="Arial"/>
          <w:sz w:val="15"/>
          <w:szCs w:val="15"/>
          <w:color w:val="auto"/>
        </w:rPr>
        <w:t>Generally accepted accounting principles in the United States, or U.S. GAAP, are subject to interpretation by the Financial Accounting Standards Board, or FASB,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Refer to “Note 4. Recent Accounting Pronouncements” in our audited financial statements and related notes thereto included elsewhere in this Annual Report on Form 10-K.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volumes and our results of operations may fluctuate over the course of the year.</w:t>
      </w:r>
    </w:p>
    <w:p>
      <w:pPr>
        <w:spacing w:after="0" w:line="117" w:lineRule="exact"/>
        <w:rPr>
          <w:sz w:val="20"/>
          <w:szCs w:val="20"/>
          <w:color w:val="auto"/>
        </w:rPr>
      </w:pPr>
    </w:p>
    <w:p>
      <w:pPr>
        <w:ind w:right="240"/>
        <w:spacing w:after="0" w:line="303" w:lineRule="auto"/>
        <w:rPr>
          <w:sz w:val="20"/>
          <w:szCs w:val="20"/>
          <w:color w:val="auto"/>
        </w:rPr>
      </w:pPr>
      <w:r>
        <w:rPr>
          <w:rFonts w:ascii="Arial" w:cs="Arial" w:eastAsia="Arial" w:hAnsi="Arial"/>
          <w:sz w:val="15"/>
          <w:szCs w:val="15"/>
          <w:color w:val="auto"/>
        </w:rPr>
        <w:t>We have experienced and may continue to experience meaningful variability in our sales and gross profit among quarters. A number of factors over which we have limited control, such as seasonal variations in revenues, may contribute to fluctuations in our financial results. In the first quarter, our results can be impacted by severe weather and by the resetting of annual U.S. patient healthcare insurance plan deductibles, which may cause delays in patients seeking NeuroStar Advanced Therapy treatments. Historically, we have seen a sequential decline in third quarter revenues, which we believe is attributable to summer vacation plans of psychiatrists and patients. In addition, the fourth quarter has consistently been a strong revenue quarter on a sequential basis primarily due to U.S. psychiatrists’ historical timing for capital expenditures and patients’ needs to exhaust remaining balances in flexible spending accounts.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Additional factors that we expect may contribute to variability in our sales and gross profit over the course of the year include:</w:t>
      </w:r>
    </w:p>
    <w:p>
      <w:pPr>
        <w:spacing w:after="0" w:line="117" w:lineRule="exact"/>
        <w:rPr>
          <w:sz w:val="20"/>
          <w:szCs w:val="20"/>
          <w:color w:val="auto"/>
        </w:rPr>
      </w:pPr>
    </w:p>
    <w:p>
      <w:pPr>
        <w:ind w:left="1000" w:hanging="371"/>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growth or decline of our installed system base;</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unpredictability of future sales by our international distributors, including through our exclusive distributor in Japan;</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demand for, and pricing of, our products and the products of our competitors;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or failure to obtain regulatory clearances or approvals for other products, indications or treatments; or</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benefits and timing of new product introductions.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2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If we are not able to obtain and enforce patent protection for our technologies, products, or product candidates, development and commercialization of our products and product candidates may be adversely affected.</w:t>
      </w:r>
    </w:p>
    <w:p>
      <w:pPr>
        <w:spacing w:after="0" w:line="55"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 We have applied, and we intend to continue applying, for patents covering aspects of our technologies that we deem appropriate. However, the patent process is expensive and time consuming, and we may not be able to apply for patents on certain aspects of our current or future products and other technologies in a timely fashion, at a reasonable cost, in all jurisdictions, or at all, and any potential patent coverage we obtain may not be sufficient to prevent substantial competition.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spacing w:after="0" w:line="275" w:lineRule="auto"/>
        <w:rPr>
          <w:sz w:val="20"/>
          <w:szCs w:val="20"/>
          <w:color w:val="auto"/>
        </w:rPr>
      </w:pPr>
      <w:r>
        <w:rPr>
          <w:rFonts w:ascii="Arial" w:cs="Arial" w:eastAsia="Arial" w:hAnsi="Arial"/>
          <w:sz w:val="16"/>
          <w:szCs w:val="16"/>
          <w:color w:val="auto"/>
        </w:rPr>
        <w:t>We cannot offer any assurances about which, if any, of our patent applications will issue or whether any of our issued patents will be found invalid and unenforceable or will be threatened by third parties. Any patent applications we file may be challenged and may not result in issued patents or may be invalidated or narrowed in scope after they are issued. We also cannot provide any assurances that any of our patents have, or that any of our pending patent applications that mature into issued patents will include, claims with a scope sufficient to protect and provide exclusivity for our products, any additional features we develop for our products or any new products. 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Any successful opposition to these patents or any other patents owned by or, if applicable in the future, licensed to us could deprive us of rights necessary for the practice of our technologies or the successful commercialization of any products or product candidates that we may develop. Since patent applications in the US and most other countries are confidential for a period of time after filing, we cannot be certain that we or our licensors were the first to file any patent application related to our technologies, products, or product candidates. Furthermore, an interference proceeding can be provoked by a third party or instituted by the United States Patent and Trademark Office, or the USPTO, to determine who was the first to invent any of the subject matter covered by the patent claims of our applications for any application with an effective filing date before March 16, 2013.</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patent positions of medical device companies, including our patent position, may involve complex legal and factual questions, and, therefore, the scope, validity and enforceability of any patent claims that we may obtain cannot be predicted with certainty. Patents, if issued, may be challenged, deemed unenforceable, invalidated or circumvented.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Proceedings challenging our patents, which may continue for a protracted period of time,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in an interference proceeding can result in a third party receiving the patent right sought by us, which in turn could affect our ability to commercialize our products.</w:t>
      </w:r>
    </w:p>
    <w:p>
      <w:pPr>
        <w:spacing w:after="0" w:line="18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alternative and possibly more effective technologies, designs or methods. We may be unable to prevent the unauthorized disclosure or use of our technical knowledge or trade secrets by consultants, suppliers, vendors, former employees and current employees. The laws of some foreign countries do not protect our proprietary rights to the same extent as the laws of the United States, and we may encounter significant problems in protecting our proprietary rights in these countries.</w:t>
      </w:r>
    </w:p>
    <w:p>
      <w:pPr>
        <w:spacing w:after="0" w:line="178" w:lineRule="exact"/>
        <w:rPr>
          <w:sz w:val="20"/>
          <w:szCs w:val="20"/>
          <w:color w:val="auto"/>
        </w:rPr>
      </w:pPr>
    </w:p>
    <w:p>
      <w:pPr>
        <w:jc w:val="both"/>
        <w:ind w:right="60"/>
        <w:spacing w:after="0" w:line="323" w:lineRule="auto"/>
        <w:rPr>
          <w:sz w:val="20"/>
          <w:szCs w:val="20"/>
          <w:color w:val="auto"/>
        </w:rPr>
      </w:pPr>
      <w:r>
        <w:rPr>
          <w:rFonts w:ascii="Arial" w:cs="Arial" w:eastAsia="Arial" w:hAnsi="Arial"/>
          <w:sz w:val="15"/>
          <w:szCs w:val="15"/>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137"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If we initiate lawsuits to protect or enforce our patents, or litigate against third party claims, such proceedings would be expensive and would divert the attention of our management and technical personnel.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degree of future protection for our proprietary rights is uncertain, and we cannot ensure that:</w:t>
      </w:r>
    </w:p>
    <w:p>
      <w:pPr>
        <w:spacing w:after="0" w:line="117" w:lineRule="exact"/>
        <w:rPr>
          <w:sz w:val="20"/>
          <w:szCs w:val="20"/>
          <w:color w:val="auto"/>
        </w:rPr>
      </w:pPr>
    </w:p>
    <w:p>
      <w:pPr>
        <w:ind w:left="1000" w:right="260" w:hanging="371"/>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of our patents, or any of our pending patent applications, if issued, or those of our licensors, will include claims having a scope sufficient to protect our products;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of our pending patent applications or those of our licensors may issue as patents;</w:t>
      </w:r>
    </w:p>
    <w:p>
      <w:pPr>
        <w:spacing w:after="0" w:line="143" w:lineRule="exact"/>
        <w:rPr>
          <w:rFonts w:ascii="Arial" w:cs="Arial" w:eastAsia="Arial" w:hAnsi="Arial"/>
          <w:sz w:val="17"/>
          <w:szCs w:val="17"/>
          <w:color w:val="auto"/>
        </w:rPr>
      </w:pPr>
    </w:p>
    <w:p>
      <w:pPr>
        <w:ind w:left="1000" w:right="80" w:hanging="371"/>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others will not or may not be able to make, use, offer to sell, or sell products that are the same as or similar to our own but that are not covered by the claims of the patents that we own or license;</w:t>
      </w:r>
    </w:p>
    <w:p>
      <w:pPr>
        <w:spacing w:after="0" w:line="55" w:lineRule="exact"/>
        <w:rPr>
          <w:rFonts w:ascii="Arial" w:cs="Arial" w:eastAsia="Arial" w:hAnsi="Arial"/>
          <w:sz w:val="17"/>
          <w:szCs w:val="17"/>
          <w:color w:val="auto"/>
        </w:rPr>
      </w:pPr>
    </w:p>
    <w:p>
      <w:pPr>
        <w:ind w:left="1000" w:right="160" w:hanging="371"/>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will be able to successfully commercialize our products on a substantial scale, if approved, before the relevant patents that we own or license expire;</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were the first to make the inventions covered by each of the patents and pending patent applications that we own or license;</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or our licensors were the first to file patent applications for these inventions;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others will not develop similar or alternative technologies that do not infringe the patents we own or license;</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of the patents we own or license will be found to ultimately be valid and enforceable;</w:t>
      </w:r>
    </w:p>
    <w:p>
      <w:pPr>
        <w:spacing w:after="0" w:line="143" w:lineRule="exact"/>
        <w:rPr>
          <w:rFonts w:ascii="Arial" w:cs="Arial" w:eastAsia="Arial" w:hAnsi="Arial"/>
          <w:sz w:val="17"/>
          <w:szCs w:val="17"/>
          <w:color w:val="auto"/>
        </w:rPr>
      </w:pPr>
    </w:p>
    <w:p>
      <w:pPr>
        <w:ind w:left="1000" w:right="100" w:hanging="371"/>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patents issued to us or our licensors will provide a basis for an exclusive market for our commercially viable products or will provide us with any competitive advantages;</w:t>
      </w:r>
    </w:p>
    <w:p>
      <w:pPr>
        <w:spacing w:after="0" w:line="55" w:lineRule="exact"/>
        <w:rPr>
          <w:rFonts w:ascii="Arial" w:cs="Arial" w:eastAsia="Arial" w:hAnsi="Arial"/>
          <w:sz w:val="17"/>
          <w:szCs w:val="17"/>
          <w:color w:val="auto"/>
        </w:rPr>
      </w:pPr>
    </w:p>
    <w:p>
      <w:pPr>
        <w:ind w:left="1000" w:right="220" w:hanging="371"/>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third party may not challenge the patents we own or license and, if challenged, a court would hold that such patents are valid, enforceable and infringed;</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develop or in-license additional proprietary technologies that are patentable;</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patents of others will not have an adverse effect on our business;</w:t>
      </w:r>
    </w:p>
    <w:p>
      <w:pPr>
        <w:spacing w:after="0" w:line="143" w:lineRule="exact"/>
        <w:rPr>
          <w:rFonts w:ascii="Arial" w:cs="Arial" w:eastAsia="Arial" w:hAnsi="Arial"/>
          <w:sz w:val="17"/>
          <w:szCs w:val="17"/>
          <w:color w:val="auto"/>
        </w:rPr>
      </w:pPr>
    </w:p>
    <w:p>
      <w:pPr>
        <w:ind w:left="1000" w:right="140" w:hanging="371"/>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will develop additional proprietary technologies or products that are separately patentable; or</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commercial activities or products will not infringe upon the patents of others.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have a material adverse impact on our business.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440" w:right="37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Our inability to effectively protect our proprietary technologies could harm our competitive position.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Although our competitors have utilized and are expected to continue utilizing technologies similar to ours, our success will depend upon our ability to protect and continue to develop proprietary technologies and products and to defend any advantages afforded to us relative to our competitors. If we do not protect our intellectual property adequately, competitors may be able to use our technologies and thereby erode any competitive advantages we may have. For example, patents for our core technology will begin to expire in the United States in 2024, and our patents outside of the United States are expected to remain in effect until between 2024 and 2035. We will be able to protect our proprietary rights from unauthorized use by third parties only to the extent that our proprietary technologies are covered by valid and enforceable patents or are effectively maintained as trade secrets. We have agreements with our employees and selected consultants that obligate them to assign their inventions to us. If the employees and consultants who are parties to these agreements breach or violate the terms of these agreements, including by refusing or being unavailable to sign assignments, oaths, declarations or other documents, we may not have adequate remedies for any such breach or violation, and we could lose our rights in inventions through such breaches or violations. Furthermore, it is possible that technology relevant to our business will be independently developed by a person that is not a party to such an agreement.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lives of our patents may not be sufficient to effectively protect our products and business.</w:t>
      </w:r>
    </w:p>
    <w:p>
      <w:pPr>
        <w:spacing w:after="0" w:line="117"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or product candidates are obtained, once the patent life has expired, we may be open to competition. Patents covering some of our core technology have expired or will expire within the next five years.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product candidates, our business and results of operations will be adversely affected.</w:t>
      </w:r>
    </w:p>
    <w:p>
      <w:pPr>
        <w:spacing w:after="0" w:line="4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others. We cannot assure you that our operations do not, or will not in the future, infringe existing or future patents. Our activities may be subject to claims that we infringe or otherwise violate patents owned or controlled by third parties.</w:t>
      </w:r>
    </w:p>
    <w:p>
      <w:pPr>
        <w:spacing w:after="0" w:line="67"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9" w:name="page40"/>
    <w:bookmarkEnd w:id="39"/>
    <w:p>
      <w:pPr>
        <w:ind w:right="140"/>
        <w:spacing w:after="0" w:line="262" w:lineRule="auto"/>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product candidates.</w:t>
      </w:r>
    </w:p>
    <w:p>
      <w:pPr>
        <w:spacing w:after="0" w:line="17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Significant litigation regarding patent rights occurs in our industry.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w:t>
      </w:r>
    </w:p>
    <w:p>
      <w:pPr>
        <w:spacing w:after="0" w:line="17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may become party to future adversarial proceedings regarding our patent portfolio or the patents of third parties. Such proceedings could include supplemental examination or contested post-grant proceedings such as review, reexamination, interference or derivation proceedings before the U.S. Patent and Trademark Office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regardless of the merit of the claims, and our adversaries in these proceedings may have the ability to dedicate substantially greater resources to prosecuting these legal actions than we can.</w:t>
      </w:r>
    </w:p>
    <w:p>
      <w:pPr>
        <w:spacing w:after="0" w:line="17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Any lawsuits resulting from such allegations could subject us to significant liability for damages and invalidate our proprietary rights. Any potential intellectual property litigation also could force us to do one or more of the following:</w:t>
      </w:r>
    </w:p>
    <w:p>
      <w:pPr>
        <w:spacing w:after="0" w:line="55" w:lineRule="exact"/>
        <w:rPr>
          <w:sz w:val="20"/>
          <w:szCs w:val="20"/>
          <w:color w:val="auto"/>
        </w:rPr>
      </w:pPr>
    </w:p>
    <w:p>
      <w:pPr>
        <w:ind w:left="1000" w:hanging="371"/>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stop making, selling or using products or technologies that allegedly infringe the asserted intellectual property;</w:t>
      </w:r>
    </w:p>
    <w:p>
      <w:pPr>
        <w:spacing w:after="0" w:line="143" w:lineRule="exact"/>
        <w:rPr>
          <w:rFonts w:ascii="Arial" w:cs="Arial" w:eastAsia="Arial" w:hAnsi="Arial"/>
          <w:sz w:val="17"/>
          <w:szCs w:val="17"/>
          <w:color w:val="auto"/>
        </w:rPr>
      </w:pPr>
    </w:p>
    <w:p>
      <w:pPr>
        <w:ind w:left="1000" w:right="520" w:hanging="371"/>
        <w:spacing w:after="0" w:line="28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lose the opportunity to license our technology to others or to collect royalty payments based upon successful protection and assertion of our intellectual property rights against others;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incur significant legal expenses;</w:t>
      </w:r>
    </w:p>
    <w:p>
      <w:pPr>
        <w:spacing w:after="0" w:line="143" w:lineRule="exact"/>
        <w:rPr>
          <w:rFonts w:ascii="Arial" w:cs="Arial" w:eastAsia="Arial" w:hAnsi="Arial"/>
          <w:sz w:val="17"/>
          <w:szCs w:val="17"/>
          <w:color w:val="auto"/>
        </w:rPr>
      </w:pPr>
    </w:p>
    <w:p>
      <w:pPr>
        <w:ind w:left="1000" w:right="40" w:hanging="371"/>
        <w:spacing w:after="0" w:line="28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pay substantial damages or royalties to the party whose intellectual property rights we may be found to be infringing, including enhanced damages if we are found to have willfully infringed or misappropriated such rights;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pay the attorney’s fees and costs of litigation to the party whose intellectual property rights we may be found to be infringing;</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redesign those products that contain the allegedly infringing intellectual property, which could be costly, disruptive and infeasible; and</w:t>
      </w:r>
    </w:p>
    <w:p>
      <w:pPr>
        <w:spacing w:after="0" w:line="143" w:lineRule="exact"/>
        <w:rPr>
          <w:rFonts w:ascii="Arial" w:cs="Arial" w:eastAsia="Arial" w:hAnsi="Arial"/>
          <w:sz w:val="17"/>
          <w:szCs w:val="17"/>
          <w:color w:val="auto"/>
        </w:rPr>
      </w:pPr>
    </w:p>
    <w:p>
      <w:pPr>
        <w:ind w:left="1000" w:right="40" w:hanging="371"/>
        <w:spacing w:after="0" w:line="28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6"/>
          <w:szCs w:val="16"/>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69"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6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addition, we generally indemnify our customers and international distributors with respect to infringement by our products of the proprietary rights of third parties.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or settle, we may be forced to pay damages or settlement payments on behalf of our customers or distributors or may be required to obtain licenses for the products they use. If we cannot obtain all necessary licenses on commercially reasonable terms, our customers may be forced to stop using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could be harmed.</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addition to patent protection, we also rely upon copyright and trade secret protection, unpatented know-how and continuing technological innovation to develop and maintain our competitive position, which we seek to protect through non-disclosure agreements and invention assignment agreements with our employees, consultants and third parties, to protect our confidential and proprietary information. In addition to contractual measures, we try to protect the confidential nature of our proprietary information using commonly accepted physical and technological security measures. Such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spacing w:after="0" w:line="276" w:lineRule="auto"/>
        <w:rPr>
          <w:sz w:val="20"/>
          <w:szCs w:val="20"/>
          <w:color w:val="auto"/>
        </w:rPr>
      </w:pPr>
      <w:r>
        <w:rPr>
          <w:rFonts w:ascii="Arial" w:cs="Arial" w:eastAsia="Arial" w:hAnsi="Arial"/>
          <w:sz w:val="16"/>
          <w:szCs w:val="16"/>
          <w:color w:val="auto"/>
        </w:rPr>
        <w:t>In addition, trade secrets may be independently developed by others in a manner that could prevent legal recourse by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confidential or proprietary information, such as our trade secrets, were to be disclosed or misappropriated, or if any such information was independently developed by a competitor, our business and competitive position could be harmed.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enforce our intellectual property rights throughout the world.</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infringement of our foreign patents,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w:t>
      </w:r>
    </w:p>
    <w:p>
      <w:pPr>
        <w:spacing w:after="0" w:line="17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Further, the standards applied by the USPTO and foreign patent offices in granting patents are not always applied uniformly or predictably. As such, we do not know the degree of future protection that we will have on our technologies, products, and product candidates. While we will endeavor to try to protect our technologies, products, and product candidates with intellectual property rights such as patents, as appropriate, the process of obtaining patents is time-consuming, expensive and sometimes unpredictable.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ownership or commercial rights to inventions we develop.</w:t>
      </w:r>
    </w:p>
    <w:p>
      <w:pPr>
        <w:spacing w:after="0" w:line="11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Third parties may in the future make claims challenging the inventorship or ownership of our intellectual property, including studies we commission or reports on the efficacy of our products.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 and competitive position.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spacing w:after="0"/>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140"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patent rights may be affected by developments or uncertainty in the patent statute, patent case law or USPTO rules and regulations. There are a number of recent changes to the patent laws that may have a significant impact on our ability to protect our technology and enforce our intellectual property rights. For example, the United States has enacted and is currently implementing the America Invents Act of 2011, a wide-ranging patent reform legislation. These changes include provisions that affect the way patent applications will be prosecuted and may also affect patent litigation. As an example, the first to file provisions, which became effective March 2013, mean that the party that is first to file in the United States generally is awarded the patent rights, regardless of who invented first. This could have a negative impact on some of our IP and could increase uncertainties surrounding obtaining and enforcement or defense of our issued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Patent and Trademark Office, the laws and regulations governing patents could change in unpredictable ways that would weaken our ability to obtain new patents or to enforce our existing patents or future patents.</w:t>
      </w:r>
    </w:p>
    <w:p>
      <w:pPr>
        <w:spacing w:after="0" w:line="69" w:lineRule="exact"/>
        <w:rPr>
          <w:sz w:val="20"/>
          <w:szCs w:val="20"/>
          <w:color w:val="auto"/>
        </w:rPr>
      </w:pPr>
    </w:p>
    <w:p>
      <w:pPr>
        <w:ind w:right="240"/>
        <w:spacing w:after="0" w:line="388" w:lineRule="auto"/>
        <w:rPr>
          <w:sz w:val="20"/>
          <w:szCs w:val="20"/>
          <w:color w:val="auto"/>
        </w:rPr>
      </w:pPr>
      <w:r>
        <w:rPr>
          <w:rFonts w:ascii="Arial" w:cs="Arial" w:eastAsia="Arial" w:hAnsi="Arial"/>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7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43" w:name="page44"/>
    <w:bookmarkEnd w:id="43"/>
    <w:p>
      <w:pPr>
        <w:ind w:right="280"/>
        <w:spacing w:after="0" w:line="286" w:lineRule="auto"/>
        <w:rPr>
          <w:sz w:val="20"/>
          <w:szCs w:val="20"/>
          <w:color w:val="auto"/>
        </w:rPr>
      </w:pPr>
      <w:r>
        <w:rPr>
          <w:rFonts w:ascii="Arial" w:cs="Arial" w:eastAsia="Arial" w:hAnsi="Arial"/>
          <w:sz w:val="17"/>
          <w:szCs w:val="17"/>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5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We license certain intellectual property, and in the future, we may enter into additional agreements that provide us with licenses to valuable intellectual property or technology. These licenses impose various payment obligations on us. If we fail to comply with any of these obligations, we may be required to pay damages and the licensor may have the right to terminate the license. Termination by the licensor could cause us to lose valuable rights, and could prevent us from distributing our products, or inhibit our ability to commercialize future products. Our business could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w:t>
      </w:r>
    </w:p>
    <w:p>
      <w:pPr>
        <w:spacing w:after="0" w:line="270" w:lineRule="exact"/>
        <w:rPr>
          <w:sz w:val="20"/>
          <w:szCs w:val="20"/>
          <w:color w:val="auto"/>
        </w:rPr>
      </w:pPr>
    </w:p>
    <w:p>
      <w:pPr>
        <w:ind w:right="760"/>
        <w:spacing w:after="0" w:line="286" w:lineRule="auto"/>
        <w:rPr>
          <w:sz w:val="20"/>
          <w:szCs w:val="20"/>
          <w:color w:val="auto"/>
        </w:rPr>
      </w:pPr>
      <w:r>
        <w:rPr>
          <w:rFonts w:ascii="Arial" w:cs="Arial" w:eastAsia="Arial" w:hAnsi="Arial"/>
          <w:sz w:val="17"/>
          <w:szCs w:val="17"/>
          <w:b w:val="1"/>
          <w:bCs w:val="1"/>
          <w:i w:val="1"/>
          <w:iCs w:val="1"/>
          <w:color w:val="auto"/>
        </w:rPr>
        <w:t>Any collaboration arrangements that we may enter into in the future may not be successful, which could adversely affect our ability to develop and commercialize our products.</w:t>
      </w:r>
    </w:p>
    <w:p>
      <w:pPr>
        <w:spacing w:after="0" w:line="55"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55" w:lineRule="exact"/>
        <w:rPr>
          <w:sz w:val="20"/>
          <w:szCs w:val="20"/>
          <w:color w:val="auto"/>
        </w:rPr>
      </w:pPr>
    </w:p>
    <w:p>
      <w:pPr>
        <w:ind w:left="1000" w:hanging="371"/>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collaborations;</w:t>
      </w:r>
    </w:p>
    <w:p>
      <w:pPr>
        <w:spacing w:after="0" w:line="143" w:lineRule="exact"/>
        <w:rPr>
          <w:rFonts w:ascii="Arial" w:cs="Arial" w:eastAsia="Arial" w:hAnsi="Arial"/>
          <w:sz w:val="17"/>
          <w:szCs w:val="17"/>
          <w:color w:val="auto"/>
        </w:rPr>
      </w:pPr>
    </w:p>
    <w:p>
      <w:pPr>
        <w:jc w:val="both"/>
        <w:ind w:left="1000" w:right="780" w:hanging="371"/>
        <w:spacing w:after="0" w:line="323" w:lineRule="auto"/>
        <w:tabs>
          <w:tab w:leader="none" w:pos="10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32" w:lineRule="exact"/>
        <w:rPr>
          <w:rFonts w:ascii="Arial" w:cs="Arial" w:eastAsia="Arial" w:hAnsi="Arial"/>
          <w:sz w:val="15"/>
          <w:szCs w:val="15"/>
          <w:color w:val="auto"/>
        </w:rPr>
      </w:pPr>
    </w:p>
    <w:p>
      <w:pPr>
        <w:ind w:left="1000" w:right="100" w:hanging="371"/>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w:t>
      </w:r>
    </w:p>
    <w:p>
      <w:pPr>
        <w:spacing w:after="0" w:line="55" w:lineRule="exact"/>
        <w:rPr>
          <w:rFonts w:ascii="Arial" w:cs="Arial" w:eastAsia="Arial" w:hAnsi="Arial"/>
          <w:sz w:val="17"/>
          <w:szCs w:val="17"/>
          <w:color w:val="auto"/>
        </w:rPr>
      </w:pPr>
    </w:p>
    <w:p>
      <w:pPr>
        <w:ind w:left="1000" w:right="140" w:hanging="371"/>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collaborator with marketing, manufacturing and distribution rights to one or more products may not commit sufficient resources to or otherwise not perform satisfactorily in carrying out these activities;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could grant exclusive rights to our collaborators that would prevent us from collaborating with others;</w:t>
      </w:r>
    </w:p>
    <w:p>
      <w:pPr>
        <w:spacing w:after="0" w:line="143" w:lineRule="exact"/>
        <w:rPr>
          <w:rFonts w:ascii="Arial" w:cs="Arial" w:eastAsia="Arial" w:hAnsi="Arial"/>
          <w:sz w:val="17"/>
          <w:szCs w:val="17"/>
          <w:color w:val="auto"/>
        </w:rPr>
      </w:pPr>
    </w:p>
    <w:p>
      <w:pPr>
        <w:ind w:left="1000" w:hanging="371"/>
        <w:spacing w:after="0" w:line="271"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Arial" w:cs="Arial" w:eastAsia="Arial" w:hAnsi="Arial"/>
          <w:sz w:val="17"/>
          <w:szCs w:val="17"/>
          <w:color w:val="auto"/>
        </w:rPr>
      </w:pPr>
    </w:p>
    <w:p>
      <w:pPr>
        <w:ind w:left="1000" w:right="300" w:hanging="371"/>
        <w:spacing w:after="0" w:line="319"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31" w:lineRule="exact"/>
        <w:rPr>
          <w:rFonts w:ascii="Arial" w:cs="Arial" w:eastAsia="Arial" w:hAnsi="Arial"/>
          <w:sz w:val="16"/>
          <w:szCs w:val="16"/>
          <w:color w:val="auto"/>
        </w:rPr>
      </w:pPr>
    </w:p>
    <w:p>
      <w:pPr>
        <w:ind w:left="1000" w:right="1300" w:hanging="371"/>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current or future products;</w:t>
      </w:r>
    </w:p>
    <w:p>
      <w:pPr>
        <w:spacing w:after="0" w:line="55" w:lineRule="exact"/>
        <w:rPr>
          <w:rFonts w:ascii="Arial" w:cs="Arial" w:eastAsia="Arial" w:hAnsi="Arial"/>
          <w:sz w:val="17"/>
          <w:szCs w:val="17"/>
          <w:color w:val="auto"/>
        </w:rPr>
      </w:pPr>
    </w:p>
    <w:p>
      <w:pPr>
        <w:ind w:left="1000" w:right="140" w:hanging="371"/>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5" w:lineRule="exact"/>
        <w:rPr>
          <w:rFonts w:ascii="Arial" w:cs="Arial" w:eastAsia="Arial" w:hAnsi="Arial"/>
          <w:sz w:val="17"/>
          <w:szCs w:val="17"/>
          <w:color w:val="auto"/>
        </w:rPr>
      </w:pPr>
    </w:p>
    <w:p>
      <w:pPr>
        <w:ind w:left="1000" w:right="400" w:hanging="371"/>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collaborator’s sales and marketing activities or other operations may not be in compliance with applicable laws resulting in civil or criminal proceedings.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4" w:name="page45"/>
    <w:bookmarkEnd w:id="44"/>
    <w:p>
      <w:pPr>
        <w:ind w:right="480"/>
        <w:spacing w:after="0" w:line="286"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5"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Our trademarks or trade names may be challenged, infringed, circumvented or declared generic or descriptive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2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5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periodic unannounced inspections. We do not know whether we will pass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5" w:name="page46"/>
    <w:bookmarkEnd w:id="45"/>
    <w:p>
      <w:pPr>
        <w:ind w:right="320"/>
        <w:spacing w:after="0" w:line="286" w:lineRule="auto"/>
        <w:rPr>
          <w:sz w:val="20"/>
          <w:szCs w:val="20"/>
          <w:color w:val="auto"/>
        </w:rPr>
      </w:pPr>
      <w:r>
        <w:rPr>
          <w:rFonts w:ascii="Arial" w:cs="Arial" w:eastAsia="Arial" w:hAnsi="Arial"/>
          <w:sz w:val="17"/>
          <w:szCs w:val="17"/>
          <w:b w:val="1"/>
          <w:bCs w:val="1"/>
          <w:i w:val="1"/>
          <w:iCs w:val="1"/>
          <w:color w:val="auto"/>
        </w:rPr>
        <w:t>We may not receive the necessary clearances or approvals for our future products, and failure to timely obtain necessary clearances or approvals for our future products would adversely affect our ability to grow our business.</w:t>
      </w:r>
    </w:p>
    <w:p>
      <w:pPr>
        <w:spacing w:after="0" w:line="5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 xml:space="preserve">An element of our strategy is to continue to upgrade our products, add new features and expand clearance or approval of our current products to new indications. In the United States, before we can market a new medical device, or a new use of, new claim for or significant modification to an existing product, we must first receive either clearance under Section 510(k) of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Our ability to successfully obtain clearance for any new indications will be dependent on us submitting data as to the successful completion of clinical trials evidencing safety and efficacy.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procedure, which allows a manufacturer whose novel device would otherwise require the submission and approval of a PMA prior to marketing to request down-classification of the device on the basis that the device presents low or moderate risk. If the FDA agrees with the down classification, the applicant will then receive authorization to market the device. This device type can then be used as a predicate device for future 510(k) submissions. We initially received marketing authorization of our device through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process, and we have made changes to our system through subsequent 510(k) clearances. The process of obtaining regulatory clearances or approvals, or completing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process, to market a medical device can be costly and time consuming, and we may not be able to successfully obtain pre-market reviews on a timely basis, if at all.</w:t>
      </w:r>
    </w:p>
    <w:p>
      <w:pPr>
        <w:spacing w:after="0" w:line="16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 xml:space="preserve">Modifications to products that are approved through a PMA application generally require FDA approval. Similarly, certain modifications made to products cleared through a 510(k) or authorized through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may require a new 510(k) clearance. Each of the PMA approval,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the 510(k) clearance processes can be expensive, lengthy and uncertain. The FDA’s 510(k) clearance process usually takes from three to 12 months but can last longer. The process of obtaining a PMA is much costlier and more uncertain than the 510(k) clearance process and generally takes from one to three years, or even longer, from the time the application is filed with the FDA. In addition, a PMA generally requires the performance of one or more clinical trials.</w:t>
      </w:r>
    </w:p>
    <w:p>
      <w:pPr>
        <w:spacing w:after="0" w:line="178"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color w:val="auto"/>
        </w:rPr>
        <w:t>Despite the time, effort and cost, a device may not be approved or cleared by the FDA. Any delay or failure to obtain necessary regulatory approvals or clearances could harm our business. Furthermore, even if we are granted regulatory clearances or approvals, they may include significant limitations on the indicated uses for the device, which may limit the market for the device.</w:t>
      </w:r>
    </w:p>
    <w:p>
      <w:pPr>
        <w:spacing w:after="0" w:line="17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Any modifications to our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5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FDA can delay, limit or deny clearance or approval of a device for many reasons, including: we may be unable to demonstrate to the FDA’s satisfaction that the product or modification is substantially equivalent to the proposed predicate device or safe and effective for its intended use; the data from our pre-clinical studies and clinical trials may be insufficient to support clearance or approval, where required; and the manufacturing process or facilities we use may not meet applicable requirements.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46" w:name="page47"/>
    <w:bookmarkEnd w:id="46"/>
    <w:p>
      <w:pPr>
        <w:spacing w:after="0" w:line="275" w:lineRule="auto"/>
        <w:rPr>
          <w:sz w:val="20"/>
          <w:szCs w:val="20"/>
          <w:color w:val="auto"/>
        </w:rPr>
      </w:pPr>
      <w:r>
        <w:rPr>
          <w:rFonts w:ascii="Arial" w:cs="Arial" w:eastAsia="Arial" w:hAnsi="Arial"/>
          <w:sz w:val="16"/>
          <w:szCs w:val="16"/>
          <w:color w:val="auto"/>
        </w:rPr>
        <w:t xml:space="preserve">Even if granted, a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or PMA approval imposes substantial restrictions on how our devices may be marketed or sold, and the FDA continues to place considerable restrictions on our products and operations. For example, the manufacture of medical devices must comply with the FDA’s Quality System Regulation, or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 untitled letters, warning letters, fines, injunctions, consent decrees and civil penalties; customer notifications or repair, replacement, refunds, detention or seizure of our products; operating restrictions or partial suspension or total shutdown of production; refusing or delaying requests for 510(k) marketing clearance or PMA approvals of new products or modified products; withdrawing 510(k) marketing clearances or PMA approvals that have already been granted; refusing to provide Certificates for Foreign Government; refusing to grant export approval for our products; or pursuing criminal prosecution. Any of these sanctions could impair our ability to produce our products in a cost-effective and timely manner in order to meet our customers’ demands and could have a material adverse effect on our reputation, business, results of operations and financial condition. We may also be required to bear other costs or take other actions that may have a negative impact on our sales and our ability to generate profits.</w:t>
      </w:r>
    </w:p>
    <w:p>
      <w:pPr>
        <w:spacing w:after="0" w:line="17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Such policy or regulatory changes could impose additional requirements upon us that could delay our ability to obtain new 510(k) clearances, increase the costs of compliance or restrict our ability to maintain our current clearances. 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order to sell our products in member countries of the European Economic Area, or EEA, our products must comply with the essential requirements of the EU Medical Devices Directive (Council Directive 93/42/EEC). Compliance with these requirements is a prerequisite to be able to affix the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right="20"/>
        <w:spacing w:after="0" w:line="281" w:lineRule="auto"/>
        <w:rPr>
          <w:sz w:val="20"/>
          <w:szCs w:val="20"/>
          <w:color w:val="auto"/>
        </w:rPr>
      </w:pPr>
      <w:r>
        <w:rPr>
          <w:rFonts w:ascii="Arial" w:cs="Arial" w:eastAsia="Arial" w:hAnsi="Arial"/>
          <w:sz w:val="16"/>
          <w:szCs w:val="16"/>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we would be unable to continue to affix the CE Mark to our surgical systems, which would prevent us from selling them within the EEA.</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or our distributors will also need to obtain regulatory approval in other foreign jurisdictions in which we plan to market and sell our products, and we or they may not obtain such approvals as necessary to commercialize our products in those territories.</w:t>
      </w:r>
    </w:p>
    <w:p>
      <w:pPr>
        <w:spacing w:after="0" w:line="26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Modifications to our products may require new 510(k) clearances or PMA approvals, and may require us to cease marketing or recall the modified products until clearances are obtained.</w:t>
      </w:r>
    </w:p>
    <w:p>
      <w:pPr>
        <w:spacing w:after="0" w:line="5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Any modification to a 510(k)-cleared product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our products in the past and have determined based on our review of the applicable FDA regulations and guidance that in certain instances new 510(k) clearances were not required. We may make similar modifications or add additional features in the future that we believe do not require a new 510(k) clearance or approval of a PMA. If the FDA disagrees with our determination and requires us to submit new 510(k) notifications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w:t>
      </w:r>
    </w:p>
    <w:p>
      <w:pPr>
        <w:spacing w:after="0" w:line="27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b w:val="1"/>
          <w:bCs w:val="1"/>
          <w:i w:val="1"/>
          <w:iCs w:val="1"/>
          <w:color w:val="auto"/>
        </w:rPr>
        <w:t>Our products must be manufactured in accordance with federal and state regulations, and we could be forced to recall our installed systems or terminate production if we fail to comply with these regulations.</w:t>
      </w:r>
    </w:p>
    <w:p>
      <w:pPr>
        <w:spacing w:after="0" w:line="5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methods used in, and the facilities used for, the manufacture of our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66"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We or our third-party manufacturers may not take the necessary steps to comply with applicable regulations, which could cause delays in the delivery of our products.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or our employees.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spacing w:after="0" w:line="286" w:lineRule="auto"/>
        <w:rPr>
          <w:sz w:val="20"/>
          <w:szCs w:val="20"/>
          <w:color w:val="auto"/>
        </w:rPr>
      </w:pPr>
      <w:r>
        <w:rPr>
          <w:rFonts w:ascii="Arial" w:cs="Arial" w:eastAsia="Arial" w:hAnsi="Arial"/>
          <w:sz w:val="17"/>
          <w:szCs w:val="17"/>
          <w:color w:val="auto"/>
        </w:rPr>
        <w:t>Any of these actions could significantly and negatively impact supply of our products. If any of these events occurs, our reputation could be harmed, we could be exposed to product liability claims and we could lose customers and suffer reduced revenues and increased costs.</w:t>
      </w:r>
    </w:p>
    <w:p>
      <w:pPr>
        <w:spacing w:after="0" w:line="263"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b w:val="1"/>
          <w:bCs w:val="1"/>
          <w:i w:val="1"/>
          <w:iCs w:val="1"/>
          <w:color w:val="auto"/>
        </w:rPr>
        <w:t>If treatment guidelines for the psychiatric conditions we are targeting change or the standard of care evolves, we may need to redesign and seek new marketing authorization from the FDA for one or more of our products.</w:t>
      </w:r>
    </w:p>
    <w:p>
      <w:pPr>
        <w:spacing w:after="0" w:line="5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If treatment guidelines for the psychiatric conditions we are targeting or the standard of care for such conditions evolves, we may need to redesign the applicable product and seek new clearances or approvals from the FDA. Our 510(k) clearances from the FDA are based on current treatment guidelines. If treatment guidelines change so that different treatments become desirable, the clinical utility of one or more of our products could be diminished and our business could suffer.</w:t>
      </w:r>
    </w:p>
    <w:p>
      <w:pPr>
        <w:spacing w:after="0" w:line="2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6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Our product has been authorized for marketing by the FDA for a specific indication. We train our commercial organization and distributors outside the United States to not promote our products for uses outside of the FDA-cleared indications for use, known as “off-label uses.” We cannot, however, prevent a psychiatrist from using our products off-label, when in the psychiatrist’s independent professional medical judgment, he or she deems it appropriate. There may be increased risk of injury to patients if psychiatrists attempt to use our products off-label. Furthermore, the use of our products for indications other than those cleared by the FDA or approved by any foreign regulatory body may not effectively treat such conditions, which could harm our reputation in the marketplace among psychiatrists and patients.</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w:t>
      </w:r>
    </w:p>
    <w:p>
      <w:pPr>
        <w:spacing w:after="0" w:line="28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b w:val="1"/>
          <w:bCs w:val="1"/>
          <w:i w:val="1"/>
          <w:iCs w:val="1"/>
          <w:color w:val="auto"/>
        </w:rPr>
        <w:t>Our products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9" w:name="page50"/>
    <w:bookmarkEnd w:id="49"/>
    <w:p>
      <w:pPr>
        <w:spacing w:after="0" w:line="262"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78"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62"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75"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Any adverse event involving our products could result in voluntary corrective actions, such as recalls or customer notifications, or agency action, such as inspection, mandatory recall or other enforcement action. Any corrective action, whether voluntary or involuntary, as well as defending ourselves in a lawsuit, would require the dedication of our time and capital, distract management from operating our business and may harm our reputation and financial results.</w:t>
      </w:r>
    </w:p>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If we or our distributors do not obtain and maintain international regulatory registrations or approvals for our products, we will be unable to market and sell our products outside of the United States.</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our products or we may be unable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our products,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18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jc w:val="both"/>
        <w:ind w:right="380"/>
        <w:spacing w:after="0" w:line="271" w:lineRule="auto"/>
        <w:rPr>
          <w:sz w:val="20"/>
          <w:szCs w:val="20"/>
          <w:color w:val="auto"/>
        </w:rPr>
      </w:pPr>
      <w:r>
        <w:rPr>
          <w:rFonts w:ascii="Arial" w:cs="Arial" w:eastAsia="Arial" w:hAnsi="Arial"/>
          <w:sz w:val="17"/>
          <w:szCs w:val="17"/>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67"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Our business practices and relationships with providers, patients and third-party payors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71" w:lineRule="exact"/>
        <w:rPr>
          <w:sz w:val="20"/>
          <w:szCs w:val="20"/>
          <w:color w:val="auto"/>
        </w:rPr>
      </w:pPr>
    </w:p>
    <w:p>
      <w:pPr>
        <w:ind w:left="1000" w:right="40" w:hanging="371"/>
        <w:spacing w:after="0" w:line="275"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government can establish a violation of the Anti-Kickback Statute without proving that a person or entity had actual knowledge of the law or a specific intent to violate. Moreover, the government may assert that a claim for reimbursement that includes items resulting from a violation of the federal healthcare Anti-Kickback Statute constitutes a false or fraudulent claim for purposes of the federal civil False Claims Act. Although there are a number of statutory exceptions and regulatory safe harbors to the federal healthcare Anti-Kickback Statute protecting certain common business arrangements and activities from prosecution or regulatory sanctions, the exceptions and safe harbors are drawn narrowly. Practices that involve remuneration to those who prescribe, purchase, or recommend medical device products, including discounts, or engaging individuals as speakers, consultants, or advisors, may be subject to scrutiny if they do not fit squarely within an exception or a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72" w:lineRule="exact"/>
        <w:rPr>
          <w:rFonts w:ascii="Arial" w:cs="Arial" w:eastAsia="Arial" w:hAnsi="Arial"/>
          <w:sz w:val="16"/>
          <w:szCs w:val="16"/>
          <w:color w:val="auto"/>
        </w:rPr>
      </w:pPr>
    </w:p>
    <w:p>
      <w:pPr>
        <w:ind w:left="1000" w:hanging="371"/>
        <w:spacing w:after="0" w:line="294" w:lineRule="auto"/>
        <w:tabs>
          <w:tab w:leader="none" w:pos="10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the federal civil and criminal false claims laws and civil monetary penalty laws, such as the FCA, which can be enforced by private citizens through civil qui tam actions, prohibits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The Social Security Act also has a provision that provides for the imposition of civil monetary penalties against any person who offers or transfers remuneration to a Medicare or Medicaid beneficiary that such person knows or should know is likely to influence the beneficiary’s selection of a particular provider, practitioner, or supplier for the order or receipt of any item or service payable by a federal health care program. Whistleblowers can bring FCA </w:t>
      </w:r>
      <w:r>
        <w:rPr>
          <w:rFonts w:ascii="Arial" w:cs="Arial" w:eastAsia="Arial" w:hAnsi="Arial"/>
          <w:sz w:val="15"/>
          <w:szCs w:val="15"/>
          <w:i w:val="1"/>
          <w:iCs w:val="1"/>
          <w:color w:val="auto"/>
        </w:rPr>
        <w:t>qui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tam </w:t>
      </w:r>
      <w:r>
        <w:rPr>
          <w:rFonts w:ascii="Arial" w:cs="Arial" w:eastAsia="Arial" w:hAnsi="Arial"/>
          <w:sz w:val="15"/>
          <w:szCs w:val="15"/>
          <w:color w:val="auto"/>
        </w:rPr>
        <w:t>actions on behalf of the government and themselves, and may share in amounts paid by the entity to the government in recovery or settlement.</w:t>
      </w:r>
      <w:r>
        <w:rPr>
          <w:rFonts w:ascii="Arial" w:cs="Arial" w:eastAsia="Arial" w:hAnsi="Arial"/>
          <w:sz w:val="15"/>
          <w:szCs w:val="15"/>
          <w:i w:val="1"/>
          <w:iCs w:val="1"/>
          <w:color w:val="auto"/>
        </w:rPr>
        <w:t xml:space="preserve"> </w:t>
      </w:r>
      <w:r>
        <w:rPr>
          <w:rFonts w:ascii="Arial" w:cs="Arial" w:eastAsia="Arial" w:hAnsi="Arial"/>
          <w:sz w:val="15"/>
          <w:szCs w:val="15"/>
          <w:color w:val="auto"/>
        </w:rPr>
        <w:t>False Claims Act liability is potentially significant in the healthcare industry because the statute provides for treble damages and mandatory penalties of $11,665 to $23,331 per false or fraudulent claim or statement. Many pharmaceutical and medical device manufacturers have been investigated and have reached substantial settlements under the FCA in connection with alleged off label promotion of their products and allegedly providing free products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There are also criminal penalties, including imprisonment and criminal fines, for making or presenting false, fictitious or fraudulent claims to the federal government;</w:t>
      </w:r>
    </w:p>
    <w:p>
      <w:pPr>
        <w:spacing w:after="0" w:line="54" w:lineRule="exact"/>
        <w:rPr>
          <w:rFonts w:ascii="Arial" w:cs="Arial" w:eastAsia="Arial" w:hAnsi="Arial"/>
          <w:sz w:val="15"/>
          <w:szCs w:val="15"/>
          <w:color w:val="auto"/>
        </w:rPr>
      </w:pPr>
    </w:p>
    <w:p>
      <w:pPr>
        <w:ind w:left="1000" w:right="60" w:hanging="371"/>
        <w:spacing w:after="0" w:line="286"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among other things, imposes criminal liability for executing or attempting to execute a scheme to defraud any healthcare benefit program, including private third-party payors, knowingly and willfully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1" w:name="page52"/>
    <w:bookmarkEnd w:id="51"/>
    <w:p>
      <w:pPr>
        <w:ind w:left="1000" w:right="60"/>
        <w:spacing w:after="0" w:line="262" w:lineRule="auto"/>
        <w:rPr>
          <w:sz w:val="20"/>
          <w:szCs w:val="20"/>
          <w:color w:val="auto"/>
        </w:rPr>
      </w:pPr>
      <w:r>
        <w:rPr>
          <w:rFonts w:ascii="Arial" w:cs="Arial" w:eastAsia="Arial" w:hAnsi="Arial"/>
          <w:sz w:val="17"/>
          <w:szCs w:val="17"/>
          <w:color w:val="auto"/>
        </w:rPr>
        <w:t>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or to have committed a violation;</w:t>
      </w:r>
    </w:p>
    <w:p>
      <w:pPr>
        <w:spacing w:after="0" w:line="74" w:lineRule="exact"/>
        <w:rPr>
          <w:sz w:val="20"/>
          <w:szCs w:val="20"/>
          <w:color w:val="auto"/>
        </w:rPr>
      </w:pPr>
    </w:p>
    <w:p>
      <w:pPr>
        <w:ind w:left="1000" w:hanging="371"/>
        <w:spacing w:after="0" w:line="278"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HIPAA, as amended by HITECH, and their implementing regulations, which imposes privacy, security, transmission and breach reporting obligations with respect to individually identifiable health information upon “covered entities” subject to the law, including health plans, healthcare clearinghouses and certain healthcare providers and their respective business associates that perform services on their behalf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laws and seek attorneys’ fees and costs associated with pursuing federal civil actions. On December 10, 2020, the U.S. Department of Health and Human Services Office for Civil Rights issued a Notice of Proposed Rulemaking, which if finalized, would make changes to some of HIPAA’s regulatory requirements, which would apply to business associates;</w:t>
      </w:r>
    </w:p>
    <w:p>
      <w:pPr>
        <w:spacing w:after="0" w:line="66" w:lineRule="exact"/>
        <w:rPr>
          <w:rFonts w:ascii="Arial" w:cs="Arial" w:eastAsia="Arial" w:hAnsi="Arial"/>
          <w:sz w:val="16"/>
          <w:szCs w:val="16"/>
          <w:color w:val="auto"/>
        </w:rPr>
      </w:pPr>
    </w:p>
    <w:p>
      <w:pPr>
        <w:ind w:left="1000" w:right="60" w:hanging="371"/>
        <w:spacing w:after="0" w:line="301" w:lineRule="auto"/>
        <w:tabs>
          <w:tab w:leader="none" w:pos="10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federal Physician Payments Sunshine Act created under the PPACA, which requires, among other things, certain manufacturers of drugs, devices, biologics and medical supplies reimbursed under Medicare, Medicaid, or the Children’s Health Insurance Program (with certain exceptions) to report annually to the United States Department of Health and Human Services, Centers for Medicare and Medicare Services, or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 and</w:t>
      </w:r>
    </w:p>
    <w:p>
      <w:pPr>
        <w:spacing w:after="0" w:line="48" w:lineRule="exact"/>
        <w:rPr>
          <w:rFonts w:ascii="Arial" w:cs="Arial" w:eastAsia="Arial" w:hAnsi="Arial"/>
          <w:sz w:val="15"/>
          <w:szCs w:val="15"/>
          <w:color w:val="auto"/>
        </w:rPr>
      </w:pPr>
    </w:p>
    <w:p>
      <w:pPr>
        <w:ind w:left="1000" w:right="100" w:hanging="371"/>
        <w:spacing w:after="0" w:line="276"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anti-kickback and false claims laws, that may impose similar or more prohibitive restrictions, and may apply to items or services reimbursed by any non-governmental third-party payors, including private insurers; state laws that require device manufacturers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pricing information; and other federal and state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 and data privacy and security laws and regulations in foreign jurisdictions that may be more stringent than those in the United States (such as the European Union, which adopted the General Data Protection Regulation, which became effective in May 2018).</w:t>
      </w:r>
    </w:p>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including sales programs, we may have with psychiatrists or other potential purchasers of our products. We have also entered into consulting agreements with physicians, which are subject to these laws. Further, while we do not submit claims and our customers will make the ultimate decision on how to submit claims, we may provide reimbursement guidance and support regarding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2" w:name="page53"/>
    <w:bookmarkEnd w:id="52"/>
    <w:p>
      <w:pPr>
        <w:ind w:right="80"/>
        <w:spacing w:after="0" w:line="263" w:lineRule="auto"/>
        <w:rPr>
          <w:sz w:val="20"/>
          <w:szCs w:val="20"/>
          <w:color w:val="auto"/>
        </w:rPr>
      </w:pPr>
      <w:r>
        <w:rPr>
          <w:rFonts w:ascii="Arial" w:cs="Arial" w:eastAsia="Arial" w:hAnsi="Arial"/>
          <w:sz w:val="17"/>
          <w:szCs w:val="17"/>
          <w:color w:val="auto"/>
        </w:rPr>
        <w:t>To enforce compliance with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Any such investigation or settlement could increase our costs or otherwise have an adverse effect on our business. Even an unsuccessful challenge or investigation into our practices could cause adverse publicity and be costly to respond to.</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disgorgement, exclusion from participation in government healthcare programs, such as Medicare and Medicaid, imprisonment, additional reporting obligations and oversight if we becomes subject to a corporate integrity agreement or other agreement to resolve allegations of non-compliance with these laws, reputational harm, diminished profits and future earnings, and the curtailment or restructuring of our operations, any of which could adversely affect our ability to operate our business and pursue our strategy.</w:t>
      </w:r>
    </w:p>
    <w:p>
      <w:pPr>
        <w:spacing w:after="0" w:line="2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Healthcare policy changes, including recently enacted legislation reforming the U.S. healthcare system, could harm our cash flows, financial condition and results of operations.</w:t>
      </w:r>
    </w:p>
    <w:p>
      <w:pPr>
        <w:spacing w:after="0" w:line="5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revisions, or reinterpretations of existing regulations may impose additional costs,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w:t>
      </w:r>
    </w:p>
    <w:p>
      <w:pPr>
        <w:spacing w:after="0" w:line="16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For example, in March 2010, the PPACA was enacted in the United States, which made a number of substantial changes in the way healthcare is financed by both governmental and private insurers. Among other ways in which it may impact our business, the PPACA:</w:t>
      </w:r>
    </w:p>
    <w:p>
      <w:pPr>
        <w:spacing w:after="0" w:line="55" w:lineRule="exact"/>
        <w:rPr>
          <w:sz w:val="20"/>
          <w:szCs w:val="20"/>
          <w:color w:val="auto"/>
        </w:rPr>
      </w:pPr>
    </w:p>
    <w:p>
      <w:pPr>
        <w:ind w:left="1000" w:hanging="371"/>
        <w:spacing w:after="0" w:line="266"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imposes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or 2018 Appropriations Resolution, signed by President Trump on January 22, 2018, was further suspended through December 31, 2019;</w:t>
      </w:r>
    </w:p>
    <w:p>
      <w:pPr>
        <w:spacing w:after="0" w:line="71" w:lineRule="exact"/>
        <w:rPr>
          <w:rFonts w:ascii="Arial" w:cs="Arial" w:eastAsia="Arial" w:hAnsi="Arial"/>
          <w:sz w:val="17"/>
          <w:szCs w:val="17"/>
          <w:color w:val="auto"/>
        </w:rPr>
      </w:pPr>
    </w:p>
    <w:p>
      <w:pPr>
        <w:ind w:left="1000" w:right="80" w:hanging="371"/>
        <w:spacing w:after="0" w:line="286"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establishes a new Patient-Centered Outcomes Research Institute to oversee and identify priorities in comparative clinical effectiveness research in an effort to coordinate and develop such research;</w:t>
      </w:r>
    </w:p>
    <w:p>
      <w:pPr>
        <w:spacing w:after="0" w:line="55" w:lineRule="exact"/>
        <w:rPr>
          <w:rFonts w:ascii="Arial" w:cs="Arial" w:eastAsia="Arial" w:hAnsi="Arial"/>
          <w:sz w:val="17"/>
          <w:szCs w:val="17"/>
          <w:color w:val="auto"/>
        </w:rPr>
      </w:pPr>
    </w:p>
    <w:p>
      <w:pPr>
        <w:ind w:left="1000" w:right="480" w:hanging="371"/>
        <w:spacing w:after="0" w:line="319"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psychiatrists and other providers to improve the coordination, quality and efficiency of certain healthcare services through bundled payment models; and</w:t>
      </w:r>
    </w:p>
    <w:p>
      <w:pPr>
        <w:spacing w:after="0" w:line="31" w:lineRule="exact"/>
        <w:rPr>
          <w:rFonts w:ascii="Arial" w:cs="Arial" w:eastAsia="Arial" w:hAnsi="Arial"/>
          <w:sz w:val="16"/>
          <w:szCs w:val="16"/>
          <w:color w:val="auto"/>
        </w:rPr>
      </w:pPr>
    </w:p>
    <w:p>
      <w:pPr>
        <w:ind w:left="1000" w:hanging="371"/>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expands the eligibility criteria for Medicaid programs.</w:t>
      </w:r>
    </w:p>
    <w:p>
      <w:pPr>
        <w:spacing w:after="0" w:line="247" w:lineRule="exact"/>
        <w:rPr>
          <w:sz w:val="20"/>
          <w:szCs w:val="20"/>
          <w:color w:val="auto"/>
        </w:rPr>
      </w:pPr>
    </w:p>
    <w:p>
      <w:pPr>
        <w:ind w:right="580"/>
        <w:spacing w:after="0" w:line="319" w:lineRule="auto"/>
        <w:rPr>
          <w:sz w:val="20"/>
          <w:szCs w:val="20"/>
          <w:color w:val="auto"/>
        </w:rPr>
      </w:pPr>
      <w:r>
        <w:rPr>
          <w:rFonts w:ascii="Arial" w:cs="Arial" w:eastAsia="Arial" w:hAnsi="Arial"/>
          <w:sz w:val="16"/>
          <w:szCs w:val="16"/>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Capital Structure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to raise additional capital to fund our existing commercial operations, develop and commercialize new products and expand our operations.</w:t>
      </w:r>
    </w:p>
    <w:p>
      <w:pPr>
        <w:spacing w:after="0" w:line="140"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If our available cash balances, potential future borrowing capacity, and anticipated cash flow from operations are insufficient to satisfy our liquidity requirements, including because of lower demand for our products as a result of the risks described in this Annual Report on Form 10-K, we may seek to sell common or preferred equity or debt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3" w:name="page54"/>
    <w:bookmarkEnd w:id="53"/>
    <w:p>
      <w:pPr>
        <w:ind w:right="40"/>
        <w:spacing w:after="0" w:line="286" w:lineRule="auto"/>
        <w:rPr>
          <w:sz w:val="20"/>
          <w:szCs w:val="20"/>
          <w:color w:val="auto"/>
        </w:rPr>
      </w:pPr>
      <w:r>
        <w:rPr>
          <w:rFonts w:ascii="Arial" w:cs="Arial" w:eastAsia="Arial" w:hAnsi="Arial"/>
          <w:sz w:val="17"/>
          <w:szCs w:val="17"/>
          <w:color w:val="auto"/>
        </w:rPr>
        <w:t>securities, enter into an additional credit facility or another form of third-party funding or seek other debt financing. Our present and future funding requirements will depend on many other factors, including:</w:t>
      </w:r>
    </w:p>
    <w:p>
      <w:pPr>
        <w:spacing w:after="0" w:line="55" w:lineRule="exact"/>
        <w:rPr>
          <w:sz w:val="20"/>
          <w:szCs w:val="20"/>
          <w:color w:val="auto"/>
        </w:rPr>
      </w:pPr>
    </w:p>
    <w:p>
      <w:pPr>
        <w:ind w:left="1000" w:hanging="37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achieve revenue growth and improve operating margins;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improve or maintain coverage and reimbursement arrangements with domestic third-party and government payors;</w:t>
      </w:r>
    </w:p>
    <w:p>
      <w:pPr>
        <w:spacing w:after="0" w:line="143" w:lineRule="exact"/>
        <w:rPr>
          <w:rFonts w:ascii="Arial" w:cs="Arial" w:eastAsia="Arial" w:hAnsi="Arial"/>
          <w:sz w:val="17"/>
          <w:szCs w:val="17"/>
          <w:color w:val="auto"/>
        </w:rPr>
      </w:pPr>
    </w:p>
    <w:p>
      <w:pPr>
        <w:ind w:left="1000" w:right="120" w:hanging="371"/>
        <w:spacing w:after="0" w:line="286"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rate of progress in establishing coverage and reimbursement arrangements from international commercial third-party and government payors, particularly in Japan;</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expanding our operations and offerings, including our sales and marketing efforts;</w:t>
      </w:r>
    </w:p>
    <w:p>
      <w:pPr>
        <w:spacing w:after="0" w:line="143" w:lineRule="exact"/>
        <w:rPr>
          <w:rFonts w:ascii="Arial" w:cs="Arial" w:eastAsia="Arial" w:hAnsi="Arial"/>
          <w:sz w:val="17"/>
          <w:szCs w:val="17"/>
          <w:color w:val="auto"/>
        </w:rPr>
      </w:pPr>
    </w:p>
    <w:p>
      <w:pPr>
        <w:ind w:left="1000" w:right="340" w:hanging="371"/>
        <w:spacing w:after="0" w:line="286"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rate of progress in, and cost of the sales and marketing activities associated with, establishing adoption of our products and maintaining or improving our sales to our current customers;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research and development activities, including research and development relating to additional indications;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costs related to international expansion; and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w:t>
      </w:r>
    </w:p>
    <w:p>
      <w:pPr>
        <w:spacing w:after="0" w:line="24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may also consider raising additional capital in the future to expand our business, to pursue strategic investments, to take advantage of financing opportunities or for other reasons, including to:</w:t>
      </w:r>
    </w:p>
    <w:p>
      <w:pPr>
        <w:spacing w:after="0" w:line="55" w:lineRule="exact"/>
        <w:rPr>
          <w:sz w:val="20"/>
          <w:szCs w:val="20"/>
          <w:color w:val="auto"/>
        </w:rPr>
      </w:pPr>
    </w:p>
    <w:p>
      <w:pPr>
        <w:ind w:left="1000" w:hanging="371"/>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expand our sales and marketing efforts to increase market adoption of our products and address competitive developments;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fund development and marketing efforts of any future products or additional features to then-current products;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acquire, license or invest in new technologies;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for supply and inventory costs associated with plans to accommodate potential increases in demand for our products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acquire or invest in complementary businesses or assets; and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finance capital expenditures and general and administrative expenses.</w:t>
      </w: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Additional capital may not be available to us at such times or in the amounts we need. Even if capital is available, it might be available only on unfavorable terms. Any issuance of additional equity or equity-linked securities could be dilutive to our existing stockholders, and any new equity securities could have rights, preferences and privileges superior to those of holders of our common stock, including the shares of common stock sold in this offering. Debt financing, if available, may involve covenants restricting our operations or our ability to incur additional debt, pay dividends, repurchase our stock, make investments and engage in merger, consolidation or asset sale transactions. If we raise additional funds through collaboration and licensing arrangements with third parties, it may be necessary to relinquish or license some rights to our technologies or products, on terms that are not favorable to us. If access to sufficient capital is not available as and when needed, our business will be materially impaired and we may be required to cease operations, curtail one or more product development or commercialization programs, significantly reduce expenses, sell assets, seek a merger or joint venture partner, file for protection from creditors or liquidate all our assets.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limitations.</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2020 , we had federal and state net operating loss carryforwards of $247.5 million and $152.9 million, respectively. The federal and state net operating loss carryforwards will begin to expire, if not utilized, beginning in 2023 and 2021, respectively. These net operating loss carryforwards could expire unused and be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54" w:name="page55"/>
    <w:bookmarkEnd w:id="54"/>
    <w:p>
      <w:pPr>
        <w:spacing w:after="0" w:line="259" w:lineRule="auto"/>
        <w:rPr>
          <w:sz w:val="20"/>
          <w:szCs w:val="20"/>
          <w:color w:val="auto"/>
        </w:rPr>
      </w:pPr>
      <w:r>
        <w:rPr>
          <w:rFonts w:ascii="Arial" w:cs="Arial" w:eastAsia="Arial" w:hAnsi="Arial"/>
          <w:sz w:val="17"/>
          <w:szCs w:val="17"/>
          <w:color w:val="auto"/>
        </w:rPr>
        <w:t>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 tax law.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done an analysis to determine whether or not ownership changes have occurred since inception and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2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5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 March 2020, we entered into a $50.0 million credit facility with Solar Capital Ltd., or Solar, that is secured by a lien covering substantially all of our assets. The credit facility contains customary covenants and events of default applicable to us. The affirmative covenants include, among others, a covenant that requires us to achieve agreed amounts of trailing twelve month net product revenue, measured monthly through the term of the credit facility. The negative covenants include, among others, restrictions on us transferring collateral, changing businesses, engaging in mergers or acquisitions, incurring additional indebtedness and encumbering collateral. If we default under the credit facility, Solar may accelerate all of our repayment obligations and take control of our pledged assets, potentially requiring us to renegotiate our agreement on terms less favorable to us or to immediately cease operations. Further, if we are liquidated, Solar’s right to repayment would be senior to the rights of the holders of our common stock to receive any proceeds from the liquidation. Solar could declare a default upon the occurrence of any event that it interprets as a material adverse effect as defined under the credit facility, thereby requiring us to repay the loan immediately or to attempt to reverse the declaration of default through negotiation or litigation. Any declaration by Solar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trading price of our common stock may be highly volatile and could be subject to wide fluctuations in response to various factors, some of which are beyond our control. Factors that could cause volatility in the market price of our common stock include, but are not limited to:</w:t>
      </w:r>
    </w:p>
    <w:p>
      <w:pPr>
        <w:spacing w:after="0" w:line="55" w:lineRule="exact"/>
        <w:rPr>
          <w:sz w:val="20"/>
          <w:szCs w:val="20"/>
          <w:color w:val="auto"/>
        </w:rPr>
      </w:pPr>
    </w:p>
    <w:p>
      <w:pPr>
        <w:ind w:left="1000" w:hanging="371"/>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actual or anticipated fluctuations in our financial condition and operating results;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actual or anticipated changes in our growth rate;</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commercial success and market acceptance of our products;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success of our competitors in developing or commercializing products;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media exposure of our products or of those of others in our industry;</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commercialize or obtain regulatory approvals for our products, or delays in commercializing or obtaining regulatory approvals;</w:t>
      </w:r>
    </w:p>
    <w:p>
      <w:pPr>
        <w:spacing w:after="0" w:line="154" w:lineRule="exact"/>
        <w:rPr>
          <w:rFonts w:ascii="Arial" w:cs="Arial" w:eastAsia="Arial" w:hAnsi="Arial"/>
          <w:sz w:val="16"/>
          <w:szCs w:val="16"/>
          <w:color w:val="auto"/>
        </w:rPr>
      </w:pPr>
    </w:p>
    <w:p>
      <w:pPr>
        <w:ind w:left="1000" w:hanging="371"/>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154" w:lineRule="exact"/>
        <w:rPr>
          <w:rFonts w:ascii="Arial" w:cs="Arial" w:eastAsia="Arial" w:hAnsi="Arial"/>
          <w:sz w:val="16"/>
          <w:szCs w:val="16"/>
          <w:color w:val="auto"/>
        </w:rPr>
      </w:pPr>
    </w:p>
    <w:p>
      <w:pPr>
        <w:ind w:left="1000" w:hanging="371"/>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addition or departure of key personnel;</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 liability claims;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5" w:name="page56"/>
    <w:bookmarkEnd w:id="55"/>
    <w:p>
      <w:pPr>
        <w:ind w:left="1000" w:right="860" w:hanging="371"/>
        <w:spacing w:after="0" w:line="286"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prevailing economic, industry and market conditions, including factors unrelated to our operating performance or the operating performance of our competitors;</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business disruptions caused by earthquakes, fires, pandemic diseases (such as from coronavirus), or other natural disasters;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disputes or other developments concerning our intellectual property or other proprietary rights, including litigation;</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other U.S. or foreign regulatory actions affecting us or the healthcare or medical device industry;</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healthcare reform measures in the United States;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third-party payor developments in the United States and other countries;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sales of our common stock by our directors, officers, or stockholders;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timing and amount of our investments in the growth of our business;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inability to obtain additional funding;</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future sales or issuances of equity or debt securities by us;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to meet or exceed financial estimates and projections of the investment community or that we provide to the public; and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issuance of new or changed securities analysts’ reports or recommendations regarding us.</w:t>
      </w:r>
    </w:p>
    <w:p>
      <w:pPr>
        <w:spacing w:after="0" w:line="24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addition, the stock markets in general, and the markets for companies like ours in particular, have from time to time experienced extreme volatility that has been often unrelated to the operating performance of the company. These broad market and industry fluctuations may negatively impact the price or liquidity of our common stock, regardless of our operating performance.</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or securities convertible or exchangeable for our common stock may cause our stock price to decline.</w:t>
      </w:r>
    </w:p>
    <w:p>
      <w:pPr>
        <w:spacing w:after="0" w:line="117"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If our stockholders or option holders sell, or indicate an intention to sell, substantial amounts of our common stock in the public market, the price of our common stock could decline. The perception in the market that these sales may occur could also cause the price of our common stock to decline.</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Shares of common stock that are either subject to outstanding options, or are outstanding but subject to vesting or reserved for future issuance under our 2018 Equity Incentive Plan, or the 2018 Plan, will become eligible for sale in the public market to the extent permitted by the provisions of various vesting schedules, Rule 144 and Rule 701 under the Securities Act. We have also filed a registration statement permitting certain shares of common stock issued under our 2003 Stock Incentive Plan, or the 2003 Plan, and shares of common stock issued pursuant to the 2018 Plan or our 2018 Employee Stock Purchase Plan, or the 2018 ESPP, to be freely resold by plan participants in the public market, subject to applicable vesting schedules and, for shares held by directors, executive officers and other affiliates, volume limitations under Rule 144 under the Securities Act. Both the 2018 Plan and the 2018 ESPP contain provisions for the annual increase of the number of shares reserved for issuance under such plans, which shares we also intend to register. If the shares we may issue from time to time under the 2003 Plan, the 2018 Plan or the 2018 ESPP are sold, or if it is perceived that they will be sold, by the award recipients in the public market, the price of our common stock could decline.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6" w:name="page57"/>
    <w:bookmarkEnd w:id="56"/>
    <w:p>
      <w:pPr>
        <w:ind w:right="200"/>
        <w:spacing w:after="0" w:line="271" w:lineRule="auto"/>
        <w:rPr>
          <w:sz w:val="20"/>
          <w:szCs w:val="20"/>
          <w:color w:val="auto"/>
        </w:rPr>
      </w:pPr>
      <w:r>
        <w:rPr>
          <w:rFonts w:ascii="Arial" w:cs="Arial" w:eastAsia="Arial" w:hAnsi="Arial"/>
          <w:sz w:val="17"/>
          <w:szCs w:val="17"/>
          <w:color w:val="auto"/>
        </w:rPr>
        <w:t>Certain shares of common stock are entitled to rights with respect to registration under the Securities Act. Such registration would result in these shares becoming fully tradable without restriction under the Securities Act when the applicable registration statement is declared effective. Sales of such shares could cause the price of our common stock to decline.</w:t>
      </w:r>
    </w:p>
    <w:p>
      <w:pPr>
        <w:spacing w:after="0" w:line="276"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are able to exert control over matters subject to stockholder approval.</w:t>
      </w:r>
    </w:p>
    <w:p>
      <w:pPr>
        <w:spacing w:after="0" w:line="5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As of February 25, 2021, our officers and directors, together with holders of 5% or more of our outstanding common stock and their respective affiliates, beneficially owned approximately 21.6% of our outstanding common stock. Accordingly, these stockholders have a material influence over the outcome of corporate actions requiring stockholder approval, including the election of directors, mergers, consolidation or sale of all or substantially all of our assets or any other significant corporate transaction. The interests of these stockholders may not be the same as or may even conflict with your interests. For example, these stockholders could attempt to delay or prevent a change in control of the company, even if such a change in control would benefit our other stockholders, which could deprive our stockholders of an opportunity to receive a premium for their common stock as part of a sale of the company or our assets and might affect the prevailing price of our common stock. The significant concentration of stock ownership may negatively impact the price of our common stock due to investors’ perception that conflicts of interest may exist or arise.</w:t>
      </w:r>
    </w:p>
    <w:p>
      <w:pPr>
        <w:spacing w:after="0" w:line="27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Provisions of our amended and restated charter documents or Delaware law could delay or prevent an acquisition of the company, even if the acquisition would be beneficial to our stockholders, which could make it more difficult for you to change management.</w:t>
      </w:r>
    </w:p>
    <w:p>
      <w:pPr>
        <w:spacing w:after="0" w:line="5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stockholders may consider favorable, including transactions in which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71" w:lineRule="exact"/>
        <w:rPr>
          <w:sz w:val="20"/>
          <w:szCs w:val="20"/>
          <w:color w:val="auto"/>
        </w:rPr>
      </w:pPr>
    </w:p>
    <w:p>
      <w:pPr>
        <w:ind w:left="1000" w:hanging="371"/>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prohibition on stockholder action through written consent;</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 cumulative voting in the election of directors;</w:t>
      </w:r>
    </w:p>
    <w:p>
      <w:pPr>
        <w:spacing w:after="0" w:line="143" w:lineRule="exact"/>
        <w:rPr>
          <w:rFonts w:ascii="Arial" w:cs="Arial" w:eastAsia="Arial" w:hAnsi="Arial"/>
          <w:sz w:val="17"/>
          <w:szCs w:val="17"/>
          <w:color w:val="auto"/>
        </w:rPr>
      </w:pPr>
    </w:p>
    <w:p>
      <w:pPr>
        <w:ind w:left="1000" w:hanging="371"/>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w:t>
      </w:r>
    </w:p>
    <w:p>
      <w:pPr>
        <w:spacing w:after="0" w:line="55" w:lineRule="exact"/>
        <w:rPr>
          <w:rFonts w:ascii="Arial" w:cs="Arial" w:eastAsia="Arial" w:hAnsi="Arial"/>
          <w:sz w:val="17"/>
          <w:szCs w:val="17"/>
          <w:color w:val="auto"/>
        </w:rPr>
      </w:pPr>
    </w:p>
    <w:p>
      <w:pPr>
        <w:ind w:left="1000" w:right="480" w:hanging="371"/>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board of directors, the chairman of the board of directors, the chief executive officer or, in the absence of a chief executive officer, the president;</w:t>
      </w:r>
    </w:p>
    <w:p>
      <w:pPr>
        <w:spacing w:after="0" w:line="55" w:lineRule="exact"/>
        <w:rPr>
          <w:rFonts w:ascii="Arial" w:cs="Arial" w:eastAsia="Arial" w:hAnsi="Arial"/>
          <w:sz w:val="17"/>
          <w:szCs w:val="17"/>
          <w:color w:val="auto"/>
        </w:rPr>
      </w:pPr>
    </w:p>
    <w:p>
      <w:pPr>
        <w:ind w:left="1000" w:hanging="371"/>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advance notice requirement for stockholder proposals and nominations;</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authority of our board of directors to issue blank-check preferred stock with such terms as our board of directors may determine; and</w:t>
      </w:r>
    </w:p>
    <w:p>
      <w:pPr>
        <w:spacing w:after="0" w:line="154" w:lineRule="exact"/>
        <w:rPr>
          <w:rFonts w:ascii="Arial" w:cs="Arial" w:eastAsia="Arial" w:hAnsi="Arial"/>
          <w:sz w:val="16"/>
          <w:szCs w:val="16"/>
          <w:color w:val="auto"/>
        </w:rPr>
      </w:pPr>
    </w:p>
    <w:p>
      <w:pPr>
        <w:ind w:left="1000" w:right="760" w:hanging="371"/>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requirement of approval of not less than 66 2/3% of all outstanding shares of our capital stock entitled to vote to amend any bylaws by stockholder action, or to amend specific provisions of our amended and restated certificate of incorporation.</w:t>
      </w:r>
    </w:p>
    <w:p>
      <w:pPr>
        <w:spacing w:after="0" w:line="15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our voting stock, for a period of three years after the date of the transaction in which the person became an interested stockholder, unless the business combination is approved in a prescribed manner. Accordingly, Delaware law may discourage, delay or prevent a change in control of our company.</w:t>
      </w:r>
    </w:p>
    <w:p>
      <w:pPr>
        <w:spacing w:after="0" w:line="17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Provisions in our charter documents and other provisions of Delaware law could limit the price that investors are willing to pay in the future for shares of our common stock.</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7" w:name="page58"/>
    <w:bookmarkEnd w:id="57"/>
    <w:p>
      <w:pPr>
        <w:jc w:val="both"/>
        <w:ind w:right="320"/>
        <w:spacing w:after="0" w:line="295"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law, the Court of Chancery of the State of Delaware is the exclusive forum for (i) any derivative action or proceeding brought on our behalf, other than an action or suit to enforce a duty or liability created by the Exchange Act or any other claim for which the federal courts have exclusive jurisdiction, (ii) any action asserting a claim of breach of a fiduciary duty or other wrongdoing by any of our directors, officers, employees or agents to us or our stockholders, (iii) any action asserting a claim arising pursuant to any provision of the DGCL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2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55"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We have never declared or paid any cash dividends on our common stock and do not intend to do so in the foreseeable future. We currently intend to retain all available funds and any future earnings to finance the growth and development of our business. In addition, the terms of our credit agreements contain, and the terms of any future credit agreements we may enter into may contain, terms prohibiting or limiting the amount of dividends that may be declared or paid on our common stock. As a result, capital appreciation, if any, of our common stock will be your sole source of gain for the foreseeable future.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our management’s attention.</w:t>
      </w:r>
    </w:p>
    <w:p>
      <w:pPr>
        <w:spacing w:after="0" w:line="11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could make our common stock less attractive to investors.</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We may remain an emerging growth company until as late as December 31, 2023, though we may cease to be an emerging growth company earlier under certain circumstances, including (i) if the market value of our common stock that is held by non-affiliates exceeds $700 million as of any June 30, in which case we would cease to be an emerging growth company as of the following December 31, or (ii) if our gross revenues exceeds $1.07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58" w:name="page59"/>
    <w:bookmarkEnd w:id="58"/>
    <w:p>
      <w:pPr>
        <w:ind w:right="200"/>
        <w:spacing w:after="0" w:line="319" w:lineRule="auto"/>
        <w:rPr>
          <w:sz w:val="20"/>
          <w:szCs w:val="20"/>
          <w:color w:val="auto"/>
        </w:rPr>
      </w:pPr>
      <w:r>
        <w:rPr>
          <w:rFonts w:ascii="Arial" w:cs="Arial" w:eastAsia="Arial" w:hAnsi="Arial"/>
          <w:sz w:val="16"/>
          <w:szCs w:val="16"/>
          <w:color w:val="auto"/>
        </w:rPr>
        <w:t>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3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We are choosing not to “opt out” of such extended transition period, and as a result, we will not comply with new or revised accounting standards on the relevant dates on which adoption of such standards is required for non-emerging growth companies.</w:t>
      </w:r>
    </w:p>
    <w:p>
      <w:pPr>
        <w:spacing w:after="0" w:line="28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the value of our common stock.</w:t>
      </w:r>
    </w:p>
    <w:p>
      <w:pPr>
        <w:spacing w:after="0" w:line="55"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As a public company, the Sarbanes-Oxley Act requires that we maintain effective disclosure controls and procedures and internal control over financial reporting. We have developed disclosure controls and other procedures that are designed to ensure that information required to be disclosed by us in the reports that we file with the SEC is recorded, processed, summarized and reported within the time periods specified in SEC rules and regulations, and that information required to be disclosed in reports under the Exchange Act, is communicated to our principal executive and financial officers. Our current controls and any new controls that we develop may become inadequate and weaknesses in our internal control over financial reporting may be discovered in the future. We believe that any disclosure controls and procedures, no matter how well conceived and operated, can provide only reasonable, not absolute, assurance that the objectives of the control system are met. These inherent limitations reflect the reality that judgments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Any failure to maintain effective controls could negatively impact the results of periodic management evaluations and annual independent registered public accounting firm attestation reports regarding the effectiveness of our internal control over financial reporting that we will be required to include in periodic reports we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be unable to remain listed on the Nasdaq Global Market.</w:t>
      </w:r>
    </w:p>
    <w:p>
      <w:pPr>
        <w:spacing w:after="0" w:line="17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until the later of our second annual report or the first annual report we are required to file with the SEC following the date we are no longer an “emerging growth company,” as defined in the JOBS Act, depending on whether we choose to rely on certain exemptions set forth in the JOBS Act.</w:t>
      </w:r>
    </w:p>
    <w:p>
      <w:pPr>
        <w:spacing w:after="0" w:line="25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publish inaccurate or unfavorable research or reports about our business, our stock price and trading volume could decline.</w:t>
      </w:r>
    </w:p>
    <w:p>
      <w:pPr>
        <w:spacing w:after="0" w:line="5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trading market for our common stock depends, to some extent, on the research and reports that securities or industry analysts publish about us and our business. We do not have any control over these analysts. If one or more of the analysts who cover us downgrade our common stock or change their opinion of our common stock, our stock price would likely decline. If one or more of these analysts cease to cover us or fail to regularly publish reports on us, we could lose visibility in the financial markets, which could cause our stock price or trading volume to decline.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59" w:name="page60"/>
    <w:bookmarkEnd w:id="59"/>
    <w:p>
      <w:pPr>
        <w:spacing w:after="0"/>
        <w:tabs>
          <w:tab w:leader="none" w:pos="12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3" w:lineRule="exact"/>
        <w:rPr>
          <w:sz w:val="20"/>
          <w:szCs w:val="20"/>
          <w:color w:val="auto"/>
        </w:rPr>
      </w:pPr>
    </w:p>
    <w:p>
      <w:pPr>
        <w:jc w:val="both"/>
        <w:ind w:right="260"/>
        <w:spacing w:after="0" w:line="271" w:lineRule="auto"/>
        <w:rPr>
          <w:sz w:val="20"/>
          <w:szCs w:val="20"/>
          <w:color w:val="auto"/>
        </w:rPr>
      </w:pPr>
      <w:r>
        <w:rPr>
          <w:rFonts w:ascii="Arial" w:cs="Arial" w:eastAsia="Arial" w:hAnsi="Arial"/>
          <w:sz w:val="17"/>
          <w:szCs w:val="17"/>
          <w:color w:val="auto"/>
        </w:rPr>
        <w:t>We occupy an approximately 42,500 square foot facility in Malvern, Pennsylvania, under a lease that ends in February 2028, for our corporate headquarters, which includes office and warehouse space. We have an option to extend the lease for an additional five-year term. We believe that our existing facilities are adequate to meet our needs for the foreseeable future.</w:t>
      </w:r>
    </w:p>
    <w:p>
      <w:pPr>
        <w:spacing w:after="0" w:line="270"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270"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320" w:top="642" w:right="459"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7"/>
          <w:szCs w:val="17"/>
          <w:b w:val="1"/>
          <w:bCs w:val="1"/>
          <w:color w:val="auto"/>
        </w:rPr>
        <w:t>PART II</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Price</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common stock has been publicly traded on the Nasdaq Global Market under the symbol “STIM” since June 28, 2018. Prior to that time, there was no public market for our common stock. The shares of our common stock sold in our IPO on June 27, 2018 were priced at $17.00 per share.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February 25, 2021, there were approximately 146 holders of record of our common stock, solely based upon the count our transfer agent provided to us as of that date.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information regarding our existing equity compensation plans as of December 31, 2020:</w:t>
      </w:r>
    </w:p>
    <w:p>
      <w:pPr>
        <w:spacing w:after="0" w:line="193"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69"/>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89"/>
              <w:spacing w:after="0" w:line="143"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69"/>
              <w:spacing w:after="0" w:line="143"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auto"/>
                <w:w w:val="90"/>
              </w:rPr>
              <w:t>Available for</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69"/>
              <w:spacing w:after="0" w:line="143" w:lineRule="exact"/>
              <w:rPr>
                <w:sz w:val="20"/>
                <w:szCs w:val="20"/>
                <w:color w:val="auto"/>
              </w:rPr>
            </w:pPr>
            <w:r>
              <w:rPr>
                <w:rFonts w:ascii="Arial" w:cs="Arial" w:eastAsia="Arial" w:hAnsi="Arial"/>
                <w:sz w:val="14"/>
                <w:szCs w:val="14"/>
                <w:b w:val="1"/>
                <w:bCs w:val="1"/>
                <w:color w:val="auto"/>
                <w:w w:val="91"/>
              </w:rPr>
              <w:t>Future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Securities to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920" w:type="dxa"/>
            <w:vAlign w:val="bottom"/>
          </w:tcPr>
          <w:p>
            <w:pPr>
              <w:jc w:val="center"/>
              <w:ind w:left="169"/>
              <w:spacing w:after="0" w:line="143" w:lineRule="exact"/>
              <w:rPr>
                <w:sz w:val="20"/>
                <w:szCs w:val="20"/>
                <w:color w:val="auto"/>
              </w:rPr>
            </w:pPr>
            <w:r>
              <w:rPr>
                <w:rFonts w:ascii="Arial" w:cs="Arial" w:eastAsia="Arial" w:hAnsi="Arial"/>
                <w:sz w:val="14"/>
                <w:szCs w:val="14"/>
                <w:b w:val="1"/>
                <w:bCs w:val="1"/>
                <w:color w:val="auto"/>
                <w:w w:val="86"/>
              </w:rPr>
              <w:t>Issuance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3"/>
              </w:rPr>
              <w:t>be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94"/>
              </w:rPr>
              <w:t>Under Equity</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Upon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Average</w:t>
            </w:r>
          </w:p>
        </w:tc>
        <w:tc>
          <w:tcPr>
            <w:tcW w:w="124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tcPr>
          <w:p>
            <w:pPr>
              <w:jc w:val="center"/>
              <w:ind w:left="169"/>
              <w:spacing w:after="0" w:line="143" w:lineRule="exact"/>
              <w:rPr>
                <w:sz w:val="20"/>
                <w:szCs w:val="20"/>
                <w:color w:val="auto"/>
              </w:rPr>
            </w:pPr>
            <w:r>
              <w:rPr>
                <w:rFonts w:ascii="Arial" w:cs="Arial" w:eastAsia="Arial" w:hAnsi="Arial"/>
                <w:sz w:val="14"/>
                <w:szCs w:val="14"/>
                <w:b w:val="1"/>
                <w:bCs w:val="1"/>
                <w:color w:val="auto"/>
                <w:w w:val="85"/>
              </w:rPr>
              <w:t>Plans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9"/>
              </w:rPr>
              <w:t>Price of</w:t>
            </w:r>
          </w:p>
        </w:tc>
        <w:tc>
          <w:tcPr>
            <w:tcW w:w="920" w:type="dxa"/>
            <w:vAlign w:val="bottom"/>
          </w:tcPr>
          <w:p>
            <w:pPr>
              <w:jc w:val="center"/>
              <w:ind w:left="169"/>
              <w:spacing w:after="0" w:line="143" w:lineRule="exact"/>
              <w:rPr>
                <w:sz w:val="20"/>
                <w:szCs w:val="20"/>
                <w:color w:val="auto"/>
              </w:rPr>
            </w:pPr>
            <w:r>
              <w:rPr>
                <w:rFonts w:ascii="Arial" w:cs="Arial" w:eastAsia="Arial" w:hAnsi="Arial"/>
                <w:sz w:val="14"/>
                <w:szCs w:val="14"/>
                <w:b w:val="1"/>
                <w:bCs w:val="1"/>
                <w:color w:val="auto"/>
                <w:w w:val="89"/>
              </w:rPr>
              <w:t>(Excluding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9"/>
              </w:rPr>
              <w:t>Outstanding</w:t>
            </w:r>
          </w:p>
        </w:tc>
        <w:tc>
          <w:tcPr>
            <w:tcW w:w="920" w:type="dxa"/>
            <w:vAlign w:val="bottom"/>
          </w:tcPr>
          <w:p>
            <w:pPr>
              <w:jc w:val="center"/>
              <w:ind w:left="189"/>
              <w:spacing w:after="0" w:line="143"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Warrants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7"/>
              </w:rPr>
              <w:t>Options,</w:t>
            </w:r>
          </w:p>
        </w:tc>
        <w:tc>
          <w:tcPr>
            <w:tcW w:w="920" w:type="dxa"/>
            <w:vAlign w:val="bottom"/>
          </w:tcPr>
          <w:p>
            <w:pPr>
              <w:jc w:val="center"/>
              <w:ind w:left="169"/>
              <w:spacing w:after="0" w:line="143" w:lineRule="exact"/>
              <w:rPr>
                <w:sz w:val="20"/>
                <w:szCs w:val="20"/>
                <w:color w:val="auto"/>
              </w:rPr>
            </w:pPr>
            <w:r>
              <w:rPr>
                <w:rFonts w:ascii="Arial" w:cs="Arial" w:eastAsia="Arial" w:hAnsi="Arial"/>
                <w:sz w:val="14"/>
                <w:szCs w:val="14"/>
                <w:b w:val="1"/>
                <w:bCs w:val="1"/>
                <w:color w:val="auto"/>
                <w:w w:val="89"/>
              </w:rPr>
              <w:t>reflected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and Rights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5"/>
              </w:rPr>
              <w:t>Warrants</w:t>
            </w:r>
          </w:p>
        </w:tc>
        <w:tc>
          <w:tcPr>
            <w:tcW w:w="124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91"/>
              </w:rPr>
              <w:t>in Column (a)</w:t>
            </w: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88"/>
              </w:rPr>
              <w:t>and Rights</w:t>
            </w:r>
          </w:p>
        </w:tc>
        <w:tc>
          <w:tcPr>
            <w:tcW w:w="1240" w:type="dxa"/>
            <w:vAlign w:val="bottom"/>
            <w:gridSpan w:val="3"/>
          </w:tcPr>
          <w:p>
            <w:pPr>
              <w:jc w:val="center"/>
              <w:ind w:right="80"/>
              <w:spacing w:after="0" w:line="156" w:lineRule="exact"/>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166"/>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w:t>
            </w:r>
          </w:p>
        </w:tc>
        <w:tc>
          <w:tcPr>
            <w:tcW w:w="1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2,365</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jc w:val="right"/>
              <w:ind w:right="26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2"/>
              </w:rPr>
              <w:t>400</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6"/>
                <w:szCs w:val="16"/>
                <w:b w:val="1"/>
                <w:bCs w:val="1"/>
                <w:color w:val="auto"/>
              </w:rPr>
              <w:t>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2,365</w:t>
            </w:r>
          </w:p>
        </w:tc>
        <w:tc>
          <w:tcPr>
            <w:tcW w:w="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1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2,538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This number includes 400,000 shares available for issuance under the 2020 Inducement Incentive Plan</w:t>
      </w:r>
    </w:p>
    <w:p>
      <w:pPr>
        <w:spacing w:after="0" w:line="28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See “Item 15. Exhibits and Financial Statement Schedules — Notes to Financial Statements — Note 14. Share-Based Compensation and Note 15. Employee Benefit Plans” for additional information on compensation plans under which equity securities of the registrant are authorized for issuance without the approval of stockholders.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40"/>
          </w:cols>
          <w:pgMar w:left="320" w:top="330" w:right="439" w:bottom="1440" w:gutter="0" w:footer="0" w:header="0"/>
        </w:sectPr>
      </w:pPr>
    </w:p>
    <w:bookmarkStart w:id="61" w:name="page62"/>
    <w:bookmarkEnd w:id="61"/>
    <w:p>
      <w:pPr>
        <w:spacing w:after="0"/>
        <w:tabs>
          <w:tab w:leader="none" w:pos="14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123"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The following tables set forth, for the periods and as of the dates indicated, our selected historical financial data. The statements of operations data for the years ended December 31, 2020, 2019, and 2018 and the balance sheet data as of December 31, 2020 and 2019 are derived from our audited financial statements appearing at the end of this Annual Report on Form 10-K. The balance sheet data as of December 31, 2018 is derived from audited financial statements that do not appear at the end of this Annual Report on Form 10-K. You should read this data together with the more detailed information contained in our audited financial statements and the related notes thereto and in “Management’s Discussion and Analysis of Financial Condition and Results of Operations” included elsewhere in this Annual Report on Form 10-K. Our historical results are not necessarily indicative of the results that should be expected in the future.</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left="503"/>
              <w:spacing w:after="0"/>
              <w:rPr>
                <w:sz w:val="20"/>
                <w:szCs w:val="20"/>
                <w:color w:val="auto"/>
              </w:rPr>
            </w:pPr>
            <w:r>
              <w:rPr>
                <w:rFonts w:ascii="Arial" w:cs="Arial" w:eastAsia="Arial" w:hAnsi="Arial"/>
                <w:sz w:val="14"/>
                <w:szCs w:val="14"/>
                <w:b w:val="1"/>
                <w:bCs w:val="1"/>
                <w:color w:val="auto"/>
                <w:w w:val="87"/>
              </w:rPr>
              <w:t>Years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2060" w:type="dxa"/>
            <w:vAlign w:val="bottom"/>
            <w:tcBorders>
              <w:bottom w:val="single" w:sz="8" w:color="CFF0FC"/>
            </w:tcBorders>
          </w:tcPr>
          <w:p>
            <w:pPr>
              <w:spacing w:after="0"/>
              <w:rPr>
                <w:sz w:val="12"/>
                <w:szCs w:val="12"/>
                <w:color w:val="auto"/>
              </w:rPr>
            </w:pPr>
          </w:p>
        </w:tc>
        <w:tc>
          <w:tcPr>
            <w:tcW w:w="11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3"/>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63"/>
              <w:spacing w:after="0" w:line="149"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3"/>
              <w:spacing w:after="0" w:line="14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00" w:type="dxa"/>
            <w:vAlign w:val="bottom"/>
            <w:tcBorders>
              <w:bottom w:val="single" w:sz="8" w:color="auto"/>
            </w:tcBorders>
            <w:gridSpan w:val="2"/>
            <w:shd w:val="clear" w:color="auto" w:fill="CFF0FC"/>
          </w:tcPr>
          <w:p>
            <w:pPr>
              <w:spacing w:after="0" w:line="162" w:lineRule="exact"/>
              <w:rPr>
                <w:sz w:val="20"/>
                <w:szCs w:val="20"/>
                <w:color w:val="auto"/>
              </w:rPr>
            </w:pPr>
            <w:r>
              <w:rPr>
                <w:rFonts w:ascii="Arial" w:cs="Arial" w:eastAsia="Arial" w:hAnsi="Arial"/>
                <w:sz w:val="16"/>
                <w:szCs w:val="16"/>
                <w:b w:val="1"/>
                <w:bCs w:val="1"/>
                <w:color w:val="auto"/>
                <w:w w:val="86"/>
              </w:rPr>
              <w:t>Statements of Operations Data:</w:t>
            </w:r>
          </w:p>
        </w:tc>
        <w:tc>
          <w:tcPr>
            <w:tcW w:w="206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spacing w:after="0"/>
              <w:rPr>
                <w:sz w:val="20"/>
                <w:szCs w:val="20"/>
                <w:color w:val="auto"/>
              </w:rPr>
            </w:pPr>
            <w:r>
              <w:rPr>
                <w:rFonts w:ascii="Arial" w:cs="Arial" w:eastAsia="Arial" w:hAnsi="Arial"/>
                <w:sz w:val="16"/>
                <w:szCs w:val="16"/>
                <w:color w:val="auto"/>
              </w:rPr>
              <w:t>Revenues</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49,244</w:t>
            </w:r>
          </w:p>
        </w:tc>
        <w:tc>
          <w:tcPr>
            <w:tcW w:w="10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62,656</w:t>
            </w:r>
          </w:p>
        </w:tc>
        <w:tc>
          <w:tcPr>
            <w:tcW w:w="14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52,776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1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11,554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15,389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Borders>
              <w:bottom w:val="single" w:sz="8" w:color="CFF0FC"/>
            </w:tcBorders>
            <w:gridSpan w:val="3"/>
          </w:tcPr>
          <w:p>
            <w:pPr>
              <w:ind w:left="700"/>
              <w:spacing w:after="0"/>
              <w:rPr>
                <w:sz w:val="20"/>
                <w:szCs w:val="20"/>
                <w:color w:val="auto"/>
              </w:rPr>
            </w:pPr>
            <w:r>
              <w:rPr>
                <w:rFonts w:ascii="Arial" w:cs="Arial" w:eastAsia="Arial" w:hAnsi="Arial"/>
                <w:sz w:val="16"/>
                <w:szCs w:val="16"/>
                <w:color w:val="auto"/>
              </w:rPr>
              <w:t>Gross Profit</w:t>
            </w:r>
          </w:p>
        </w:tc>
        <w:tc>
          <w:tcPr>
            <w:tcW w:w="1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37,690</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40,329</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ind w:left="22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32,562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38,264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6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18,236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tcBorders>
              <w:bottom w:val="single" w:sz="8" w:color="CFF0FC"/>
            </w:tcBorders>
            <w:gridSpan w:val="3"/>
          </w:tcPr>
          <w:p>
            <w:pPr>
              <w:ind w:left="220"/>
              <w:spacing w:after="0"/>
              <w:rPr>
                <w:sz w:val="20"/>
                <w:szCs w:val="20"/>
                <w:color w:val="auto"/>
              </w:rPr>
            </w:pPr>
            <w:r>
              <w:rPr>
                <w:rFonts w:ascii="Arial" w:cs="Arial" w:eastAsia="Arial" w:hAnsi="Arial"/>
                <w:sz w:val="16"/>
                <w:szCs w:val="16"/>
                <w:color w:val="auto"/>
              </w:rPr>
              <w:t>Research and development</w:t>
            </w:r>
          </w:p>
        </w:tc>
        <w:tc>
          <w:tcPr>
            <w:tcW w:w="1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9,201</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8,232</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gridSpan w:val="3"/>
            <w:shd w:val="clear" w:color="auto" w:fill="CFF0FC"/>
          </w:tcPr>
          <w:p>
            <w:pPr>
              <w:ind w:left="460"/>
              <w:spacing w:after="0"/>
              <w:rPr>
                <w:sz w:val="20"/>
                <w:szCs w:val="20"/>
                <w:color w:val="auto"/>
              </w:rPr>
            </w:pPr>
            <w:r>
              <w:rPr>
                <w:rFonts w:ascii="Arial" w:cs="Arial" w:eastAsia="Arial" w:hAnsi="Arial"/>
                <w:sz w:val="16"/>
                <w:szCs w:val="16"/>
                <w:color w:val="auto"/>
              </w:rPr>
              <w:t>Total operating expenses</w:t>
            </w:r>
          </w:p>
        </w:tc>
        <w:tc>
          <w:tcPr>
            <w:tcW w:w="1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59,999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74,197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60" w:type="dxa"/>
            <w:vAlign w:val="bottom"/>
            <w:gridSpan w:val="3"/>
          </w:tcPr>
          <w:p>
            <w:pPr>
              <w:ind w:left="700"/>
              <w:spacing w:after="0"/>
              <w:rPr>
                <w:sz w:val="20"/>
                <w:szCs w:val="20"/>
                <w:color w:val="auto"/>
              </w:rPr>
            </w:pPr>
            <w:r>
              <w:rPr>
                <w:rFonts w:ascii="Arial" w:cs="Arial" w:eastAsia="Arial" w:hAnsi="Arial"/>
                <w:sz w:val="16"/>
                <w:szCs w:val="16"/>
                <w:color w:val="auto"/>
              </w:rPr>
              <w:t>Loss from Operations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(22,309)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(26,930)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(19,834)</w:t>
            </w:r>
          </w:p>
        </w:tc>
        <w:tc>
          <w:tcPr>
            <w:tcW w:w="0" w:type="dxa"/>
            <w:vAlign w:val="bottom"/>
          </w:tcPr>
          <w:p>
            <w:pPr>
              <w:spacing w:after="0"/>
              <w:rPr>
                <w:sz w:val="1"/>
                <w:szCs w:val="1"/>
                <w:color w:val="auto"/>
              </w:rPr>
            </w:pPr>
          </w:p>
        </w:tc>
      </w:tr>
      <w:tr>
        <w:trPr>
          <w:trHeight w:val="204"/>
        </w:trPr>
        <w:tc>
          <w:tcPr>
            <w:tcW w:w="41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ind w:left="220"/>
              <w:spacing w:after="0"/>
              <w:rPr>
                <w:sz w:val="20"/>
                <w:szCs w:val="20"/>
                <w:color w:val="auto"/>
              </w:rPr>
            </w:pPr>
            <w:r>
              <w:rPr>
                <w:rFonts w:ascii="Arial" w:cs="Arial" w:eastAsia="Arial" w:hAnsi="Arial"/>
                <w:sz w:val="16"/>
                <w:szCs w:val="16"/>
                <w:color w:val="auto"/>
              </w:rPr>
              <w:t>Interest expense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6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Loss on extinguishment of debt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ind w:left="220"/>
              <w:spacing w:after="0"/>
              <w:rPr>
                <w:sz w:val="20"/>
                <w:szCs w:val="20"/>
                <w:color w:val="auto"/>
              </w:rPr>
            </w:pPr>
            <w:r>
              <w:rPr>
                <w:rFonts w:ascii="Arial" w:cs="Arial" w:eastAsia="Arial" w:hAnsi="Arial"/>
                <w:sz w:val="16"/>
                <w:szCs w:val="16"/>
                <w:color w:val="auto"/>
              </w:rPr>
              <w:t>Other (income) expense, net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(1,571)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gridSpan w:val="3"/>
            <w:vMerge w:val="restart"/>
            <w:shd w:val="clear" w:color="auto" w:fill="CFF0FC"/>
          </w:tcPr>
          <w:p>
            <w:pPr>
              <w:ind w:left="70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60" w:type="dxa"/>
            <w:vAlign w:val="bottom"/>
            <w:gridSpan w:val="3"/>
            <w:vMerge w:val="continue"/>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(27,453)</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(29,044)</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(24,097)</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6"/>
                <w:szCs w:val="16"/>
                <w:color w:val="auto"/>
              </w:rPr>
              <w:t>Net loss per share of common stock outstanding,</w:t>
            </w: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16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160" w:type="dxa"/>
            <w:vAlign w:val="bottom"/>
            <w:gridSpan w:val="3"/>
          </w:tcPr>
          <w:p>
            <w:pPr>
              <w:ind w:left="100"/>
              <w:spacing w:after="0"/>
              <w:rPr>
                <w:sz w:val="20"/>
                <w:szCs w:val="20"/>
                <w:color w:val="auto"/>
              </w:rPr>
            </w:pPr>
            <w:r>
              <w:rPr>
                <w:rFonts w:ascii="Arial" w:cs="Arial" w:eastAsia="Arial" w:hAnsi="Arial"/>
                <w:sz w:val="16"/>
                <w:szCs w:val="16"/>
                <w:color w:val="auto"/>
              </w:rPr>
              <w:t>basic and diluted</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(1.46)</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(1.58)</w:t>
            </w: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81"/>
        </w:trPr>
        <w:tc>
          <w:tcPr>
            <w:tcW w:w="4160" w:type="dxa"/>
            <w:vAlign w:val="bottom"/>
            <w:tcBorders>
              <w:top w:val="single" w:sz="8" w:color="CFF0FC"/>
            </w:tcBorders>
            <w:gridSpan w:val="3"/>
            <w:shd w:val="clear" w:color="auto" w:fill="CFF0FC"/>
          </w:tcPr>
          <w:p>
            <w:pPr>
              <w:spacing w:after="0" w:line="181" w:lineRule="exact"/>
              <w:rPr>
                <w:sz w:val="20"/>
                <w:szCs w:val="20"/>
                <w:color w:val="auto"/>
              </w:rPr>
            </w:pPr>
            <w:r>
              <w:rPr>
                <w:rFonts w:ascii="Arial" w:cs="Arial" w:eastAsia="Arial" w:hAnsi="Arial"/>
                <w:sz w:val="16"/>
                <w:szCs w:val="16"/>
                <w:color w:val="auto"/>
              </w:rPr>
              <w:t>Weighted-average common shares outstanding,</w:t>
            </w:r>
          </w:p>
        </w:tc>
        <w:tc>
          <w:tcPr>
            <w:tcW w:w="11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60" w:type="dxa"/>
            <w:vAlign w:val="bottom"/>
            <w:tcBorders>
              <w:bottom w:val="single" w:sz="8" w:color="CFF0FC"/>
            </w:tcBorders>
            <w:gridSpan w:val="3"/>
            <w:shd w:val="clear" w:color="auto" w:fill="CFF0FC"/>
          </w:tcPr>
          <w:p>
            <w:pPr>
              <w:ind w:left="100"/>
              <w:spacing w:after="0"/>
              <w:rPr>
                <w:sz w:val="20"/>
                <w:szCs w:val="20"/>
                <w:color w:val="auto"/>
              </w:rPr>
            </w:pPr>
            <w:r>
              <w:rPr>
                <w:rFonts w:ascii="Arial" w:cs="Arial" w:eastAsia="Arial" w:hAnsi="Arial"/>
                <w:sz w:val="16"/>
                <w:szCs w:val="16"/>
                <w:color w:val="auto"/>
              </w:rPr>
              <w:t>basic and diluted</w:t>
            </w:r>
          </w:p>
        </w:tc>
        <w:tc>
          <w:tcPr>
            <w:tcW w:w="1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18,835</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18,380</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8,948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As of December 31,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2060" w:type="dxa"/>
            <w:vAlign w:val="bottom"/>
            <w:tcBorders>
              <w:bottom w:val="single" w:sz="8" w:color="CFF0FC"/>
            </w:tcBorders>
          </w:tcPr>
          <w:p>
            <w:pPr>
              <w:spacing w:after="0"/>
              <w:rPr>
                <w:sz w:val="12"/>
                <w:szCs w:val="12"/>
                <w:color w:val="auto"/>
              </w:rPr>
            </w:pPr>
          </w:p>
        </w:tc>
        <w:tc>
          <w:tcPr>
            <w:tcW w:w="11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3"/>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63"/>
              <w:spacing w:after="0" w:line="149"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3"/>
              <w:spacing w:after="0" w:line="14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40" w:type="dxa"/>
            <w:vAlign w:val="bottom"/>
            <w:tcBorders>
              <w:bottom w:val="single" w:sz="8" w:color="auto"/>
            </w:tcBorders>
            <w:shd w:val="clear" w:color="auto" w:fill="CFF0FC"/>
          </w:tcPr>
          <w:p>
            <w:pPr>
              <w:spacing w:after="0" w:line="162" w:lineRule="exact"/>
              <w:rPr>
                <w:sz w:val="20"/>
                <w:szCs w:val="20"/>
                <w:color w:val="auto"/>
              </w:rPr>
            </w:pPr>
            <w:r>
              <w:rPr>
                <w:rFonts w:ascii="Arial" w:cs="Arial" w:eastAsia="Arial" w:hAnsi="Arial"/>
                <w:sz w:val="16"/>
                <w:szCs w:val="16"/>
                <w:b w:val="1"/>
                <w:bCs w:val="1"/>
                <w:color w:val="auto"/>
                <w:w w:val="85"/>
              </w:rPr>
              <w:t>Balance Sheet Data:</w:t>
            </w:r>
          </w:p>
        </w:tc>
        <w:tc>
          <w:tcPr>
            <w:tcW w:w="2820" w:type="dxa"/>
            <w:vAlign w:val="bottom"/>
            <w:tcBorders>
              <w:bottom w:val="single" w:sz="8" w:color="CFF0FC"/>
            </w:tcBorders>
            <w:gridSpan w:val="2"/>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48,957</w:t>
            </w:r>
          </w:p>
        </w:tc>
        <w:tc>
          <w:tcPr>
            <w:tcW w:w="10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75,708</w:t>
            </w:r>
          </w:p>
        </w:tc>
        <w:tc>
          <w:tcPr>
            <w:tcW w:w="140" w:type="dxa"/>
            <w:vAlign w:val="bottom"/>
          </w:tcPr>
          <w:p>
            <w:pPr>
              <w:spacing w:after="0"/>
              <w:rPr>
                <w:sz w:val="17"/>
                <w:szCs w:val="17"/>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29,147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51,330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78,657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100,168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Current portion of long-term debt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spacing w:after="0"/>
              <w:rPr>
                <w:sz w:val="20"/>
                <w:szCs w:val="20"/>
                <w:color w:val="auto"/>
              </w:rPr>
            </w:pPr>
            <w:r>
              <w:rPr>
                <w:rFonts w:ascii="Arial" w:cs="Arial" w:eastAsia="Arial" w:hAnsi="Arial"/>
                <w:sz w:val="16"/>
                <w:szCs w:val="16"/>
                <w:color w:val="auto"/>
              </w:rPr>
              <w:t>Long-term debt, net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 warrant liability</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gridSpan w:val="3"/>
          </w:tcPr>
          <w:p>
            <w:pPr>
              <w:spacing w:after="0"/>
              <w:rPr>
                <w:sz w:val="20"/>
                <w:szCs w:val="20"/>
                <w:color w:val="auto"/>
              </w:rPr>
            </w:pPr>
            <w:r>
              <w:rPr>
                <w:rFonts w:ascii="Arial" w:cs="Arial" w:eastAsia="Arial" w:hAnsi="Arial"/>
                <w:sz w:val="16"/>
                <w:szCs w:val="16"/>
                <w:color w:val="auto"/>
              </w:rPr>
              <w:t>Convertible preferred stock</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187,136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(277,540)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(250,087)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(196,946)</w:t>
            </w:r>
          </w:p>
        </w:tc>
        <w:tc>
          <w:tcPr>
            <w:tcW w:w="0" w:type="dxa"/>
            <w:vAlign w:val="bottom"/>
          </w:tcPr>
          <w:p>
            <w:pPr>
              <w:spacing w:after="0"/>
              <w:rPr>
                <w:sz w:val="1"/>
                <w:szCs w:val="1"/>
                <w:color w:val="auto"/>
              </w:rPr>
            </w:pPr>
          </w:p>
        </w:tc>
      </w:tr>
      <w:tr>
        <w:trPr>
          <w:trHeight w:val="202"/>
        </w:trPr>
        <w:tc>
          <w:tcPr>
            <w:tcW w:w="4160" w:type="dxa"/>
            <w:vAlign w:val="bottom"/>
            <w:gridSpan w:val="3"/>
          </w:tcPr>
          <w:p>
            <w:pPr>
              <w:spacing w:after="0"/>
              <w:rPr>
                <w:sz w:val="20"/>
                <w:szCs w:val="20"/>
                <w:color w:val="auto"/>
              </w:rPr>
            </w:pPr>
            <w:r>
              <w:rPr>
                <w:rFonts w:ascii="Arial" w:cs="Arial" w:eastAsia="Arial" w:hAnsi="Arial"/>
                <w:sz w:val="16"/>
                <w:szCs w:val="16"/>
                <w:color w:val="auto"/>
              </w:rPr>
              <w:t>Total stockholders’ equity (deficit)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47,852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(192,652)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080"/>
          </w:cols>
          <w:pgMar w:left="320" w:top="329" w:right="499" w:bottom="1440" w:gutter="0" w:footer="0" w:header="0"/>
        </w:sectPr>
      </w:pPr>
    </w:p>
    <w:bookmarkStart w:id="62" w:name="page63"/>
    <w:bookmarkEnd w:id="62"/>
    <w:p>
      <w:pPr>
        <w:spacing w:after="0"/>
        <w:tabs>
          <w:tab w:leader="none" w:pos="14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23"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audited financial statements and related notes thereto and other financial information included elsewhere in this Annual Report on Form 10-K. In addition to historical financial information, some of the information contained in the following discussion and analysis contains forward-looking statements that involve risks, uncertainties and assumptions. You should review the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safe, clinically effective, reproducible and precise and we believe is supported by the largest clinical data set of any competing TMS system. We believe we are the market leader in TMS therapy based on our U.S. installed base of 1,170 active NeuroStar Advanced Therapy Systems in approximately 916 psychiatrist offices as of December 31, 2020 and the estimated 100,231 patients treated with approximately 3.6 million of our treatment sessions through such date. We generated revenues of $49.2 million and $62.7 million for the years ended December 31, 2020 and 2019, respectively.</w:t>
      </w:r>
    </w:p>
    <w:p>
      <w:pPr>
        <w:spacing w:after="0" w:line="15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designed the NeuroStar Advanced Therapy System as a non-invasive therapeutic alternative to treat patients who suffer from MDD and to address many of the key limitations of existing treatment options. We generate revenues from initial capital sales of our systems, sales of our recurring treatment sessions and from service and repair and extended warranty contracts. We derive the majority of our revenues from recurring treatment sessions. For the year ended December 31, 2020, revenues from sales of our treatment sessions and NeuroStar Advanced Therapy Systems represented 73% and 23% of our U.S. revenues, respectively. For the year ended December 31, 2019, revenues from sales of our treatment sessions and NeuroStar Advanced Therapy Systems represented 68% and 30% of our U.S. revenues, respectively.</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currently sell our NeuroStar Advanced Therapy System and recurring treatment sessions in the United States through our sales and customer support team. Our sales force targets an estimated 50,000 psychiatrists across 26,000 practices that we estimate, based on data from Symphony Health and our own internal estimates, treat approximately 42% of the total MDD patients in the United States who meet our labeled indication and are insured. We expect to continue to expand our direct sales and customer support team to further penetrate the market by demonstrating the benefits of our NeuroStar Advanced Therapy to psychiatrists and their MDD patients. Some of our customers have and may purchase more than one NeuroStar Advanced Therapy System. Based on our commercial data, we believe psychiatrists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One customer accounted for more than 10% of our revenues for the year ended December 31, 2020 and no customer accounted for more than 10% of our revenues for the year ended December 31, 2019. Patients are reimbursed by Medicare and the vast majority of commercial payors in the United States for treatment sessions utilizing our NeuroStar Advanced Therapy System.</w:t>
      </w:r>
    </w:p>
    <w:p>
      <w:pPr>
        <w:spacing w:after="0" w:line="173"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We market our products in a few select markets outside the United States through independent distributors. International revenues represented 4% and 3% of our total revenues for the years ended December 31, 2020 and 2019,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We obtained reimbursement coverage for NeuroStar Advanced Therapy in Japan, which went into effect on June 1, 2019 and covers patients who are treated in the largest inpatient and outpatient psychiatric facilities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in Japan. We expect our international revenues to increase as a percentage of our total revenues as we grow our presence in Japan.</w:t>
      </w:r>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research and development efforts are focused on the following: hardware and software product developments and enhancements of our NeuroStar Advanced Therapy System and clinical development relating to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79"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Our total revenues decreased by $13.4 million, or 21%, from $62.7 million for the year ended December 31, 2019 to $49.2 million for the year ended December 31, 2020. For the year ended December 31, 2020, our U.S. revenues were $47.5 million, compared to $60.8 million for the year ended December 31, 2019, which represented a decrease of 22% period over period. We expect to continue to incur losses for the next several years as we expand our commercial organization to support our planned sales growth and while continuing to invest in our pipeline indications. As of December 31, 2020, we had an accumulated deficit of $277.5 million.</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July 2, 2018, we closed our IPO in which we issued and sold 6,325,000 shares of our common stock, which included shares sold pursuant to an option granted to the underwriters to purchase additional shares, at a public offering price of $17.00 per share. We received net proceeds $96.5 million after deducting underwriting discounts, commissions and other offering expenses paid by us. Our common stock is listed on the Nasdaq Global Market under the trading symbol “STIM.” Our primary sources of capital to date have been from our IPO, private placements of our convertible preferred securities, borrowings under our credit facilities and revenues from sales of our products.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w:t>
      </w:r>
    </w:p>
    <w:p>
      <w:pPr>
        <w:spacing w:after="0" w:line="7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Throughout 2020, the Company experienced a material impact to revenue, particularly with regards to U.S. treatment session revenues as a result of the COVID-19 pandemic. The Company expects that capital equipment sales and treatment session revenues will continue to be materially impacted by this pandemic as customers are deferring capital purchase decisions, and new patient treatment starts and system utilization have declined compared to pre-COVID-19 projections.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Offering</w:t>
      </w:r>
    </w:p>
    <w:p>
      <w:pPr>
        <w:spacing w:after="0" w:line="22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February 2, 2021, we closed on our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approximately $80.6 million after deducting underwriting discounts, commissions and estimated offering expenses. The Company intends to use the net proceeds of the offering for general corporate purposes, including working capital, research and development, marketing and evaluating new clinical indications.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59"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b w:val="1"/>
          <w:bCs w:val="1"/>
          <w:i w:val="1"/>
          <w:iCs w:val="1"/>
          <w:u w:val="single" w:color="auto"/>
          <w:color w:val="auto"/>
        </w:rPr>
        <w:t>NeuroStar Advanced Therapy System Revenues</w:t>
      </w:r>
      <w:r>
        <w:rPr>
          <w:rFonts w:ascii="Arial" w:cs="Arial" w:eastAsia="Arial" w:hAnsi="Arial"/>
          <w:sz w:val="17"/>
          <w:szCs w:val="17"/>
          <w:color w:val="auto"/>
        </w:rPr>
        <w:t>. NeuroStar Advanced Therapy System revenues consist primarily of sales or rentals of a capital component,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upgrades to the equipment attributable to the initial sale of the system. NeuroStar Advanced Therapy Systems can be purchased outright or on a rent-to-own basis by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4" w:name="page65"/>
    <w:bookmarkEnd w:id="64"/>
    <w:p>
      <w:pPr>
        <w:spacing w:after="0"/>
        <w:rPr>
          <w:sz w:val="20"/>
          <w:szCs w:val="20"/>
          <w:color w:val="auto"/>
        </w:rPr>
      </w:pPr>
      <w:r>
        <w:rPr>
          <w:rFonts w:ascii="Arial" w:cs="Arial" w:eastAsia="Arial" w:hAnsi="Arial"/>
          <w:sz w:val="15"/>
          <w:szCs w:val="15"/>
          <w:color w:val="auto"/>
        </w:rPr>
        <w:t>certain customers. We had an installed base of 1,170 and 1,085 active NeuroStar Advanced Therapy Systems as of December 31, 2020 and 2019, respectively.</w:t>
      </w:r>
    </w:p>
    <w:p>
      <w:pPr>
        <w:spacing w:after="0" w:line="24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u w:val="single" w:color="auto"/>
          <w:color w:val="auto"/>
        </w:rPr>
        <w:t>Treatment Session Revenues</w:t>
      </w:r>
      <w:r>
        <w:rPr>
          <w:rFonts w:ascii="Arial" w:cs="Arial" w:eastAsia="Arial" w:hAnsi="Arial"/>
          <w:sz w:val="16"/>
          <w:szCs w:val="16"/>
          <w:color w:val="auto"/>
        </w:rPr>
        <w:t>. Treatment session revenues primarily include sales of NeuroStar Treatment Sessions and SenStar treatment links. The NeuroStar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62"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i w:val="1"/>
          <w:iCs w:val="1"/>
          <w:u w:val="single" w:color="auto"/>
          <w:color w:val="auto"/>
        </w:rPr>
        <w:t>Other Revenues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Other revenues are derived primarily from service and repair extended warranty contracts with our existing customers.</w:t>
      </w:r>
    </w:p>
    <w:p>
      <w:pPr>
        <w:spacing w:after="0" w:line="2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refer you to the section titled “—Critical Accounting Policies and Use of Estimates—Revenue Recognition” appearing elsewhere in this Annual Report on Form 10-K for additional information regarding how we account for revenues.</w:t>
      </w:r>
    </w:p>
    <w:p>
      <w:pPr>
        <w:spacing w:after="0" w:line="159"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Sales in the United States represented 96% and 97% of our total revenues for the years ending December 31, 2020 and 2019, respectively, and have been generated by our direct sales force. Outside the United States, our sales are made through local third-party distributors. International revenues were 4% and 3% for the years ended December 31, 2020 and 2019, respectively. We expect that both our United States and international revenues will increase in the near term as we continue to expand the installed base of NeuroStar Advanced Therapy Systems and increase the related patient utilization in the United States, as well as grow our presence in Japan. We expect our revenues to be positively impacted to the extent our direct sales force is successful in increasing the rate of adoption and utilization of treatment with TMS Therapy as an alternative to other MDD treatments.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 and Gross Margin</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79"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television and radio media campaigns, travel and training expenses.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ind w:right="60"/>
        <w:spacing w:after="0" w:line="271" w:lineRule="auto"/>
        <w:rPr>
          <w:sz w:val="20"/>
          <w:szCs w:val="20"/>
          <w:color w:val="auto"/>
        </w:rPr>
      </w:pPr>
      <w:r>
        <w:rPr>
          <w:rFonts w:ascii="Arial" w:cs="Arial" w:eastAsia="Arial" w:hAnsi="Arial"/>
          <w:sz w:val="17"/>
          <w:szCs w:val="17"/>
          <w:color w:val="auto"/>
        </w:rPr>
        <w:t>We anticipate that our sales and marketing expenses will increase as we continue to execute on our growth initiatives and expand our business in the United States. The increase in sales and marketing expense from growth initiatives will be partially offset by a decrease in costs related to personnel expenses as a result of reduction in commercial headcount due to the company’s reduction in force announced in April 2020.</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our general and administrative expenses will increase modestly in fiscal year 2021.</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62"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remain similar to our fiscal year 2020 expenses.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21" w:lineRule="exact"/>
        <w:rPr>
          <w:sz w:val="20"/>
          <w:szCs w:val="20"/>
          <w:color w:val="auto"/>
        </w:rPr>
      </w:pPr>
    </w:p>
    <w:p>
      <w:pPr>
        <w:ind w:right="760"/>
        <w:spacing w:after="0" w:line="286" w:lineRule="auto"/>
        <w:rPr>
          <w:sz w:val="20"/>
          <w:szCs w:val="20"/>
          <w:color w:val="auto"/>
        </w:rPr>
      </w:pPr>
      <w:r>
        <w:rPr>
          <w:rFonts w:ascii="Arial" w:cs="Arial" w:eastAsia="Arial" w:hAnsi="Arial"/>
          <w:sz w:val="17"/>
          <w:szCs w:val="17"/>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Other income, net consists primarily of interest income earned on our money market account balances.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2020 and 2019</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3"/>
              </w:rPr>
              <w:t>Years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Increase / (Decrease)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Dollars</w:t>
            </w:r>
          </w:p>
        </w:tc>
        <w:tc>
          <w:tcPr>
            <w:tcW w:w="860" w:type="dxa"/>
            <w:vAlign w:val="bottom"/>
            <w:tcBorders>
              <w:top w:val="single" w:sz="8" w:color="auto"/>
              <w:bottom w:val="single" w:sz="8" w:color="auto"/>
            </w:tcBorders>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Percentage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(in thousands, except percentages)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49,244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62,656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(13,412)</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ind w:left="580"/>
              <w:spacing w:after="0"/>
              <w:rPr>
                <w:sz w:val="20"/>
                <w:szCs w:val="20"/>
                <w:color w:val="auto"/>
              </w:rPr>
            </w:pPr>
            <w:r>
              <w:rPr>
                <w:rFonts w:ascii="Arial" w:cs="Arial" w:eastAsia="Arial" w:hAnsi="Arial"/>
                <w:sz w:val="17"/>
                <w:szCs w:val="17"/>
                <w:color w:val="auto"/>
              </w:rPr>
              <w:t>Cost of revenues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11,554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15,389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(3,835)</w:t>
            </w: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shd w:val="clear" w:color="auto" w:fill="CFF0FC"/>
          </w:tcPr>
          <w:p>
            <w:pPr>
              <w:ind w:left="700"/>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37,690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47,267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(9,577)</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tcPr>
          <w:p>
            <w:pPr>
              <w:ind w:left="700"/>
              <w:spacing w:after="0"/>
              <w:rPr>
                <w:sz w:val="20"/>
                <w:szCs w:val="20"/>
                <w:color w:val="auto"/>
              </w:rPr>
            </w:pPr>
            <w:r>
              <w:rPr>
                <w:rFonts w:ascii="Arial" w:cs="Arial" w:eastAsia="Arial" w:hAnsi="Arial"/>
                <w:sz w:val="17"/>
                <w:szCs w:val="17"/>
                <w:i w:val="1"/>
                <w:iCs w:val="1"/>
                <w:color w:val="auto"/>
              </w:rPr>
              <w:t>Gross Margin</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7"/>
                <w:szCs w:val="17"/>
                <w:i w:val="1"/>
                <w:iCs w:val="1"/>
                <w:color w:val="auto"/>
              </w:rPr>
              <w:t>76.5%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i w:val="1"/>
                <w:iCs w:val="1"/>
                <w:color w:val="auto"/>
              </w:rPr>
              <w:t>75.4%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32,562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42,993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(10,431)</w:t>
            </w: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17,457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9,201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(4,546)</w:t>
            </w: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59,999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74,197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(14,198)</w:t>
            </w: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tcPr>
          <w:p>
            <w:pPr>
              <w:ind w:left="700"/>
              <w:spacing w:after="0"/>
              <w:rPr>
                <w:sz w:val="20"/>
                <w:szCs w:val="20"/>
                <w:color w:val="auto"/>
              </w:rPr>
            </w:pPr>
            <w:r>
              <w:rPr>
                <w:rFonts w:ascii="Arial" w:cs="Arial" w:eastAsia="Arial" w:hAnsi="Arial"/>
                <w:sz w:val="17"/>
                <w:szCs w:val="17"/>
                <w:color w:val="auto"/>
              </w:rPr>
              <w:t>Loss from Operations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(22,309)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(26,930)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3,685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Loss on extinguishment of debt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7"/>
                <w:szCs w:val="17"/>
                <w:color w:val="auto"/>
              </w:rPr>
              <w:t>Other income, net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(1,571)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81%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shd w:val="clear" w:color="auto" w:fill="CFF0FC"/>
          </w:tcPr>
          <w:p>
            <w:pPr>
              <w:ind w:left="700"/>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vMerge w:val="continue"/>
            <w:shd w:val="clear" w:color="auto" w:fill="CFF0FC"/>
          </w:tcPr>
          <w:p>
            <w:pPr>
              <w:spacing w:after="0"/>
              <w:rPr>
                <w:sz w:val="18"/>
                <w:szCs w:val="18"/>
                <w:color w:val="auto"/>
              </w:rPr>
            </w:pPr>
          </w:p>
        </w:tc>
        <w:tc>
          <w:tcPr>
            <w:tcW w:w="400" w:type="dxa"/>
            <w:vAlign w:val="bottom"/>
            <w:gridSpan w:val="3"/>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(27,453)</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(29,044)</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7"/>
              </w:rPr>
              <w:t>Revenues by Geography</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4"/>
                <w:szCs w:val="14"/>
                <w:b w:val="1"/>
                <w:bCs w:val="1"/>
                <w:color w:val="auto"/>
                <w:w w:val="87"/>
              </w:rPr>
              <w:t>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5"/>
          </w:tcPr>
          <w:p>
            <w:pPr>
              <w:ind w:left="800"/>
              <w:spacing w:after="0" w:line="149"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9"/>
              </w:rPr>
              <w:t>2019</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40"/>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tcPr>
          <w:p>
            <w:pPr>
              <w:jc w:val="center"/>
              <w:ind w:right="118"/>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7"/>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(in thousands, except percentages)</w:t>
            </w: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4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47,519</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96%</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60,760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ind w:left="580"/>
              <w:spacing w:after="0"/>
              <w:rPr>
                <w:sz w:val="20"/>
                <w:szCs w:val="20"/>
                <w:color w:val="auto"/>
              </w:rPr>
            </w:pPr>
            <w:r>
              <w:rPr>
                <w:rFonts w:ascii="Arial" w:cs="Arial" w:eastAsia="Arial" w:hAnsi="Arial"/>
                <w:sz w:val="17"/>
                <w:szCs w:val="17"/>
                <w:color w:val="auto"/>
              </w:rPr>
              <w:t>International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1,725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 revenues</w:t>
            </w:r>
          </w:p>
        </w:tc>
        <w:tc>
          <w:tcPr>
            <w:tcW w:w="220" w:type="dxa"/>
            <w:vAlign w:val="bottom"/>
            <w:gridSpan w:val="2"/>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vMerge w:val="continue"/>
            <w:shd w:val="clear" w:color="auto" w:fill="CFF0FC"/>
          </w:tcPr>
          <w:p>
            <w:pPr>
              <w:spacing w:after="0"/>
              <w:rPr>
                <w:sz w:val="18"/>
                <w:szCs w:val="18"/>
                <w:color w:val="auto"/>
              </w:rPr>
            </w:pPr>
          </w:p>
        </w:tc>
        <w:tc>
          <w:tcPr>
            <w:tcW w:w="4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49,244</w:t>
            </w: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62,656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8"/>
              </w:rPr>
              <w:t>U.S. Revenues by Product Category</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4"/>
                <w:szCs w:val="14"/>
                <w:b w:val="1"/>
                <w:bCs w:val="1"/>
                <w:color w:val="auto"/>
                <w:w w:val="87"/>
              </w:rPr>
              <w:t>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5"/>
          </w:tcPr>
          <w:p>
            <w:pPr>
              <w:ind w:left="800"/>
              <w:spacing w:after="0" w:line="149"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9"/>
              </w:rPr>
              <w:t>2019</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40"/>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tcPr>
          <w:p>
            <w:pPr>
              <w:jc w:val="center"/>
              <w:ind w:right="118"/>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7"/>
          </w:tcPr>
          <w:p>
            <w:pPr>
              <w:jc w:val="center"/>
              <w:ind w:right="480"/>
              <w:spacing w:after="0"/>
              <w:rPr>
                <w:sz w:val="20"/>
                <w:szCs w:val="20"/>
                <w:color w:val="auto"/>
              </w:rPr>
            </w:pPr>
            <w:r>
              <w:rPr>
                <w:rFonts w:ascii="Arial" w:cs="Arial" w:eastAsia="Arial" w:hAnsi="Arial"/>
                <w:sz w:val="14"/>
                <w:szCs w:val="14"/>
                <w:b w:val="1"/>
                <w:bCs w:val="1"/>
                <w:color w:val="auto"/>
                <w:w w:val="85"/>
              </w:rPr>
              <w:t>(in thousands, except percentages)</w:t>
            </w: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NeuroStar Advanced Therapy System</w:t>
            </w:r>
          </w:p>
        </w:tc>
        <w:tc>
          <w:tcPr>
            <w:tcW w:w="4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11,094</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ind w:left="580"/>
              <w:spacing w:after="0"/>
              <w:rPr>
                <w:sz w:val="20"/>
                <w:szCs w:val="20"/>
                <w:color w:val="auto"/>
              </w:rPr>
            </w:pPr>
            <w:r>
              <w:rPr>
                <w:rFonts w:ascii="Arial" w:cs="Arial" w:eastAsia="Arial" w:hAnsi="Arial"/>
                <w:sz w:val="17"/>
                <w:szCs w:val="17"/>
                <w:color w:val="auto"/>
              </w:rPr>
              <w:t>Treatment sessions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34,852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41,120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68%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1,573</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tcPr>
          <w:p>
            <w:pPr>
              <w:ind w:left="220"/>
              <w:spacing w:after="0"/>
              <w:rPr>
                <w:sz w:val="20"/>
                <w:szCs w:val="20"/>
                <w:color w:val="auto"/>
              </w:rPr>
            </w:pPr>
            <w:r>
              <w:rPr>
                <w:rFonts w:ascii="Arial" w:cs="Arial" w:eastAsia="Arial" w:hAnsi="Arial"/>
                <w:sz w:val="17"/>
                <w:szCs w:val="17"/>
                <w:color w:val="auto"/>
              </w:rPr>
              <w:t>Total U.S. revenues</w:t>
            </w:r>
          </w:p>
        </w:tc>
        <w:tc>
          <w:tcPr>
            <w:tcW w:w="2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47,519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60,760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8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760" w:type="dxa"/>
            <w:vAlign w:val="bottom"/>
            <w:gridSpan w:val="12"/>
          </w:tcPr>
          <w:p>
            <w:pPr>
              <w:jc w:val="center"/>
              <w:ind w:left="558"/>
              <w:spacing w:after="0"/>
              <w:rPr>
                <w:sz w:val="20"/>
                <w:szCs w:val="20"/>
                <w:color w:val="auto"/>
              </w:rPr>
            </w:pPr>
            <w:r>
              <w:rPr>
                <w:rFonts w:ascii="Arial" w:cs="Arial" w:eastAsia="Arial" w:hAnsi="Arial"/>
                <w:sz w:val="14"/>
                <w:szCs w:val="14"/>
                <w:b w:val="1"/>
                <w:bCs w:val="1"/>
                <w:color w:val="auto"/>
                <w:w w:val="89"/>
              </w:rPr>
              <w:t>United States NeuroStar Advanced Therapy System</w:t>
            </w: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7"/>
          </w:tcPr>
          <w:p>
            <w:pPr>
              <w:jc w:val="center"/>
              <w:ind w:right="480"/>
              <w:spacing w:after="0" w:line="143" w:lineRule="exact"/>
              <w:rPr>
                <w:sz w:val="20"/>
                <w:szCs w:val="20"/>
                <w:color w:val="auto"/>
              </w:rPr>
            </w:pPr>
            <w:r>
              <w:rPr>
                <w:rFonts w:ascii="Arial" w:cs="Arial" w:eastAsia="Arial" w:hAnsi="Arial"/>
                <w:sz w:val="14"/>
                <w:szCs w:val="14"/>
                <w:b w:val="1"/>
                <w:bCs w:val="1"/>
                <w:color w:val="auto"/>
                <w:w w:val="86"/>
              </w:rPr>
              <w:t>Revenues by Type</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center"/>
              <w:ind w:right="500"/>
              <w:spacing w:after="0"/>
              <w:rPr>
                <w:sz w:val="20"/>
                <w:szCs w:val="20"/>
                <w:color w:val="auto"/>
              </w:rPr>
            </w:pPr>
            <w:r>
              <w:rPr>
                <w:rFonts w:ascii="Arial" w:cs="Arial" w:eastAsia="Arial" w:hAnsi="Arial"/>
                <w:sz w:val="14"/>
                <w:szCs w:val="14"/>
                <w:b w:val="1"/>
                <w:bCs w:val="1"/>
                <w:color w:val="auto"/>
                <w:w w:val="87"/>
              </w:rPr>
              <w:t>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5"/>
          </w:tcPr>
          <w:p>
            <w:pPr>
              <w:ind w:left="800"/>
              <w:spacing w:after="0" w:line="149"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9"/>
              </w:rPr>
              <w:t>2019</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40"/>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tcPr>
          <w:p>
            <w:pPr>
              <w:jc w:val="center"/>
              <w:ind w:right="118"/>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7"/>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(in thousands, except percentages)</w:t>
            </w: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NeuroStar Capital</w:t>
            </w:r>
          </w:p>
        </w:tc>
        <w:tc>
          <w:tcPr>
            <w:tcW w:w="4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10,518</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95%</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16,196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500" w:type="dxa"/>
            <w:vAlign w:val="bottom"/>
            <w:gridSpan w:val="2"/>
          </w:tcPr>
          <w:p>
            <w:pPr>
              <w:ind w:left="580"/>
              <w:spacing w:after="0"/>
              <w:rPr>
                <w:sz w:val="20"/>
                <w:szCs w:val="20"/>
                <w:color w:val="auto"/>
              </w:rPr>
            </w:pPr>
            <w:r>
              <w:rPr>
                <w:rFonts w:ascii="Arial" w:cs="Arial" w:eastAsia="Arial" w:hAnsi="Arial"/>
                <w:sz w:val="17"/>
                <w:szCs w:val="17"/>
                <w:color w:val="auto"/>
              </w:rPr>
              <w:t>Operating lease</w:t>
            </w:r>
          </w:p>
        </w:tc>
        <w:tc>
          <w:tcPr>
            <w:tcW w:w="4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40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tcPr>
          <w:p>
            <w:pPr>
              <w:ind w:left="220"/>
              <w:spacing w:after="0"/>
              <w:rPr>
                <w:sz w:val="20"/>
                <w:szCs w:val="20"/>
                <w:color w:val="auto"/>
              </w:rPr>
            </w:pPr>
            <w:r>
              <w:rPr>
                <w:rFonts w:ascii="Arial" w:cs="Arial" w:eastAsia="Arial" w:hAnsi="Arial"/>
                <w:sz w:val="17"/>
                <w:szCs w:val="17"/>
                <w:color w:val="auto"/>
                <w:w w:val="91"/>
              </w:rPr>
              <w:t>Total United States NeuroStar Advanced Therapy System revenues</w:t>
            </w:r>
          </w:p>
        </w:tc>
        <w:tc>
          <w:tcPr>
            <w:tcW w:w="2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11,094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18,007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7"/>
                <w:szCs w:val="17"/>
                <w:color w:val="auto"/>
              </w:rPr>
              <w:t>65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4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i w:val="1"/>
          <w:iCs w:val="1"/>
          <w:color w:val="auto"/>
        </w:rPr>
        <w:t>Revenues</w:t>
      </w:r>
    </w:p>
    <w:p>
      <w:pPr>
        <w:spacing w:after="0" w:line="11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Total revenues decreased by $13.4 million, or 21%, from $62.7 million for the year ended December 31, 2019 to $49.2 million for the year ended December 31, 2020. Revenues in the United States decreased by $13.2 million from 2019 to 2020 due to lower unit sales of both NeuroStar Advanced Therapy Systems and treatment sessions. The year over year decrease in international revenue was primarily due to lower unit sales of NeuroStar Advanced Therapy Systems in Japan.</w:t>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Revenues in the United States decreased by $13.2 million, or 22%, from $60.8 million for the year ended December 31, 2019 to $47.5 million for the year ended December 31, 2020. NeuroStar Advanced Therapy System revenue in the United States decreased by $6.9 million, or 38%, in the year ended December 31, 2020 compared to the year ended December 31, 2019. The decrease was primarily driven by a 35% decrease in NeuroStar Advanced Therapy System capital revenue, which includes capital sales and sales-type leases. The decrease in NeuroStar capital revenue was primarily driven by a decrease of 84 units in NeuroStar Advanced Therapy Systems sold from 250 units for the year ended December 31, 2019 to 166 units for the year ended December 31, 2020. We believe the decline in volume for the NeuroStar Advanced Therapy System revenues between these two periods was primarily due to the impact of the COVID-19 as demand for our NeuroStar Therapy System units was significantly impacted given the economic slow-down and inability of our sales team to conduct business in-person due to extensive travel restrictions and customer office closures due to governmental measures. As of December 31, 2020, we had an installed base of 1,170 active systems in the United States, compared to 1,085 as of December 31, 2019.</w:t>
      </w:r>
    </w:p>
    <w:p>
      <w:pPr>
        <w:spacing w:after="0" w:line="173"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Treatment sessions revenues in the United States represented 73% and 68% of total revenues in the United States for the years ended December 31, 2020 and 2019, respectively, and decreased by 15% from $41.1 million for the year end December 31, 2019 to $34.9 million for the year ended December 31, 2020. The decrease in U.S. treatment session revenue was primarily the result of a decrease in 115,634 sessions sold from 555,570 units for the year ended December 31, 2019 to 439,936 for the year ended December 31, 2020. We believe the decline in overall volume of treatment session revenue between these two periods was primarily due to the impact of the COVID-19 pandemic as patients were under prolonged quarantines, restrictions and other requirements on travel that decreased the utilization of our treatment sessions at provider practices.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 and Gross Margin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Cost of revenues decreased by $3.8 million, or 25%, from $15.4 million for the year ended December 31, 2019 to $11.6 million for the year ended December 31, 2020. Gross margin was 76.5% for the year ended December 31, 2020 compared to 75.4% for the year ended December 31, 2019. The increase in gross margin was the result of a change in the product mix of revenue versus the prior year.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Sales and marketing expenses decreased by $10.4 million, or 24%, from $43.0 million for the year ended December 31, 2019 to $32.6 million for the year ended December 31, 2020. The decrease was primarily due to a reduction of $4.9 million in personnel costs, $3.2 million in marketing, including trade shows and advertising, and $2.0 million in travel expenses.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General and administrative expenses increased by $0.8 million, or 4%, from $17.5 million for the year ended December 31, 2019 to $18.2 million for the year ended December 31, 2020. The change was primarily due to an increase of $1.3 million in severance expense offset by a reduction of $0.5 million in professional fees and $0.3 million in share-based compensation expense.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Research and development expenses decreased by $4.5 million, or 33%, from $13.7 million for the year ended December 31, 2019 to $9.2 million for the year ended December 31, 2020. The decrease was primarily due to reductions of $1.7 million in the development of our next generation NeuroStar Advanced Therapy System and $1.7 in other miscellaneous product development expenses. The remaining decrease primarily relates to a reduction in clinical and quality assurance expenses.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17" w:lineRule="exact"/>
        <w:rPr>
          <w:sz w:val="20"/>
          <w:szCs w:val="20"/>
          <w:color w:val="auto"/>
        </w:rPr>
      </w:pPr>
    </w:p>
    <w:p>
      <w:pPr>
        <w:ind w:right="300"/>
        <w:spacing w:after="0" w:line="357" w:lineRule="auto"/>
        <w:rPr>
          <w:sz w:val="20"/>
          <w:szCs w:val="20"/>
          <w:color w:val="auto"/>
        </w:rPr>
      </w:pPr>
      <w:r>
        <w:rPr>
          <w:rFonts w:ascii="Arial" w:cs="Arial" w:eastAsia="Arial" w:hAnsi="Arial"/>
          <w:sz w:val="15"/>
          <w:szCs w:val="15"/>
          <w:color w:val="auto"/>
        </w:rPr>
        <w:t>Interest expense increased by $0.8 million, or 23%, from $3.7 million for the year ended December 31, 2019 to $4.5 million for the year ended December 31, 2020. The increase was primarily due to an increase in debt during the year ended December 31, 2020 compared to the year ended December 31, 2019.</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on Extinguishment of Debt</w:t>
      </w:r>
    </w:p>
    <w:p>
      <w:pPr>
        <w:spacing w:after="0" w:line="117" w:lineRule="exact"/>
        <w:rPr>
          <w:sz w:val="20"/>
          <w:szCs w:val="20"/>
          <w:color w:val="auto"/>
        </w:rPr>
      </w:pPr>
    </w:p>
    <w:p>
      <w:pPr>
        <w:ind w:right="1040"/>
        <w:spacing w:after="0" w:line="286" w:lineRule="auto"/>
        <w:rPr>
          <w:sz w:val="20"/>
          <w:szCs w:val="20"/>
          <w:color w:val="auto"/>
        </w:rPr>
      </w:pPr>
      <w:r>
        <w:rPr>
          <w:rFonts w:ascii="Arial" w:cs="Arial" w:eastAsia="Arial" w:hAnsi="Arial"/>
          <w:sz w:val="17"/>
          <w:szCs w:val="17"/>
          <w:color w:val="auto"/>
        </w:rPr>
        <w:t>Loss on extinguishment of debt was due to our recognition of unamortized debt discount and deferred issuance costs as part of Oxford debt facility extinguishment in the first quarter of 2020.</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17" w:lineRule="exact"/>
        <w:rPr>
          <w:sz w:val="20"/>
          <w:szCs w:val="20"/>
          <w:color w:val="auto"/>
        </w:rPr>
      </w:pPr>
    </w:p>
    <w:p>
      <w:pPr>
        <w:ind w:right="980"/>
        <w:spacing w:after="0" w:line="286" w:lineRule="auto"/>
        <w:rPr>
          <w:sz w:val="20"/>
          <w:szCs w:val="20"/>
          <w:color w:val="auto"/>
        </w:rPr>
      </w:pPr>
      <w:r>
        <w:rPr>
          <w:rFonts w:ascii="Arial" w:cs="Arial" w:eastAsia="Arial" w:hAnsi="Arial"/>
          <w:sz w:val="17"/>
          <w:szCs w:val="17"/>
          <w:color w:val="auto"/>
        </w:rPr>
        <w:t>Other income, net decreased by $1.3 million, or 81% from ($1.6) million for the year ended December 31, 2019 to ($0.3) million for the year ended December 31, 2020, primarily as a result of decreased interest income earned on the Company’s money market accounts.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2019 and 2018</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3"/>
              </w:rPr>
              <w:t>Years ended December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Increase / (Decrease)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7"/>
              <w:spacing w:after="0" w:line="14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Dollars</w:t>
            </w:r>
          </w:p>
        </w:tc>
        <w:tc>
          <w:tcPr>
            <w:tcW w:w="920" w:type="dxa"/>
            <w:vAlign w:val="bottom"/>
            <w:tcBorders>
              <w:top w:val="single" w:sz="8" w:color="auto"/>
              <w:bottom w:val="single" w:sz="8" w:color="auto"/>
            </w:tcBorders>
          </w:tcPr>
          <w:p>
            <w:pPr>
              <w:jc w:val="center"/>
              <w:ind w:right="56"/>
              <w:spacing w:after="0" w:line="149" w:lineRule="exact"/>
              <w:rPr>
                <w:sz w:val="20"/>
                <w:szCs w:val="20"/>
                <w:color w:val="auto"/>
              </w:rPr>
            </w:pPr>
            <w:r>
              <w:rPr>
                <w:rFonts w:ascii="Arial" w:cs="Arial" w:eastAsia="Arial" w:hAnsi="Arial"/>
                <w:sz w:val="14"/>
                <w:szCs w:val="14"/>
                <w:b w:val="1"/>
                <w:bCs w:val="1"/>
                <w:color w:val="auto"/>
                <w:w w:val="87"/>
              </w:rPr>
              <w:t>Percentage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(in thousands, except percentages)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52,776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9,880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60" w:type="dxa"/>
            <w:vAlign w:val="bottom"/>
            <w:gridSpan w:val="2"/>
          </w:tcPr>
          <w:p>
            <w:pPr>
              <w:ind w:left="580"/>
              <w:spacing w:after="0"/>
              <w:rPr>
                <w:sz w:val="20"/>
                <w:szCs w:val="20"/>
                <w:color w:val="auto"/>
              </w:rPr>
            </w:pPr>
            <w:r>
              <w:rPr>
                <w:rFonts w:ascii="Arial" w:cs="Arial" w:eastAsia="Arial" w:hAnsi="Arial"/>
                <w:sz w:val="16"/>
                <w:szCs w:val="16"/>
                <w:color w:val="auto"/>
              </w:rPr>
              <w:t>Cost of revenues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15,389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580" w:type="dxa"/>
            <w:vAlign w:val="bottom"/>
            <w:shd w:val="clear" w:color="auto" w:fill="CFF0FC"/>
          </w:tcPr>
          <w:p>
            <w:pPr>
              <w:ind w:left="700"/>
              <w:spacing w:after="0"/>
              <w:rPr>
                <w:sz w:val="20"/>
                <w:szCs w:val="20"/>
                <w:color w:val="auto"/>
              </w:rPr>
            </w:pPr>
            <w:r>
              <w:rPr>
                <w:rFonts w:ascii="Arial" w:cs="Arial" w:eastAsia="Arial" w:hAnsi="Arial"/>
                <w:sz w:val="16"/>
                <w:szCs w:val="16"/>
                <w:color w:val="auto"/>
              </w:rPr>
              <w:t>Gross Profit</w:t>
            </w: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47,267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40,329</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580" w:type="dxa"/>
            <w:vAlign w:val="bottom"/>
          </w:tcPr>
          <w:p>
            <w:pPr>
              <w:ind w:left="700"/>
              <w:spacing w:after="0"/>
              <w:rPr>
                <w:sz w:val="20"/>
                <w:szCs w:val="20"/>
                <w:color w:val="auto"/>
              </w:rPr>
            </w:pPr>
            <w:r>
              <w:rPr>
                <w:rFonts w:ascii="Arial" w:cs="Arial" w:eastAsia="Arial" w:hAnsi="Arial"/>
                <w:sz w:val="16"/>
                <w:szCs w:val="16"/>
                <w:color w:val="auto"/>
              </w:rPr>
              <w:t>Gross Margin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7"/>
                <w:szCs w:val="17"/>
                <w:i w:val="1"/>
                <w:iCs w:val="1"/>
                <w:color w:val="auto"/>
              </w:rPr>
              <w:t>75.4%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i w:val="1"/>
                <w:iCs w:val="1"/>
                <w:color w:val="auto"/>
              </w:rPr>
              <w:t>76.4%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58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42,993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38,264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17,457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13,667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5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13,747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8,232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5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Total operating expenses</w:t>
            </w: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74,197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60,163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14,034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580" w:type="dxa"/>
            <w:vAlign w:val="bottom"/>
          </w:tcPr>
          <w:p>
            <w:pPr>
              <w:ind w:left="700"/>
              <w:spacing w:after="0"/>
              <w:rPr>
                <w:sz w:val="20"/>
                <w:szCs w:val="20"/>
                <w:color w:val="auto"/>
              </w:rPr>
            </w:pPr>
            <w:r>
              <w:rPr>
                <w:rFonts w:ascii="Arial" w:cs="Arial" w:eastAsia="Arial" w:hAnsi="Arial"/>
                <w:sz w:val="16"/>
                <w:szCs w:val="16"/>
                <w:color w:val="auto"/>
              </w:rPr>
              <w:t>Loss from Operations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(26,930)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(19,834)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(7,096)</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4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righ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5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3,688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5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expense (income), net</w:t>
            </w: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(1,571)</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(2,146)</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373%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580" w:type="dxa"/>
            <w:vAlign w:val="bottom"/>
          </w:tcPr>
          <w:p>
            <w:pPr>
              <w:ind w:left="700"/>
              <w:spacing w:after="0"/>
              <w:rPr>
                <w:sz w:val="20"/>
                <w:szCs w:val="20"/>
                <w:color w:val="auto"/>
              </w:rPr>
            </w:pPr>
            <w:r>
              <w:rPr>
                <w:rFonts w:ascii="Arial" w:cs="Arial" w:eastAsia="Arial" w:hAnsi="Arial"/>
                <w:sz w:val="16"/>
                <w:szCs w:val="16"/>
                <w:color w:val="auto"/>
              </w:rPr>
              <w:t>Net Loss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(29,044)</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(24,097)</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(4,947)</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7"/>
              </w:rPr>
              <w:t>Revenues by Geography</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87"/>
              </w:rPr>
              <w:t>Year ended December 31,</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5"/>
          </w:tcPr>
          <w:p>
            <w:pPr>
              <w:jc w:val="right"/>
              <w:ind w:right="60"/>
              <w:spacing w:after="0" w:line="149"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9"/>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Amount</w:t>
            </w:r>
          </w:p>
        </w:tc>
        <w:tc>
          <w:tcPr>
            <w:tcW w:w="920" w:type="dxa"/>
            <w:vAlign w:val="bottom"/>
          </w:tcPr>
          <w:p>
            <w:pPr>
              <w:jc w:val="center"/>
              <w:ind w:right="56"/>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 thousands, except percentages)</w:t>
            </w: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74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60,760</w:t>
            </w:r>
          </w:p>
        </w:tc>
        <w:tc>
          <w:tcPr>
            <w:tcW w:w="10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97%</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60" w:type="dxa"/>
            <w:vAlign w:val="bottom"/>
            <w:gridSpan w:val="2"/>
          </w:tcPr>
          <w:p>
            <w:pPr>
              <w:ind w:left="580"/>
              <w:spacing w:after="0"/>
              <w:rPr>
                <w:sz w:val="20"/>
                <w:szCs w:val="20"/>
                <w:color w:val="auto"/>
              </w:rPr>
            </w:pPr>
            <w:r>
              <w:rPr>
                <w:rFonts w:ascii="Arial" w:cs="Arial" w:eastAsia="Arial" w:hAnsi="Arial"/>
                <w:sz w:val="17"/>
                <w:szCs w:val="17"/>
                <w:color w:val="auto"/>
              </w:rPr>
              <w:t>International</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1,896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 revenues</w:t>
            </w:r>
          </w:p>
        </w:tc>
        <w:tc>
          <w:tcPr>
            <w:tcW w:w="1560" w:type="dxa"/>
            <w:vAlign w:val="bottom"/>
            <w:gridSpan w:val="2"/>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580" w:type="dxa"/>
            <w:vAlign w:val="bottom"/>
            <w:vMerge w:val="continue"/>
            <w:shd w:val="clear" w:color="auto" w:fill="CFF0FC"/>
          </w:tcPr>
          <w:p>
            <w:pPr>
              <w:spacing w:after="0"/>
              <w:rPr>
                <w:sz w:val="18"/>
                <w:szCs w:val="18"/>
                <w:color w:val="auto"/>
              </w:rPr>
            </w:pPr>
          </w:p>
        </w:tc>
        <w:tc>
          <w:tcPr>
            <w:tcW w:w="174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62,656</w:t>
            </w: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52,776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7"/>
                <w:szCs w:val="17"/>
                <w:color w:val="auto"/>
              </w:rPr>
              <w:t>67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9" w:name="page70"/>
    <w:bookmarkEnd w:id="69"/>
    <w:p>
      <w:pPr>
        <w:jc w:val="center"/>
        <w:ind w:left="4960"/>
        <w:spacing w:after="0"/>
        <w:rPr>
          <w:sz w:val="20"/>
          <w:szCs w:val="20"/>
          <w:color w:val="auto"/>
        </w:rPr>
      </w:pPr>
      <w:r>
        <w:rPr>
          <w:rFonts w:ascii="Arial" w:cs="Arial" w:eastAsia="Arial" w:hAnsi="Arial"/>
          <w:sz w:val="14"/>
          <w:szCs w:val="14"/>
          <w:b w:val="1"/>
          <w:bCs w:val="1"/>
          <w:color w:val="auto"/>
        </w:rPr>
        <w:t>U.S. Revenues by Product Category</w:t>
      </w:r>
    </w:p>
    <w:p>
      <w:pPr>
        <w:jc w:val="center"/>
        <w:ind w:left="4960"/>
        <w:spacing w:after="0" w:line="223" w:lineRule="auto"/>
        <w:rPr>
          <w:sz w:val="20"/>
          <w:szCs w:val="20"/>
          <w:color w:val="auto"/>
        </w:rPr>
      </w:pPr>
      <w:r>
        <w:rPr>
          <w:rFonts w:ascii="Arial" w:cs="Arial" w:eastAsia="Arial" w:hAnsi="Arial"/>
          <w:sz w:val="14"/>
          <w:szCs w:val="14"/>
          <w:b w:val="1"/>
          <w:bCs w:val="1"/>
          <w:color w:val="auto"/>
        </w:rPr>
        <w:t>Year ended December 31,</w:t>
      </w:r>
    </w:p>
    <w:tbl>
      <w:tblPr>
        <w:tblLayout w:type="fixed"/>
        <w:tblInd w:w="58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301"/>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299"/>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Revenues</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7"/>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(in thousands, except percentages)</w:t>
            </w: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NeuroStar Advanced Therapy System</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Arial" w:cs="Arial" w:eastAsia="Arial" w:hAnsi="Arial"/>
                <w:sz w:val="17"/>
                <w:szCs w:val="17"/>
                <w:color w:val="auto"/>
              </w:rPr>
              <w:t>Treatment sessions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41,120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35,287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1"/>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20"/>
              <w:spacing w:after="0"/>
              <w:rPr>
                <w:sz w:val="20"/>
                <w:szCs w:val="20"/>
                <w:color w:val="auto"/>
              </w:rPr>
            </w:pPr>
            <w:r>
              <w:rPr>
                <w:rFonts w:ascii="Arial" w:cs="Arial" w:eastAsia="Arial" w:hAnsi="Arial"/>
                <w:sz w:val="17"/>
                <w:szCs w:val="17"/>
                <w:color w:val="auto"/>
              </w:rPr>
              <w:t>Total U.S. revenues</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60,760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51,477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17"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Total revenues increased by $9.9 million, or 19%, from $52.8 million for the year ended December 31, 2018 to $62.7 million for the year ended December 31, 2019. Revenues in the United States increased by $9.3 million from 2018 to 2019 due to higher unit sales of both NeuroStar Advanced Therapy Systems and treatment sessions. The year over year increase in international revenue was primarily due to multi-unit orders by Teijin Pharma Limited, our Japanese partner, during the second and third quarters of 2019.</w:t>
      </w:r>
    </w:p>
    <w:p>
      <w:pPr>
        <w:spacing w:after="0" w:line="17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Revenues in the United States increased by $9.3 million, or 18%, from $51.5 million for the year ended December 31, 2018 to $60.8 million for the year ended December 31, 2019. NeuroStar Advanced Therapy System revenues in the United States grew by $3.4 million, or 23%, in the year ended December 31, 2019 compared to the year ended December 31, 2018. The increase was primarily driven by a 25% increase in NeuroStar Advanced Therapy System capital revenue, which includes capital sales and sales-type leases. The increase in NeuroStar capital revenue was driven by a total of 250 NeuroStar Advanced Therapy Systems sold, which was an increase of 43% over the NeuroStar systems sold in 2018. This increase was offset by a 12% decline in average selling prices as compared to 2018 as a result of a higher mix of sales-type leases versus capital sales.</w:t>
      </w:r>
    </w:p>
    <w:p>
      <w:pPr>
        <w:spacing w:after="0" w:line="166"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believe the growth in NeuroStar Advanced Therapy System revenues between these two periods was the result of the efforts of our expanded commercial organization and increased marketing efforts. As of December 31, 2019, we had an installed base of 1,085 active systems in the United States, compared to 907 as of December 31, 2018.</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Treatment session revenues in the United States represented 68% and 69% for the years ended December 31, 2019 and 2018, respectively, and increased by 17% from $35.3 million for the year end December 31, 2018 to $41.1 million for the year ended December 31, 2019. The increase in U.S. treatment session revenue was primarily the result of an increase in the U.S. active installed base, which was partially offset by a decline in average U.S. treatment session revenue per active system. Average U.S. treatment session revenue per active system is calculated using the prior quarter’s ending active installed base, which was 1,032 as of September 30, 2019 and 858 as of September 30, 2018. For the full year 2019, the average U.S. treatment session revenue per active system was approximately $39,900, which was a decrease of 3% compared to the full year 2018.</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 and Gross Margin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Cost of revenues increased by $2.9 million, or 24%, from $12.4 million for the year ended December 31, 2018 to $15.4 million for the year ended December 31, 2019. The increase was primarily due to increased NeuroStar Advanced Therapy System sales. Gross margin was 75.4% for the year ended December 31, 2019 compared to 76.4% for the year ended December 31, 2018. The decrease in gross margin was the result of a higher percentage of sales-type leases combined with lower average selling prices on capital sales. This decrease was partially offset by increased leverage on our service and operations costs.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Sales and marketing expenses increased by $4.7 million, or 12%, from $38.3 million for the year ended December 31, 2018 to $43.0 million for the year ended December 31, 2019. The increase was primarily due 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70" w:name="page71"/>
    <w:bookmarkEnd w:id="70"/>
    <w:p>
      <w:pPr>
        <w:ind w:right="20"/>
        <w:spacing w:after="0" w:line="286" w:lineRule="auto"/>
        <w:rPr>
          <w:sz w:val="20"/>
          <w:szCs w:val="20"/>
          <w:color w:val="auto"/>
        </w:rPr>
      </w:pPr>
      <w:r>
        <w:rPr>
          <w:rFonts w:ascii="Arial" w:cs="Arial" w:eastAsia="Arial" w:hAnsi="Arial"/>
          <w:sz w:val="17"/>
          <w:szCs w:val="17"/>
          <w:color w:val="auto"/>
        </w:rPr>
        <w:t>increased personnel costs as a result of our sales and marketing expansion activities, as well as higher marketing expenses and sales commission costs, consistent with our growth in revenues.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General and administrative expenses increased by $3.8 million, or 28%, from $13.7 million for the year ended December 31, 2018 to $17.5 million for the year ended December 31, 2019. The increase was primarily due to an increase in personnel and legal, accounting and other professional services expenses required to support the growth of our business and the infrastructure for public company reporting.</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Research and development expenses increased $5.5 million, or 67%, from $8.2 million for the year ended December 31, 2018 to $13.7 million for the year ended December 31, 2019. The increase was primarily due to expenses relating to the launch of the next generation of our NeuroStar Advanced Therapy System and TrakStar practice management system, as well as increased spending in clinical development.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flat at $3.7 million for the years ended December 31, 2018 and 2019.</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143"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color w:val="auto"/>
        </w:rPr>
        <w:t>Other expense (income), net increased by $2.1 million from $0.6 million for year December 31, 2018 to ($1.6) million for the year ended December 31, 2019, primarily as a result of increased interest income earned on the Company’s money market accounts and the final revaluation of the Company’s warrants in the third quarter of 2018.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440"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July 2, 2018, we closed our IPO, in which we issued and sold 6.325 million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 Our common stock is listed on the Nasdaq Global Market under the trading symbol “STIM.”</w:t>
      </w:r>
    </w:p>
    <w:p>
      <w:pPr>
        <w:spacing w:after="0" w:line="175"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As of December 31, 2020, we had cash and cash equivalents of $49.0 million and an accumulated deficit of $277.5 million, compared to cash and cash equivalents of $75.7 million and an accumulated deficit of $250.1 million as of December 31, 2019. We incurred negative cash flows from operating activities of $28.4 million and $30.5 million for the years ended December 31, 2020 and 2019,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December 31, 2020, we had $35.0 million of borrowings outstanding under our credit facility, which has a final maturity in February 2025. Management believes that the Company’s cash and cash equivalents as of December 31, 2020, in addition to the $80.6 million in net proceeds raised from the Offering, and anticipated revenues from sales of its products are sufficient to fund the Company’s operations for at least 12 months from the issuance of these financial statements.</w:t>
      </w:r>
    </w:p>
    <w:p>
      <w:pPr>
        <w:spacing w:after="0" w:line="156"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cannot predict our revenues and expenses in the short term as a result of the COVID-19 pandemic and related governmental responses. We also incur additional costs as a public company. Based on our current business plan, we believe that our cash and cash equivalents and anticipated revenues from sales of our products will be sufficient to meet our cash requirements through March 3, 2022. However, if these sources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current and future funding requirements will depend on many factors, including:</w:t>
      </w:r>
    </w:p>
    <w:p>
      <w:pPr>
        <w:spacing w:after="0" w:line="25" w:lineRule="exact"/>
        <w:rPr>
          <w:sz w:val="20"/>
          <w:szCs w:val="20"/>
          <w:color w:val="auto"/>
        </w:rPr>
      </w:pPr>
    </w:p>
    <w:p>
      <w:pPr>
        <w:ind w:left="1040" w:hanging="515"/>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impact of COVID-19 and related governmental responses;</w:t>
      </w:r>
    </w:p>
    <w:p>
      <w:pPr>
        <w:spacing w:after="0" w:line="52" w:lineRule="exact"/>
        <w:rPr>
          <w:rFonts w:ascii="Arial" w:cs="Arial" w:eastAsia="Arial" w:hAnsi="Arial"/>
          <w:sz w:val="17"/>
          <w:szCs w:val="17"/>
          <w:color w:val="auto"/>
        </w:rPr>
      </w:pPr>
    </w:p>
    <w:p>
      <w:pPr>
        <w:ind w:left="1040" w:hanging="515"/>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achieve revenue growth and improve operating margins;</w:t>
      </w:r>
    </w:p>
    <w:p>
      <w:pPr>
        <w:spacing w:after="0" w:line="65" w:lineRule="exact"/>
        <w:rPr>
          <w:rFonts w:ascii="Arial" w:cs="Arial" w:eastAsia="Arial" w:hAnsi="Arial"/>
          <w:sz w:val="17"/>
          <w:szCs w:val="17"/>
          <w:color w:val="auto"/>
        </w:rPr>
      </w:pPr>
    </w:p>
    <w:p>
      <w:pPr>
        <w:ind w:left="1040" w:hanging="515"/>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compliance with the terms and conditions, including covenants, set forth in our credit facility;</w:t>
      </w:r>
    </w:p>
    <w:p>
      <w:pPr>
        <w:spacing w:after="0" w:line="65" w:lineRule="exact"/>
        <w:rPr>
          <w:rFonts w:ascii="Arial" w:cs="Arial" w:eastAsia="Arial" w:hAnsi="Arial"/>
          <w:sz w:val="17"/>
          <w:szCs w:val="17"/>
          <w:color w:val="auto"/>
        </w:rPr>
      </w:pPr>
    </w:p>
    <w:p>
      <w:pPr>
        <w:ind w:left="1040" w:hanging="515"/>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cost of expanding our operations and offerings, including our sales and marketing efforts;</w:t>
      </w:r>
    </w:p>
    <w:p>
      <w:pPr>
        <w:spacing w:after="0" w:line="65" w:lineRule="exact"/>
        <w:rPr>
          <w:rFonts w:ascii="Arial" w:cs="Arial" w:eastAsia="Arial" w:hAnsi="Arial"/>
          <w:sz w:val="17"/>
          <w:szCs w:val="17"/>
          <w:color w:val="auto"/>
        </w:rPr>
      </w:pPr>
    </w:p>
    <w:p>
      <w:pPr>
        <w:ind w:left="1040" w:right="280" w:hanging="515"/>
        <w:spacing w:after="0" w:line="263"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improve or maintain coverage and reimbursement arrangements with domestic third-party and government payors, particularly in Japan;</w:t>
      </w:r>
    </w:p>
    <w:p>
      <w:pPr>
        <w:ind w:left="1040" w:right="660" w:hanging="515"/>
        <w:spacing w:after="0" w:line="255"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rate of progress in establishing coverage and reimbursement arrangements from international commercial third-party and government payors;</w:t>
      </w:r>
    </w:p>
    <w:p>
      <w:pPr>
        <w:spacing w:after="0" w:line="1" w:lineRule="exact"/>
        <w:rPr>
          <w:rFonts w:ascii="Arial" w:cs="Arial" w:eastAsia="Arial" w:hAnsi="Arial"/>
          <w:sz w:val="17"/>
          <w:szCs w:val="17"/>
          <w:color w:val="auto"/>
        </w:rPr>
      </w:pPr>
    </w:p>
    <w:p>
      <w:pPr>
        <w:ind w:left="1040" w:right="340" w:hanging="515"/>
        <w:spacing w:after="0" w:line="271"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rate of progress in, and cost of the sales and marketing activities associated with, establishing adoption of our products and maintaining or improving our sales to our current customers;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72" w:name="page73"/>
    <w:bookmarkEnd w:id="72"/>
    <w:p>
      <w:pPr>
        <w:ind w:left="1040" w:right="660" w:hanging="515"/>
        <w:spacing w:after="0" w:line="263"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cost of research and development activities, including research and development relating to additional indications, which may include bipolar depression;</w:t>
      </w:r>
    </w:p>
    <w:p>
      <w:pPr>
        <w:ind w:left="1040" w:hanging="515"/>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52" w:lineRule="exact"/>
        <w:rPr>
          <w:rFonts w:ascii="Arial" w:cs="Arial" w:eastAsia="Arial" w:hAnsi="Arial"/>
          <w:sz w:val="17"/>
          <w:szCs w:val="17"/>
          <w:color w:val="auto"/>
        </w:rPr>
      </w:pPr>
    </w:p>
    <w:p>
      <w:pPr>
        <w:ind w:left="1040" w:hanging="515"/>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costs related to international expansion; and</w:t>
      </w:r>
    </w:p>
    <w:p>
      <w:pPr>
        <w:spacing w:after="0" w:line="65" w:lineRule="exact"/>
        <w:rPr>
          <w:rFonts w:ascii="Arial" w:cs="Arial" w:eastAsia="Arial" w:hAnsi="Arial"/>
          <w:sz w:val="17"/>
          <w:szCs w:val="17"/>
          <w:color w:val="auto"/>
        </w:rPr>
      </w:pPr>
    </w:p>
    <w:p>
      <w:pPr>
        <w:ind w:left="1040" w:hanging="515"/>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our cash flows for the years ended December 31, 2020, 2019, and 2018:</w:t>
      </w:r>
    </w:p>
    <w:p>
      <w:pPr>
        <w:spacing w:after="0" w:line="209"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w:t>
      </w:r>
    </w:p>
    <w:p>
      <w:pPr>
        <w:ind w:left="7820"/>
        <w:spacing w:after="0" w:line="223" w:lineRule="auto"/>
        <w:rPr>
          <w:sz w:val="20"/>
          <w:szCs w:val="20"/>
          <w:color w:val="auto"/>
        </w:rPr>
      </w:pPr>
      <w:r>
        <w:rPr>
          <w:rFonts w:ascii="Arial" w:cs="Arial" w:eastAsia="Arial" w:hAnsi="Arial"/>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9"/>
        </w:trPr>
        <w:tc>
          <w:tcPr>
            <w:tcW w:w="446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4"/>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4"/>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4"/>
              <w:spacing w:after="0" w:line="14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2"/>
                <w:szCs w:val="12"/>
                <w:color w:val="auto"/>
              </w:rPr>
            </w:pPr>
          </w:p>
        </w:tc>
      </w:tr>
      <w:tr>
        <w:trPr>
          <w:trHeight w:val="201"/>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(28,390)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(30,482)</w:t>
            </w: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(20,591)</w:t>
            </w:r>
          </w:p>
        </w:tc>
      </w:tr>
      <w:tr>
        <w:trPr>
          <w:trHeight w:val="205"/>
        </w:trPr>
        <w:tc>
          <w:tcPr>
            <w:tcW w:w="44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(730)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(813)</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(1,011)</w:t>
            </w:r>
          </w:p>
        </w:tc>
      </w:tr>
      <w:tr>
        <w:trPr>
          <w:trHeight w:val="211"/>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8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97,038</w:t>
            </w:r>
          </w:p>
        </w:tc>
        <w:tc>
          <w:tcPr>
            <w:tcW w:w="80" w:type="dxa"/>
            <w:vAlign w:val="bottom"/>
            <w:shd w:val="clear" w:color="auto" w:fill="CFF0FC"/>
          </w:tcPr>
          <w:p>
            <w:pPr>
              <w:spacing w:after="0"/>
              <w:rPr>
                <w:sz w:val="18"/>
                <w:szCs w:val="18"/>
                <w:color w:val="auto"/>
              </w:rPr>
            </w:pPr>
          </w:p>
        </w:tc>
      </w:tr>
      <w:tr>
        <w:trPr>
          <w:trHeight w:val="198"/>
        </w:trPr>
        <w:tc>
          <w:tcPr>
            <w:tcW w:w="4460" w:type="dxa"/>
            <w:vAlign w:val="bottom"/>
          </w:tcPr>
          <w:p>
            <w:pPr>
              <w:ind w:left="220"/>
              <w:spacing w:after="0"/>
              <w:rPr>
                <w:sz w:val="20"/>
                <w:szCs w:val="20"/>
                <w:color w:val="auto"/>
              </w:rPr>
            </w:pPr>
            <w:r>
              <w:rPr>
                <w:rFonts w:ascii="Arial" w:cs="Arial" w:eastAsia="Arial" w:hAnsi="Arial"/>
                <w:sz w:val="16"/>
                <w:szCs w:val="16"/>
                <w:color w:val="auto"/>
              </w:rPr>
              <w:t>Net (Decrease) Increase in Cash and Cash Equivalents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(26,751)</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(28,875)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75,436</w:t>
            </w:r>
          </w:p>
        </w:tc>
        <w:tc>
          <w:tcPr>
            <w:tcW w:w="80" w:type="dxa"/>
            <w:vAlign w:val="bottom"/>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Operating Activities</w:t>
      </w:r>
    </w:p>
    <w:p>
      <w:pPr>
        <w:spacing w:after="0" w:line="11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Net cash used in operating activities for 2020 was $28.4 million, consisting primarily of a net loss of $27.5 million and an increase in net operating assets of $8.3 million, partially offset by non-cash charges of $7.3 million. The increase in net operating assets was primarily due to an increase in net investment in sales-type leases as a result of the Company’s adoption of ASC Topic 842, “Leases”, an increase in prepaid commission expense as a result of the Company’s adoption of ASC Topic 606, "Revenue from Contracts with Customers" and a decrease in accrued expenses due to timing and the 2020 payments of 2019 incentive compensation and commissions accrued as of December 31, 2019. Non-cash charges consisted of depreciation and amortization, non-cash interest expense, share-based compensation, the cost of rental units purchased by customers, and the loss on debt extinguishment.</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Net cash used in operating activities for 2019 was $30.5 million, consisting primarily of a net loss of $29.0 million and an increase in net operating assets of $6.9 million, partially offset by non-cash charges of $5.5 million. The increase in net operating assets was primarily due to an increase in accounts receivable and inventory as a result of higher sales volumes, as well as increases in prepaid commission expense as a result of the Company’s adoption of ASC Topic 606, "Revenue from Contracts with Customers". Non-cash charges consisted of depreciation and amortization, non-cash interest expense, share-based compensation, and the cost of rental units purchased by customers.</w:t>
      </w:r>
    </w:p>
    <w:p>
      <w:pPr>
        <w:spacing w:after="0" w:line="7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Net cash used in operating activities for 2018 was $20.6 million, consisting primarily of a net loss of $24.1 million, offset by an increase in net operating liabilities of $1.6 million and non-cash charges of $5.1 million. The increase in net operating assets was primarily due to an increase in accounts receivable and inventory as a result of higher sales volumes. Non-cash charges consisted of depreciation and amortization, non-cash interest expense, share-based compensation, the cost of rental units purchased by customers and the change in the fair value of the liability related to our then-outstanding convertible preferred stock warrants.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used in investing activities for the year ended December 31, 2020, 2019 and 2018 was $0.7 million, $0.8 million and $1.0 million, respectively, and was in each case attributable to purchases of property and equipment and capitalized software costs.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11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Net cash provided by financing activities for 2020 was $2.4 million and consisted of additional proceeds from our loan refinance and cash proceeds related to stock option exercises.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financing activities for 2019 was $2.4 million, consisting primarily from proceeds from the exercise of stock options.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provided by financing activities for 2018 was $97.0 million, consisting primarily of $100.0 million of proceeds related to the closing of our IPO on July 2, 2018, partially offset by $3.5 million of payments of costs related to the IPO.</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Solar Credit Facility</w:t>
      </w:r>
    </w:p>
    <w:p>
      <w:pPr>
        <w:spacing w:after="0" w:line="25"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On March 2, 2020, the Company entered into a loan and security agreement with Solar Capital Ltd. (“Solar”), as collateral agent, and other lenders defined in the agreement, for a credit facility (the “Solar Facility”) that replaced the Company’s previous $35.0 million credit facility with Oxford Finance LLC (“Oxford”, and such facility, the “Oxford Facility”).</w:t>
      </w:r>
    </w:p>
    <w:p>
      <w:pPr>
        <w:spacing w:after="0" w:line="7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Solar Facility permits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 (a) December 15, 2021, (b) 30 days following achievement of the net product revenue condition or (c) the occurrence of an event of default.</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7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70" w:lineRule="exact"/>
        <w:rPr>
          <w:sz w:val="20"/>
          <w:szCs w:val="20"/>
          <w:color w:val="auto"/>
        </w:rPr>
      </w:pPr>
    </w:p>
    <w:p>
      <w:pPr>
        <w:jc w:val="both"/>
        <w:ind w:right="420"/>
        <w:spacing w:after="0" w:line="271"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 (d)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74" w:name="page75"/>
    <w:bookmarkEnd w:id="74"/>
    <w:p>
      <w:pPr>
        <w:ind w:right="160"/>
        <w:spacing w:after="0" w:line="263" w:lineRule="auto"/>
        <w:rPr>
          <w:sz w:val="20"/>
          <w:szCs w:val="20"/>
          <w:color w:val="auto"/>
        </w:rPr>
      </w:pPr>
      <w:r>
        <w:rPr>
          <w:rFonts w:ascii="Arial" w:cs="Arial" w:eastAsia="Arial" w:hAnsi="Arial"/>
          <w:sz w:val="17"/>
          <w:szCs w:val="17"/>
          <w:color w:val="auto"/>
        </w:rPr>
        <w:t>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7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Solar Amendment also reduces the trailing twelve-month net product revenue requirement for the Amended Term B Loan portion of the facility. Subject to certain conditions, the Company has the ability to extend the interest only period on the initial Term A Loan to 36 months from 24 months upon achieving the revenue targets associated with the Amended Term B Loan. The Company was required to pay an amendment fee of $0.1 million to Solar, which has been recognized as a deferred debt issuance cost as of December 31, 2020 that will be amortized to interest expense using the effective interest method.</w:t>
      </w:r>
    </w:p>
    <w:p>
      <w:pPr>
        <w:spacing w:after="0" w:line="71" w:lineRule="exact"/>
        <w:rPr>
          <w:sz w:val="20"/>
          <w:szCs w:val="20"/>
          <w:color w:val="auto"/>
        </w:rPr>
      </w:pPr>
    </w:p>
    <w:p>
      <w:pPr>
        <w:jc w:val="both"/>
        <w:ind w:right="480"/>
        <w:spacing w:after="0" w:line="27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6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9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Solar Facility includes a financial covenant requiring the attainment of a minimum trailing net revenue amount beginning on December 31, 2020. The Company and lenders executed the Solar Amendment in December 2020 that reduces the minimum trailing net revenue covenant requirement amounts beginning on December 31, 2020 to allow the Company to maintain compliance with the covenant as of December 31, 2020. The Company is projected to be in compliance with the reduced minimum revenue covenant amounts going forward.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is in compliance with all covenants in the Solar Facility.</w:t>
      </w:r>
    </w:p>
    <w:p>
      <w:pPr>
        <w:spacing w:after="0" w:line="2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Based on a 36-month amortization of the outstanding principal amounts of the Term A Loan beginning on April 1, 2022 as discussed above, the following table sets forth by year our required future principal payments under the Term A Loan (in thousands):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75" w:name="page76"/>
    <w:bookmarkEnd w:id="75"/>
    <w:tbl>
      <w:tblPr>
        <w:tblLayout w:type="fixed"/>
        <w:tblInd w:w="3140" w:type="dxa"/>
        <w:tblCellMar>
          <w:top w:w="0" w:type="dxa"/>
          <w:left w:w="0" w:type="dxa"/>
          <w:bottom w:w="0" w:type="dxa"/>
          <w:right w:w="0" w:type="dxa"/>
        </w:tblCellMar>
      </w:tblPr>
      <w:tr>
        <w:trPr>
          <w:trHeight w:val="161"/>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6"/>
        </w:trPr>
        <w:tc>
          <w:tcPr>
            <w:tcW w:w="31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920" w:type="dxa"/>
            <w:vAlign w:val="bottom"/>
            <w:shd w:val="clear" w:color="auto" w:fill="CFF0FC"/>
          </w:tcPr>
          <w:p>
            <w:pPr>
              <w:jc w:val="right"/>
              <w:ind w:right="2542"/>
              <w:spacing w:after="0"/>
              <w:rPr>
                <w:sz w:val="20"/>
                <w:szCs w:val="20"/>
                <w:color w:val="auto"/>
              </w:rPr>
            </w:pPr>
            <w:r>
              <w:rPr>
                <w:rFonts w:ascii="Arial" w:cs="Arial" w:eastAsia="Arial" w:hAnsi="Arial"/>
                <w:sz w:val="16"/>
                <w:szCs w:val="16"/>
                <w:color w:val="auto"/>
                <w:w w:val="78"/>
              </w:rPr>
              <w:t>2021</w:t>
            </w:r>
          </w:p>
        </w:tc>
        <w:tc>
          <w:tcPr>
            <w:tcW w:w="22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gridSpan w:val="2"/>
          </w:tcPr>
          <w:p>
            <w:pPr>
              <w:jc w:val="right"/>
              <w:ind w:right="2542"/>
              <w:spacing w:after="0"/>
              <w:rPr>
                <w:sz w:val="20"/>
                <w:szCs w:val="20"/>
                <w:color w:val="auto"/>
              </w:rPr>
            </w:pPr>
            <w:r>
              <w:rPr>
                <w:rFonts w:ascii="Arial" w:cs="Arial" w:eastAsia="Arial" w:hAnsi="Arial"/>
                <w:sz w:val="16"/>
                <w:szCs w:val="16"/>
                <w:color w:val="auto"/>
                <w:w w:val="84"/>
              </w:rPr>
              <w:t>2022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shd w:val="clear" w:color="auto" w:fill="CFF0FC"/>
          </w:tcPr>
          <w:p>
            <w:pPr>
              <w:jc w:val="right"/>
              <w:ind w:right="2542"/>
              <w:spacing w:after="0"/>
              <w:rPr>
                <w:sz w:val="20"/>
                <w:szCs w:val="20"/>
                <w:color w:val="auto"/>
              </w:rPr>
            </w:pPr>
            <w:r>
              <w:rPr>
                <w:rFonts w:ascii="Arial" w:cs="Arial" w:eastAsia="Arial" w:hAnsi="Arial"/>
                <w:sz w:val="16"/>
                <w:szCs w:val="16"/>
                <w:color w:val="auto"/>
                <w:w w:val="78"/>
              </w:rPr>
              <w:t>2023</w:t>
            </w: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40" w:type="dxa"/>
            <w:vAlign w:val="bottom"/>
            <w:gridSpan w:val="2"/>
          </w:tcPr>
          <w:p>
            <w:pPr>
              <w:jc w:val="right"/>
              <w:ind w:right="2542"/>
              <w:spacing w:after="0"/>
              <w:rPr>
                <w:sz w:val="20"/>
                <w:szCs w:val="20"/>
                <w:color w:val="auto"/>
              </w:rPr>
            </w:pPr>
            <w:r>
              <w:rPr>
                <w:rFonts w:ascii="Arial" w:cs="Arial" w:eastAsia="Arial" w:hAnsi="Arial"/>
                <w:sz w:val="16"/>
                <w:szCs w:val="16"/>
                <w:color w:val="auto"/>
                <w:w w:val="84"/>
              </w:rPr>
              <w:t>2024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shd w:val="clear" w:color="auto" w:fill="CFF0FC"/>
          </w:tcPr>
          <w:p>
            <w:pPr>
              <w:jc w:val="right"/>
              <w:ind w:right="2542"/>
              <w:spacing w:after="0"/>
              <w:rPr>
                <w:sz w:val="20"/>
                <w:szCs w:val="20"/>
                <w:color w:val="auto"/>
              </w:rPr>
            </w:pPr>
            <w:r>
              <w:rPr>
                <w:rFonts w:ascii="Arial" w:cs="Arial" w:eastAsia="Arial" w:hAnsi="Arial"/>
                <w:sz w:val="16"/>
                <w:szCs w:val="16"/>
                <w:color w:val="auto"/>
                <w:w w:val="78"/>
              </w:rPr>
              <w:t>2025</w:t>
            </w: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tcPr>
          <w:p>
            <w:pPr>
              <w:ind w:left="220"/>
              <w:spacing w:after="0"/>
              <w:rPr>
                <w:sz w:val="20"/>
                <w:szCs w:val="20"/>
                <w:color w:val="auto"/>
              </w:rPr>
            </w:pPr>
            <w:r>
              <w:rPr>
                <w:rFonts w:ascii="Arial" w:cs="Arial" w:eastAsia="Arial" w:hAnsi="Arial"/>
                <w:sz w:val="16"/>
                <w:szCs w:val="16"/>
                <w:color w:val="auto"/>
              </w:rPr>
              <w:t>Total principal payments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Oxford Credit Facility</w:t>
      </w:r>
    </w:p>
    <w:p>
      <w:pPr>
        <w:spacing w:after="0" w:line="25"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 (a) 8.15% or (b) the 30 day U.S. LIBOR on the last business day of the month plus 7.38%. This facility featured an interest-only period on all tranches through March 2019.</w:t>
      </w:r>
    </w:p>
    <w:p>
      <w:pPr>
        <w:spacing w:after="0" w:line="10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 addition to principal and interest payments due under the $35.0 million Oxford credit facility, the Company was required to make final payment fees to Oxford upon the earlier of prepayment or maturity and equal to 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0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evaluated whether the Solar credit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Non-Cash Interest Expense</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the year ended December 31, 2020, we recognized interest expense of $4.5 million, of which $3.9 million was cash and $0.6 million was non-cash interest expense related to the amortization of deferred financing costs and accrual of final payment fees.</w:t>
      </w:r>
    </w:p>
    <w:p>
      <w:pPr>
        <w:spacing w:after="0" w:line="15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the year ended December 31, 2019, we recognized interest expense of $3.7 million, of which $2.9 million was cash and $0.8 million was non-cash interest expense related to the amortization of deferred financing costs and accrual of final payment fees.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Offering</w:t>
      </w:r>
    </w:p>
    <w:p>
      <w:pPr>
        <w:spacing w:after="0" w:line="31"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On February 2, 2021, we closed on the Offering of our common stock in which we issued and sold 5,566,000 shares of our common stock, which included shares pursuant to an option granted to underwriters to purchase additional shares, at a public offering price of $15.50 per share. We received net proceeds of approximately $80.6 million after deducting underwriting discounts, commissions and estimated offering expenses. The Company intends to use the net proceeds of the offering for general corporate purposes, including working capital, research and development, marketing and evaluating new clinical indications.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Commitments and Contractual Obligations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summary of our contractual obligations as of December 31, 2020:</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87"/>
              </w:rPr>
              <w:t>Payments Due by Period</w:t>
            </w: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800" w:type="dxa"/>
            <w:vAlign w:val="bottom"/>
          </w:tcPr>
          <w:p>
            <w:pPr>
              <w:jc w:val="right"/>
              <w:ind w:right="265"/>
              <w:spacing w:after="0" w:line="127"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265"/>
              <w:spacing w:after="0" w:line="127" w:lineRule="exact"/>
              <w:rPr>
                <w:sz w:val="20"/>
                <w:szCs w:val="20"/>
                <w:color w:val="auto"/>
              </w:rPr>
            </w:pPr>
            <w:r>
              <w:rPr>
                <w:rFonts w:ascii="Arial" w:cs="Arial" w:eastAsia="Arial" w:hAnsi="Arial"/>
                <w:sz w:val="14"/>
                <w:szCs w:val="14"/>
                <w:b w:val="1"/>
                <w:bCs w:val="1"/>
                <w:color w:val="auto"/>
              </w:rPr>
              <w:t>3 to 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95"/>
              </w:rPr>
              <w:t>More than</w:t>
            </w:r>
          </w:p>
        </w:tc>
        <w:tc>
          <w:tcPr>
            <w:tcW w:w="20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6"/>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1 Year</w:t>
            </w:r>
          </w:p>
        </w:tc>
        <w:tc>
          <w:tcPr>
            <w:tcW w:w="20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5 Years</w:t>
            </w: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5"/>
              <w:spacing w:after="0" w:line="149"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Principal payments on long-term debt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20,417</w:t>
            </w:r>
          </w:p>
        </w:tc>
        <w:tc>
          <w:tcPr>
            <w:tcW w:w="420" w:type="dxa"/>
            <w:vAlign w:val="bottom"/>
            <w:gridSpan w:val="2"/>
            <w:shd w:val="clear" w:color="auto" w:fill="CFF0FC"/>
          </w:tcPr>
          <w:p>
            <w:pPr>
              <w:jc w:val="right"/>
              <w:ind w:right="51"/>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14,583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spacing w:after="0" w:line="209" w:lineRule="exact"/>
              <w:rPr>
                <w:sz w:val="20"/>
                <w:szCs w:val="20"/>
                <w:color w:val="auto"/>
              </w:rPr>
            </w:pPr>
            <w:r>
              <w:rPr>
                <w:rFonts w:ascii="Arial" w:cs="Arial" w:eastAsia="Arial" w:hAnsi="Arial"/>
                <w:sz w:val="15"/>
                <w:szCs w:val="15"/>
                <w:color w:val="auto"/>
              </w:rPr>
              <w:t>Interest and lender fees on long-term debt</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shd w:val="clear" w:color="auto" w:fill="CFF0FC"/>
          </w:tcPr>
          <w:p>
            <w:pPr>
              <w:spacing w:after="0" w:line="209" w:lineRule="exact"/>
              <w:rPr>
                <w:sz w:val="20"/>
                <w:szCs w:val="20"/>
                <w:color w:val="auto"/>
              </w:rPr>
            </w:pPr>
            <w:r>
              <w:rPr>
                <w:rFonts w:ascii="Arial" w:cs="Arial" w:eastAsia="Arial" w:hAnsi="Arial"/>
                <w:sz w:val="15"/>
                <w:szCs w:val="15"/>
                <w:color w:val="auto"/>
              </w:rPr>
              <w:t>Operating leases</w:t>
            </w:r>
            <w:r>
              <w:rPr>
                <w:rFonts w:ascii="Arial" w:cs="Arial" w:eastAsia="Arial" w:hAnsi="Arial"/>
                <w:sz w:val="24"/>
                <w:szCs w:val="24"/>
                <w:color w:val="auto"/>
                <w:vertAlign w:val="superscript"/>
              </w:rPr>
              <w:t>(2)</w:t>
            </w: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1,278</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1,306</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1,487</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24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3,920</w:t>
            </w:r>
          </w:p>
        </w:tc>
        <w:tc>
          <w:tcPr>
            <w:tcW w:w="2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26,695</w:t>
            </w:r>
          </w:p>
        </w:tc>
        <w:tc>
          <w:tcPr>
            <w:tcW w:w="420" w:type="dxa"/>
            <w:vAlign w:val="bottom"/>
            <w:gridSpan w:val="2"/>
          </w:tcPr>
          <w:p>
            <w:pPr>
              <w:jc w:val="right"/>
              <w:ind w:right="5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18,734</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1,487</w:t>
            </w:r>
          </w:p>
        </w:tc>
        <w:tc>
          <w:tcPr>
            <w:tcW w:w="24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60" w:right="180" w:hanging="356"/>
        <w:spacing w:after="0" w:line="213" w:lineRule="auto"/>
        <w:tabs>
          <w:tab w:leader="none" w:pos="36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Interest payable reflects the rate in effect as of December 31, 2020. The interest rate on borrowings under the credit facility is variable and resets monthly. Lender fees reflect final payment fees due.</w:t>
      </w:r>
    </w:p>
    <w:p>
      <w:pPr>
        <w:spacing w:after="0" w:line="25" w:lineRule="exact"/>
        <w:rPr>
          <w:rFonts w:ascii="Arial" w:cs="Arial" w:eastAsia="Arial" w:hAnsi="Arial"/>
          <w:sz w:val="25"/>
          <w:szCs w:val="25"/>
          <w:color w:val="auto"/>
          <w:vertAlign w:val="superscript"/>
        </w:rPr>
      </w:pPr>
    </w:p>
    <w:p>
      <w:pPr>
        <w:ind w:left="360" w:hanging="356"/>
        <w:spacing w:after="0"/>
        <w:tabs>
          <w:tab w:leader="none" w:pos="360" w:val="left"/>
        </w:tabs>
        <w:numPr>
          <w:ilvl w:val="0"/>
          <w:numId w:val="35"/>
        </w:numPr>
        <w:rPr>
          <w:rFonts w:ascii="Arial" w:cs="Arial" w:eastAsia="Arial" w:hAnsi="Arial"/>
          <w:sz w:val="25"/>
          <w:szCs w:val="25"/>
          <w:color w:val="auto"/>
          <w:vertAlign w:val="superscript"/>
        </w:rPr>
      </w:pPr>
      <w:r>
        <w:rPr>
          <w:rFonts w:ascii="Arial" w:cs="Arial" w:eastAsia="Arial" w:hAnsi="Arial"/>
          <w:sz w:val="17"/>
          <w:szCs w:val="17"/>
          <w:color w:val="auto"/>
        </w:rPr>
        <w:t>Reflects obligations primarily related to our office and warehouse/storage leases in Malvern, PA.</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United States,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3. Summary of Significant Accounting Policies” in our audited financial statements and related notes thereto appearing elsewhere in this Annual Report on Form 10-K, we believe the following discussion addresses our most critical accounting policies.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17"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 xml:space="preserve">On January 1, 2019, we adopted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using the modified retrospective method. Under ASC 606, we recognize revenue when control of the promised good or service is transferred to our customers in an amount that reflects the consideration to which we expect to be entitled in exchange for those good or services. Accordingly, we determine revenue recognition by applying the following steps:</w:t>
      </w:r>
    </w:p>
    <w:p>
      <w:pPr>
        <w:spacing w:after="0" w:line="71" w:lineRule="exact"/>
        <w:rPr>
          <w:sz w:val="20"/>
          <w:szCs w:val="20"/>
          <w:color w:val="auto"/>
        </w:rPr>
      </w:pPr>
    </w:p>
    <w:p>
      <w:pPr>
        <w:ind w:left="1000" w:hanging="371"/>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and</w:t>
      </w:r>
    </w:p>
    <w:p>
      <w:pPr>
        <w:spacing w:after="0" w:line="143" w:lineRule="exact"/>
        <w:rPr>
          <w:rFonts w:ascii="Arial" w:cs="Arial" w:eastAsia="Arial" w:hAnsi="Arial"/>
          <w:sz w:val="17"/>
          <w:szCs w:val="17"/>
          <w:color w:val="auto"/>
        </w:rPr>
      </w:pPr>
    </w:p>
    <w:p>
      <w:pPr>
        <w:ind w:left="1000" w:hanging="371"/>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recognition of revenue when, or as, we satisfy a performance obligation.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77" w:name="page78"/>
    <w:bookmarkEnd w:id="77"/>
    <w:p>
      <w:pPr>
        <w:jc w:val="both"/>
        <w:ind w:right="140"/>
        <w:spacing w:after="0" w:line="287" w:lineRule="auto"/>
        <w:rPr>
          <w:sz w:val="20"/>
          <w:szCs w:val="20"/>
          <w:color w:val="auto"/>
        </w:rPr>
      </w:pPr>
      <w:r>
        <w:rPr>
          <w:rFonts w:ascii="Arial" w:cs="Arial" w:eastAsia="Arial" w:hAnsi="Arial"/>
          <w:sz w:val="16"/>
          <w:szCs w:val="16"/>
          <w:color w:val="auto"/>
        </w:rPr>
        <w:t>We primarily earn revenues from the sale of NeuroStar Advanced Therapy Systems, consumable use treatment sessions, and accessory products. A contract’s transaction price is allocated to each performance obligation and recognized as revenue when, or as, the performance obligation is satisfied, which generally is the point in time when the product is shipped or control is transferred. We sell to end users in the United States and to third-party distributors outside the United States and do not provide return rights. Sales to distributors outside the United States are made in U.S. dollars.</w:t>
      </w:r>
    </w:p>
    <w:p>
      <w:pPr>
        <w:spacing w:after="0" w:line="162"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Revenue attributable to the NeuroStar Advanced Therapy Systems purchased on a rent-to-own basis are accounted for either (1) as operating leases and revenue is recognized on a straight-line basis over the term of the lease; or (2) as a sales-type lease and revenue is recognized upon installation.</w:t>
      </w:r>
    </w:p>
    <w:p>
      <w:pPr>
        <w:spacing w:after="0" w:line="13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Our NeuroStar Advanced Therapy System sales in the United States typically have a post-sale training obligation. This obligation is fulfilled after product shipment, and we defer recognizing revenue until training occurs. We defer the fair value attributable to the post shipment training and recognize such revenue when the obligation is fulfilled. We base the fair value of the training using stand-alone service rates. Our sales to our third-party distributors outside the United States do not have these post-sale obligations.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 addition, we provide a one to two-year warranty for systems sold in the United States. Terms of product warranty differ amongst our third-party distributors outside the United States, but are generally two years. We provide for the estimated cost to repair or replace products under any warranty at the time of sale. We also offer our customers in the United States annual service contracts. Revenue from the sale of annual service contracts is recognized on a straight-line basis over the period of the applicable contract. We also earn revenue from customers from services outside of their warranty term or annual service contracts. Such service revenue is recognized as the services are provided.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2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We are an “emerging growth company,” as defined in the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avail ourselves of this exemption from complying with new or revised accounting standards and, therefore, will not be subject to the same new or revised accounting standards as other public companies that are not emerging growth companies.</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Subject to certain conditions, as an emerging growth company, we may rely on certain other exemptions and reduced reporting requirements under the JOBS Act,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our IPO; (c) the date on which we have issued more than $1.0 billion in nonconvertible debt during the previous six years; or (d) the date on which we are deemed to be a large accelerated filer under the rules of the SEC.</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refer you to “Note 4. Recent Accounting Pronouncements” in our audited financial statements and related notes thereto included elsewhere in this Annual Report on Form 10-K.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78" w:name="page79"/>
    <w:bookmarkEnd w:id="78"/>
    <w:p>
      <w:pPr>
        <w:spacing w:after="0"/>
        <w:tabs>
          <w:tab w:leader="none" w:pos="148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155" w:lineRule="exact"/>
        <w:rPr>
          <w:sz w:val="20"/>
          <w:szCs w:val="20"/>
          <w:color w:val="auto"/>
        </w:rPr>
      </w:pPr>
    </w:p>
    <w:p>
      <w:pPr>
        <w:ind w:right="380"/>
        <w:spacing w:after="0" w:line="323" w:lineRule="auto"/>
        <w:rPr>
          <w:sz w:val="20"/>
          <w:szCs w:val="20"/>
          <w:color w:val="auto"/>
        </w:rPr>
      </w:pPr>
      <w:r>
        <w:rPr>
          <w:rFonts w:ascii="Arial" w:cs="Arial" w:eastAsia="Arial" w:hAnsi="Arial"/>
          <w:sz w:val="15"/>
          <w:szCs w:val="15"/>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13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As discussed above in the section of this Annual Report on Form 10-K titled “—Liquidity and Capital Resources—Indebtedness,” our credit facility bears interest at 7.65% plus the greater of (a) 1.66% or (b) the rate per annum rate published by the Intercontinental Exchange Benchmark Administration Ltd. As a result, we are exposed to risks from changes in interest rates. We believe that a one-point increase in interest rates would result in an approximate $0.4 million increase to our interest expense for the year ended December 31, 2020.</w:t>
      </w:r>
    </w:p>
    <w:p>
      <w:pPr>
        <w:spacing w:after="0" w:line="17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have any exposure to foreign currency fluctuations and do not engage in any hedging activities as part of our normal course of business.</w:t>
      </w:r>
    </w:p>
    <w:p>
      <w:pPr>
        <w:spacing w:after="0" w:line="331"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financial statements listed in the Index to Financial Statements beginning on page F-1 are filed as part of this Annual Report on Form 10-K and incorporated by reference herein.</w:t>
      </w:r>
    </w:p>
    <w:p>
      <w:pPr>
        <w:spacing w:after="0" w:line="25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term “disclosure controls and procedures,” as defined in Rules 13a-15(e) and 15d-15(e) of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Chief Executive Officer and Chief Financial Officer, evaluated the effectiveness of our disclosure controls and procedures as of the end of the period covered by this Annual Report on Form 10-K. Based on that evaluation, our Chief Executive Officer and our Chief Financial Officer concluded that our disclosure controls and procedures were effective as of December 31, 2020 at the reasonable assurance level.</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642" w:right="35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3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7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such term is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December 31, 2020 at the reasonable assurance level.</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fourth quarter ended December 31, 2020, there were no changes in our internal control over financial reporting (as defined in Rule 13a-15(f) of the Exchange Act) which materially affected, or are reasonably likely to materially affect, our internal control over financial reporting.</w:t>
      </w:r>
    </w:p>
    <w:p>
      <w:pPr>
        <w:spacing w:after="0" w:line="25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681" w:right="379" w:bottom="1440" w:gutter="0" w:footer="0" w:header="0"/>
        </w:sectPr>
      </w:pPr>
    </w:p>
    <w:bookmarkStart w:id="80" w:name="page81"/>
    <w:bookmarkEnd w:id="80"/>
    <w:p>
      <w:pPr>
        <w:ind w:left="5280"/>
        <w:spacing w:after="0"/>
        <w:rPr>
          <w:sz w:val="20"/>
          <w:szCs w:val="20"/>
          <w:color w:val="auto"/>
        </w:rPr>
      </w:pPr>
      <w:r>
        <w:rPr>
          <w:rFonts w:ascii="Arial" w:cs="Arial" w:eastAsia="Arial" w:hAnsi="Arial"/>
          <w:sz w:val="17"/>
          <w:szCs w:val="17"/>
          <w:b w:val="1"/>
          <w:bCs w:val="1"/>
          <w:color w:val="auto"/>
        </w:rPr>
        <w:t>PART III</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“Proposal 1 - Election of Directors,” “Executive Officers of the Company,” and “Information Regarding the Board of Directors and Corporate Governance” and “Delinquent Section 16(a) Reports” in our 2021 Proxy Statement.</w:t>
      </w:r>
    </w:p>
    <w:p>
      <w:pPr>
        <w:spacing w:after="0" w:line="270"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 titled “Executive Compensation” in our 2021 Proxy Statement.</w:t>
      </w:r>
    </w:p>
    <w:p>
      <w:pPr>
        <w:spacing w:after="0" w:line="25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2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 titled “Security Ownership of Certain Beneficial Owners and Management and “Executive Compensation” in our 2021 Proxy Statement.</w:t>
      </w:r>
    </w:p>
    <w:p>
      <w:pPr>
        <w:spacing w:after="0" w:line="25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2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 titled “Transactions with Related Persons” and “Information regarding the Board of Directors and Corporate Governance” in our 2021 Proxy Statement.</w:t>
      </w:r>
    </w:p>
    <w:p>
      <w:pPr>
        <w:spacing w:after="0" w:line="25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 titled “Principal Accountant Fees and Services” contained in Proposal 2 in our 2021 Proxy Statement.</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320" w:top="329" w:right="45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PART IV</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listed in the Index to Financial Statements beginning on page F-1 are filed as part of this Annual Report on Form 10-K.</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(a)(2) Financial Statement Schedules</w:t>
      </w:r>
    </w:p>
    <w:p>
      <w:pPr>
        <w:spacing w:after="0" w:line="11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All schedules have been omitted because they are not required or because the required information is given in the Financial Statements or Notes listed in the Index to Financial Statements beginning on page F-1.</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 Exhibits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in the Exhibit Index below are filed or incorporated by reference as part of this Annual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20" w:type="dxa"/>
            <w:vAlign w:val="bottom"/>
            <w:gridSpan w:val="15"/>
          </w:tcPr>
          <w:p>
            <w:pPr>
              <w:ind w:left="1500"/>
              <w:spacing w:after="0"/>
              <w:rPr>
                <w:sz w:val="20"/>
                <w:szCs w:val="20"/>
                <w:color w:val="auto"/>
              </w:rPr>
            </w:pPr>
            <w:r>
              <w:rPr>
                <w:rFonts w:ascii="Arial" w:cs="Arial" w:eastAsia="Arial" w:hAnsi="Arial"/>
                <w:sz w:val="17"/>
                <w:szCs w:val="17"/>
                <w:b w:val="1"/>
                <w:bCs w:val="1"/>
                <w:color w:val="auto"/>
              </w:rPr>
              <w:t>Exhibit Index</w:t>
            </w:r>
          </w:p>
        </w:tc>
      </w:tr>
      <w:tr>
        <w:trPr>
          <w:trHeight w:val="385"/>
        </w:trPr>
        <w:tc>
          <w:tcPr>
            <w:tcW w:w="108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1080" w:type="dxa"/>
            <w:vAlign w:val="bottom"/>
          </w:tcPr>
          <w:p>
            <w:pPr>
              <w:spacing w:after="0"/>
              <w:rPr>
                <w:sz w:val="20"/>
                <w:szCs w:val="20"/>
                <w:color w:val="auto"/>
              </w:rPr>
            </w:pPr>
            <w:r>
              <w:rPr>
                <w:rFonts w:ascii="Arial" w:cs="Arial" w:eastAsia="Arial" w:hAnsi="Arial"/>
                <w:sz w:val="17"/>
                <w:szCs w:val="17"/>
                <w:b w:val="1"/>
                <w:bCs w:val="1"/>
                <w:color w:val="auto"/>
              </w:rPr>
              <w:t>Number</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940" w:type="dxa"/>
            <w:vAlign w:val="bottom"/>
            <w:gridSpan w:val="13"/>
          </w:tcPr>
          <w:p>
            <w:pPr>
              <w:ind w:left="40"/>
              <w:spacing w:after="0"/>
              <w:rPr>
                <w:sz w:val="20"/>
                <w:szCs w:val="20"/>
                <w:color w:val="auto"/>
              </w:rPr>
            </w:pPr>
            <w:r>
              <w:rPr>
                <w:rFonts w:ascii="Arial" w:cs="Arial" w:eastAsia="Arial" w:hAnsi="Arial"/>
                <w:sz w:val="17"/>
                <w:szCs w:val="17"/>
                <w:b w:val="1"/>
                <w:bCs w:val="1"/>
                <w:color w:val="auto"/>
              </w:rPr>
              <w:t>Description of Exhibit</w:t>
            </w:r>
          </w:p>
        </w:tc>
      </w:tr>
      <w:tr>
        <w:trPr>
          <w:trHeight w:val="287"/>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3.1</w:t>
            </w:r>
          </w:p>
        </w:tc>
        <w:tc>
          <w:tcPr>
            <w:tcW w:w="10160" w:type="dxa"/>
            <w:vAlign w:val="bottom"/>
            <w:gridSpan w:val="19"/>
          </w:tcPr>
          <w:p>
            <w:pPr>
              <w:spacing w:after="0"/>
              <w:rPr>
                <w:rFonts w:ascii="Arial" w:cs="Arial" w:eastAsia="Arial" w:hAnsi="Arial"/>
                <w:sz w:val="17"/>
                <w:szCs w:val="17"/>
                <w:color w:val="0000EE"/>
                <w:w w:val="94"/>
              </w:rPr>
            </w:pPr>
            <w:hyperlink r:id="rId102">
              <w:r>
                <w:rPr>
                  <w:rFonts w:ascii="Arial" w:cs="Arial" w:eastAsia="Arial" w:hAnsi="Arial"/>
                  <w:sz w:val="17"/>
                  <w:szCs w:val="17"/>
                  <w:color w:val="0000EE"/>
                  <w:w w:val="94"/>
                </w:rPr>
                <w:t>Ninth Amended and Restated Certificate of Incorporation of the Registrant (incorporated by reference to Exhibit 3.1 to the Form 8-K filed July 6,</w:t>
              </w:r>
            </w:hyperlink>
          </w:p>
        </w:tc>
      </w:tr>
      <w:tr>
        <w:trPr>
          <w:trHeight w:val="188"/>
        </w:trPr>
        <w:tc>
          <w:tcPr>
            <w:tcW w:w="10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r:id="rId102">
              <w:r>
                <w:rPr>
                  <w:rFonts w:ascii="Arial" w:cs="Arial" w:eastAsia="Arial" w:hAnsi="Arial"/>
                  <w:sz w:val="17"/>
                  <w:szCs w:val="17"/>
                  <w:color w:val="0000EE"/>
                  <w:w w:val="87"/>
                </w:rPr>
                <w:t>2018)</w:t>
              </w:r>
            </w:hyperlink>
          </w:p>
        </w:tc>
        <w:tc>
          <w:tcPr>
            <w:tcW w:w="260" w:type="dxa"/>
            <w:vAlign w:val="bottom"/>
            <w:tcBorders>
              <w:top w:val="single" w:sz="8" w:color="0000EE"/>
            </w:tcBorders>
          </w:tcPr>
          <w:p>
            <w:pPr>
              <w:spacing w:after="0"/>
              <w:rPr>
                <w:sz w:val="16"/>
                <w:szCs w:val="16"/>
                <w:color w:val="auto"/>
              </w:rPr>
            </w:pPr>
          </w:p>
        </w:tc>
        <w:tc>
          <w:tcPr>
            <w:tcW w:w="1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9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r>
      <w:tr>
        <w:trPr>
          <w:trHeight w:val="306"/>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3.2</w:t>
            </w:r>
          </w:p>
        </w:tc>
        <w:tc>
          <w:tcPr>
            <w:tcW w:w="10160" w:type="dxa"/>
            <w:vAlign w:val="bottom"/>
            <w:gridSpan w:val="19"/>
          </w:tcPr>
          <w:p>
            <w:pPr>
              <w:spacing w:after="0"/>
              <w:rPr>
                <w:rFonts w:ascii="Arial" w:cs="Arial" w:eastAsia="Arial" w:hAnsi="Arial"/>
                <w:sz w:val="17"/>
                <w:szCs w:val="17"/>
                <w:color w:val="0000EE"/>
                <w:w w:val="94"/>
              </w:rPr>
            </w:pPr>
            <w:hyperlink r:id="rId103">
              <w:r>
                <w:rPr>
                  <w:rFonts w:ascii="Arial" w:cs="Arial" w:eastAsia="Arial" w:hAnsi="Arial"/>
                  <w:sz w:val="17"/>
                  <w:szCs w:val="17"/>
                  <w:color w:val="0000EE"/>
                  <w:w w:val="94"/>
                </w:rPr>
                <w:t>Certificate of Amendment to the Registrant’s Ninth Amended and Restated Certificate of Incorporation (incorporated by reference to Exhibit 3.1</w:t>
              </w:r>
            </w:hyperlink>
          </w:p>
        </w:tc>
      </w:tr>
      <w:tr>
        <w:trPr>
          <w:trHeight w:val="188"/>
        </w:trPr>
        <w:tc>
          <w:tcPr>
            <w:tcW w:w="1080" w:type="dxa"/>
            <w:vAlign w:val="bottom"/>
          </w:tcPr>
          <w:p>
            <w:pPr>
              <w:spacing w:after="0"/>
              <w:rPr>
                <w:sz w:val="16"/>
                <w:szCs w:val="16"/>
                <w:color w:val="auto"/>
              </w:rPr>
            </w:pPr>
          </w:p>
        </w:tc>
        <w:tc>
          <w:tcPr>
            <w:tcW w:w="10040" w:type="dxa"/>
            <w:vAlign w:val="bottom"/>
            <w:tcBorders>
              <w:top w:val="single" w:sz="8" w:color="0000EE"/>
            </w:tcBorders>
            <w:gridSpan w:val="15"/>
          </w:tcPr>
          <w:p>
            <w:pPr>
              <w:spacing w:after="0" w:line="189" w:lineRule="exact"/>
              <w:rPr>
                <w:rFonts w:ascii="Arial" w:cs="Arial" w:eastAsia="Arial" w:hAnsi="Arial"/>
                <w:sz w:val="17"/>
                <w:szCs w:val="17"/>
                <w:color w:val="0000EE"/>
              </w:rPr>
            </w:pPr>
            <w:hyperlink r:id="rId103">
              <w:r>
                <w:rPr>
                  <w:rFonts w:ascii="Arial" w:cs="Arial" w:eastAsia="Arial" w:hAnsi="Arial"/>
                  <w:sz w:val="17"/>
                  <w:szCs w:val="17"/>
                  <w:color w:val="0000EE"/>
                </w:rPr>
                <w:t>to the Form 8-K filed May 30, 2019)</w:t>
              </w:r>
            </w:hyperlink>
          </w:p>
        </w:tc>
        <w:tc>
          <w:tcPr>
            <w:tcW w:w="120" w:type="dxa"/>
            <w:vAlign w:val="bottom"/>
            <w:gridSpan w:val="4"/>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5"/>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3.3</w:t>
            </w:r>
          </w:p>
        </w:tc>
        <w:tc>
          <w:tcPr>
            <w:tcW w:w="10160" w:type="dxa"/>
            <w:vAlign w:val="bottom"/>
            <w:gridSpan w:val="19"/>
          </w:tcPr>
          <w:p>
            <w:pPr>
              <w:spacing w:after="0"/>
              <w:rPr>
                <w:rFonts w:ascii="Arial" w:cs="Arial" w:eastAsia="Arial" w:hAnsi="Arial"/>
                <w:sz w:val="17"/>
                <w:szCs w:val="17"/>
                <w:u w:val="single" w:color="auto"/>
                <w:color w:val="0000EE"/>
              </w:rPr>
            </w:pPr>
            <w:hyperlink r:id="rId104">
              <w:r>
                <w:rPr>
                  <w:rFonts w:ascii="Arial" w:cs="Arial" w:eastAsia="Arial" w:hAnsi="Arial"/>
                  <w:sz w:val="17"/>
                  <w:szCs w:val="17"/>
                  <w:u w:val="single" w:color="auto"/>
                  <w:color w:val="0000EE"/>
                </w:rPr>
                <w:t>Second Amended and Restated Bylaws of the Registrant (incorporated by reference to Exhibit 3.2 to the Form 8-K filed July 6, 2018)</w:t>
              </w:r>
            </w:hyperlink>
          </w:p>
        </w:tc>
      </w:tr>
      <w:tr>
        <w:trPr>
          <w:trHeight w:val="287"/>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3.4</w:t>
            </w:r>
          </w:p>
        </w:tc>
        <w:tc>
          <w:tcPr>
            <w:tcW w:w="10160" w:type="dxa"/>
            <w:vAlign w:val="bottom"/>
            <w:gridSpan w:val="19"/>
          </w:tcPr>
          <w:p>
            <w:pPr>
              <w:spacing w:after="0"/>
              <w:rPr>
                <w:rFonts w:ascii="Arial" w:cs="Arial" w:eastAsia="Arial" w:hAnsi="Arial"/>
                <w:sz w:val="17"/>
                <w:szCs w:val="17"/>
                <w:color w:val="0000EE"/>
                <w:w w:val="94"/>
              </w:rPr>
            </w:pPr>
            <w:hyperlink r:id="rId105">
              <w:r>
                <w:rPr>
                  <w:rFonts w:ascii="Arial" w:cs="Arial" w:eastAsia="Arial" w:hAnsi="Arial"/>
                  <w:sz w:val="17"/>
                  <w:szCs w:val="17"/>
                  <w:color w:val="0000EE"/>
                  <w:w w:val="94"/>
                </w:rPr>
                <w:t>First Amendment to the Registrant’s Second Amended and Restated Bylaws (incorporated by reference to Exhibit 3.4 to the Form 8-K filed May</w:t>
              </w:r>
            </w:hyperlink>
          </w:p>
        </w:tc>
      </w:tr>
      <w:tr>
        <w:trPr>
          <w:trHeight w:val="188"/>
        </w:trPr>
        <w:tc>
          <w:tcPr>
            <w:tcW w:w="1080" w:type="dxa"/>
            <w:vAlign w:val="bottom"/>
          </w:tcPr>
          <w:p>
            <w:pPr>
              <w:spacing w:after="0"/>
              <w:rPr>
                <w:sz w:val="16"/>
                <w:szCs w:val="16"/>
                <w:color w:val="auto"/>
              </w:rPr>
            </w:pPr>
          </w:p>
        </w:tc>
        <w:tc>
          <w:tcPr>
            <w:tcW w:w="66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89"/>
              </w:rPr>
            </w:pPr>
            <w:hyperlink r:id="rId105">
              <w:r>
                <w:rPr>
                  <w:rFonts w:ascii="Arial" w:cs="Arial" w:eastAsia="Arial" w:hAnsi="Arial"/>
                  <w:sz w:val="17"/>
                  <w:szCs w:val="17"/>
                  <w:color w:val="0000EE"/>
                  <w:w w:val="89"/>
                </w:rPr>
                <w:t>30, 2019)</w:t>
              </w:r>
            </w:hyperlink>
          </w:p>
        </w:tc>
        <w:tc>
          <w:tcPr>
            <w:tcW w:w="14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6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9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6"/>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3.5</w:t>
            </w:r>
          </w:p>
        </w:tc>
        <w:tc>
          <w:tcPr>
            <w:tcW w:w="9960" w:type="dxa"/>
            <w:vAlign w:val="bottom"/>
            <w:tcBorders>
              <w:bottom w:val="single" w:sz="8" w:color="0000EE"/>
            </w:tcBorders>
            <w:gridSpan w:val="14"/>
          </w:tcPr>
          <w:p>
            <w:pPr>
              <w:spacing w:after="0"/>
              <w:rPr>
                <w:rFonts w:ascii="Arial" w:cs="Arial" w:eastAsia="Arial" w:hAnsi="Arial"/>
                <w:sz w:val="17"/>
                <w:szCs w:val="17"/>
                <w:color w:val="0000EE"/>
                <w:w w:val="93"/>
              </w:rPr>
            </w:pPr>
            <w:hyperlink r:id="rId106">
              <w:r>
                <w:rPr>
                  <w:rFonts w:ascii="Arial" w:cs="Arial" w:eastAsia="Arial" w:hAnsi="Arial"/>
                  <w:sz w:val="17"/>
                  <w:szCs w:val="17"/>
                  <w:color w:val="0000EE"/>
                  <w:w w:val="93"/>
                </w:rPr>
                <w:t>Certificate of Designations of Series A Junior Participating Preferred Stock of Neuronetics, Inc. (incorporated by reference to Exhibit 3.1 to the</w:t>
              </w:r>
            </w:hyperlink>
          </w:p>
        </w:tc>
        <w:tc>
          <w:tcPr>
            <w:tcW w:w="200" w:type="dxa"/>
            <w:vAlign w:val="bottom"/>
            <w:gridSpan w:val="5"/>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2080" w:type="dxa"/>
            <w:vAlign w:val="bottom"/>
            <w:tcBorders>
              <w:bottom w:val="single" w:sz="8" w:color="0000EE"/>
            </w:tcBorders>
            <w:gridSpan w:val="3"/>
          </w:tcPr>
          <w:p>
            <w:pPr>
              <w:spacing w:after="0" w:line="189" w:lineRule="exact"/>
              <w:rPr>
                <w:rFonts w:ascii="Arial" w:cs="Arial" w:eastAsia="Arial" w:hAnsi="Arial"/>
                <w:sz w:val="17"/>
                <w:szCs w:val="17"/>
                <w:color w:val="0000EE"/>
                <w:w w:val="96"/>
              </w:rPr>
            </w:pPr>
            <w:hyperlink r:id="rId106">
              <w:r>
                <w:rPr>
                  <w:rFonts w:ascii="Arial" w:cs="Arial" w:eastAsia="Arial" w:hAnsi="Arial"/>
                  <w:sz w:val="17"/>
                  <w:szCs w:val="17"/>
                  <w:color w:val="0000EE"/>
                  <w:w w:val="96"/>
                </w:rPr>
                <w:t>Form 8-K filed April 8, 2020)</w:t>
              </w:r>
            </w:hyperlink>
          </w:p>
        </w:tc>
        <w:tc>
          <w:tcPr>
            <w:tcW w:w="8080" w:type="dxa"/>
            <w:vAlign w:val="bottom"/>
            <w:gridSpan w:val="16"/>
          </w:tcPr>
          <w:p>
            <w:pPr>
              <w:spacing w:after="0"/>
              <w:rPr>
                <w:sz w:val="16"/>
                <w:szCs w:val="16"/>
                <w:color w:val="auto"/>
              </w:rPr>
            </w:pPr>
          </w:p>
        </w:tc>
      </w:tr>
      <w:tr>
        <w:trPr>
          <w:trHeight w:val="306"/>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4.1</w:t>
            </w:r>
          </w:p>
        </w:tc>
        <w:tc>
          <w:tcPr>
            <w:tcW w:w="10160" w:type="dxa"/>
            <w:vAlign w:val="bottom"/>
            <w:gridSpan w:val="19"/>
          </w:tcPr>
          <w:p>
            <w:pPr>
              <w:spacing w:after="0"/>
              <w:rPr>
                <w:rFonts w:ascii="Arial" w:cs="Arial" w:eastAsia="Arial" w:hAnsi="Arial"/>
                <w:sz w:val="17"/>
                <w:szCs w:val="17"/>
                <w:color w:val="0000EE"/>
                <w:w w:val="95"/>
              </w:rPr>
            </w:pPr>
            <w:hyperlink r:id="rId107">
              <w:r>
                <w:rPr>
                  <w:rFonts w:ascii="Arial" w:cs="Arial" w:eastAsia="Arial" w:hAnsi="Arial"/>
                  <w:sz w:val="17"/>
                  <w:szCs w:val="17"/>
                  <w:color w:val="0000EE"/>
                  <w:w w:val="95"/>
                </w:rPr>
                <w:t>Specimen Stock Certificate evidencing shares of common stock of the Registrant (incorporated by reference to Exhibit 4.1 to the Registrant’s</w:t>
              </w:r>
            </w:hyperlink>
          </w:p>
        </w:tc>
      </w:tr>
      <w:tr>
        <w:trPr>
          <w:trHeight w:val="188"/>
        </w:trPr>
        <w:tc>
          <w:tcPr>
            <w:tcW w:w="1080" w:type="dxa"/>
            <w:vAlign w:val="bottom"/>
          </w:tcPr>
          <w:p>
            <w:pPr>
              <w:spacing w:after="0"/>
              <w:rPr>
                <w:sz w:val="16"/>
                <w:szCs w:val="16"/>
                <w:color w:val="auto"/>
              </w:rPr>
            </w:pPr>
          </w:p>
        </w:tc>
        <w:tc>
          <w:tcPr>
            <w:tcW w:w="9800" w:type="dxa"/>
            <w:vAlign w:val="bottom"/>
            <w:tcBorders>
              <w:top w:val="single" w:sz="8" w:color="0000EE"/>
            </w:tcBorders>
            <w:gridSpan w:val="11"/>
          </w:tcPr>
          <w:p>
            <w:pPr>
              <w:spacing w:after="0" w:line="189" w:lineRule="exact"/>
              <w:rPr>
                <w:rFonts w:ascii="Arial" w:cs="Arial" w:eastAsia="Arial" w:hAnsi="Arial"/>
                <w:sz w:val="17"/>
                <w:szCs w:val="17"/>
                <w:color w:val="0000EE"/>
              </w:rPr>
            </w:pPr>
            <w:hyperlink r:id="rId107">
              <w:r>
                <w:rPr>
                  <w:rFonts w:ascii="Arial" w:cs="Arial" w:eastAsia="Arial" w:hAnsi="Arial"/>
                  <w:sz w:val="17"/>
                  <w:szCs w:val="17"/>
                  <w:color w:val="0000EE"/>
                </w:rPr>
                <w:t>Registration Statement on Form S-1 (File No. 333-225307))</w:t>
              </w:r>
            </w:hyperlink>
          </w:p>
        </w:tc>
        <w:tc>
          <w:tcPr>
            <w:tcW w:w="360" w:type="dxa"/>
            <w:vAlign w:val="bottom"/>
            <w:gridSpan w:val="8"/>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6"/>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4.2</w:t>
            </w:r>
          </w:p>
        </w:tc>
        <w:tc>
          <w:tcPr>
            <w:tcW w:w="10160" w:type="dxa"/>
            <w:vAlign w:val="bottom"/>
            <w:gridSpan w:val="19"/>
          </w:tcPr>
          <w:p>
            <w:pPr>
              <w:spacing w:after="0"/>
              <w:rPr>
                <w:rFonts w:ascii="Arial" w:cs="Arial" w:eastAsia="Arial" w:hAnsi="Arial"/>
                <w:sz w:val="17"/>
                <w:szCs w:val="17"/>
                <w:color w:val="0000EE"/>
                <w:w w:val="96"/>
              </w:rPr>
            </w:pPr>
            <w:hyperlink r:id="rId108">
              <w:r>
                <w:rPr>
                  <w:rFonts w:ascii="Arial" w:cs="Arial" w:eastAsia="Arial" w:hAnsi="Arial"/>
                  <w:sz w:val="17"/>
                  <w:szCs w:val="17"/>
                  <w:color w:val="0000EE"/>
                  <w:w w:val="96"/>
                </w:rPr>
                <w:t>Form of Warrant to Purchase Stock, by and between the Registrant and Oxford Finance LLC (incorporated by reference to Exhibit 4.2 to the</w:t>
              </w:r>
            </w:hyperlink>
          </w:p>
        </w:tc>
      </w:tr>
      <w:tr>
        <w:trPr>
          <w:trHeight w:val="188"/>
        </w:trPr>
        <w:tc>
          <w:tcPr>
            <w:tcW w:w="1080" w:type="dxa"/>
            <w:vAlign w:val="bottom"/>
          </w:tcPr>
          <w:p>
            <w:pPr>
              <w:spacing w:after="0"/>
              <w:rPr>
                <w:sz w:val="16"/>
                <w:szCs w:val="16"/>
                <w:color w:val="auto"/>
              </w:rPr>
            </w:pPr>
          </w:p>
        </w:tc>
        <w:tc>
          <w:tcPr>
            <w:tcW w:w="974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r:id="rId108">
              <w:r>
                <w:rPr>
                  <w:rFonts w:ascii="Arial" w:cs="Arial" w:eastAsia="Arial" w:hAnsi="Arial"/>
                  <w:sz w:val="17"/>
                  <w:szCs w:val="17"/>
                  <w:color w:val="0000EE"/>
                </w:rPr>
                <w:t>Registration Statement on Form S-1 (File No. 333- 225307))</w:t>
              </w:r>
            </w:hyperlink>
          </w:p>
        </w:tc>
        <w:tc>
          <w:tcPr>
            <w:tcW w:w="420" w:type="dxa"/>
            <w:vAlign w:val="bottom"/>
            <w:gridSpan w:val="9"/>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4220" w:type="dxa"/>
            <w:vAlign w:val="bottom"/>
            <w:tcBorders>
              <w:right w:val="single" w:sz="8" w:color="0000EE"/>
            </w:tcBorders>
            <w:gridSpan w:val="6"/>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6"/>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4.3</w:t>
            </w:r>
          </w:p>
        </w:tc>
        <w:tc>
          <w:tcPr>
            <w:tcW w:w="9940" w:type="dxa"/>
            <w:vAlign w:val="bottom"/>
            <w:tcBorders>
              <w:bottom w:val="single" w:sz="8" w:color="0000EE"/>
            </w:tcBorders>
            <w:gridSpan w:val="13"/>
          </w:tcPr>
          <w:p>
            <w:pPr>
              <w:spacing w:after="0"/>
              <w:rPr>
                <w:rFonts w:ascii="Arial" w:cs="Arial" w:eastAsia="Arial" w:hAnsi="Arial"/>
                <w:sz w:val="17"/>
                <w:szCs w:val="17"/>
                <w:color w:val="0000EE"/>
                <w:w w:val="91"/>
              </w:rPr>
            </w:pPr>
            <w:hyperlink r:id="rId109">
              <w:r>
                <w:rPr>
                  <w:rFonts w:ascii="Arial" w:cs="Arial" w:eastAsia="Arial" w:hAnsi="Arial"/>
                  <w:sz w:val="17"/>
                  <w:szCs w:val="17"/>
                  <w:color w:val="0000EE"/>
                  <w:w w:val="91"/>
                </w:rPr>
                <w:t>Warrant to Purchase Stock, by and between the Registrant and Comerica Bank, dated December 20, 2012 (incorporated by reference to Exhibit</w:t>
              </w:r>
            </w:hyperlink>
          </w:p>
        </w:tc>
        <w:tc>
          <w:tcPr>
            <w:tcW w:w="220" w:type="dxa"/>
            <w:vAlign w:val="bottom"/>
            <w:gridSpan w:val="6"/>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4880" w:type="dxa"/>
            <w:vAlign w:val="bottom"/>
            <w:tcBorders>
              <w:bottom w:val="single" w:sz="8" w:color="0000EE"/>
            </w:tcBorders>
            <w:gridSpan w:val="7"/>
          </w:tcPr>
          <w:p>
            <w:pPr>
              <w:spacing w:after="0" w:line="189" w:lineRule="exact"/>
              <w:rPr>
                <w:rFonts w:ascii="Arial" w:cs="Arial" w:eastAsia="Arial" w:hAnsi="Arial"/>
                <w:sz w:val="17"/>
                <w:szCs w:val="17"/>
                <w:color w:val="0000EE"/>
                <w:w w:val="92"/>
              </w:rPr>
            </w:pPr>
            <w:hyperlink r:id="rId109">
              <w:r>
                <w:rPr>
                  <w:rFonts w:ascii="Arial" w:cs="Arial" w:eastAsia="Arial" w:hAnsi="Arial"/>
                  <w:sz w:val="17"/>
                  <w:szCs w:val="17"/>
                  <w:color w:val="0000EE"/>
                  <w:w w:val="92"/>
                </w:rPr>
                <w:t>4.</w:t>
              </w:r>
              <w:r>
                <w:rPr>
                  <w:rFonts w:ascii="Arial" w:cs="Arial" w:eastAsia="Arial" w:hAnsi="Arial"/>
                  <w:sz w:val="17"/>
                  <w:szCs w:val="17"/>
                  <w:u w:val="single" w:color="auto"/>
                  <w:color w:val="0000EE"/>
                  <w:w w:val="92"/>
                </w:rPr>
                <w:t>3</w:t>
              </w:r>
              <w:r>
                <w:rPr>
                  <w:rFonts w:ascii="Arial" w:cs="Arial" w:eastAsia="Arial" w:hAnsi="Arial"/>
                  <w:sz w:val="17"/>
                  <w:szCs w:val="17"/>
                  <w:color w:val="0000EE"/>
                  <w:w w:val="92"/>
                </w:rPr>
                <w:t xml:space="preserve"> to the Registration Statement on Form S-1 (File No. 333-225307))</w:t>
              </w:r>
            </w:hyperlink>
          </w:p>
        </w:tc>
        <w:tc>
          <w:tcPr>
            <w:tcW w:w="5280" w:type="dxa"/>
            <w:vAlign w:val="bottom"/>
            <w:gridSpan w:val="12"/>
          </w:tcPr>
          <w:p>
            <w:pPr>
              <w:spacing w:after="0"/>
              <w:rPr>
                <w:sz w:val="16"/>
                <w:szCs w:val="16"/>
                <w:color w:val="auto"/>
              </w:rPr>
            </w:pPr>
          </w:p>
        </w:tc>
      </w:tr>
      <w:tr>
        <w:trPr>
          <w:trHeight w:val="306"/>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4.4</w:t>
            </w:r>
          </w:p>
        </w:tc>
        <w:tc>
          <w:tcPr>
            <w:tcW w:w="10080" w:type="dxa"/>
            <w:vAlign w:val="bottom"/>
            <w:tcBorders>
              <w:bottom w:val="single" w:sz="8" w:color="0000EE"/>
            </w:tcBorders>
            <w:gridSpan w:val="17"/>
          </w:tcPr>
          <w:p>
            <w:pPr>
              <w:spacing w:after="0"/>
              <w:rPr>
                <w:rFonts w:ascii="Arial" w:cs="Arial" w:eastAsia="Arial" w:hAnsi="Arial"/>
                <w:sz w:val="17"/>
                <w:szCs w:val="17"/>
                <w:color w:val="0000EE"/>
                <w:w w:val="92"/>
              </w:rPr>
            </w:pPr>
            <w:hyperlink r:id="rId110">
              <w:r>
                <w:rPr>
                  <w:rFonts w:ascii="Arial" w:cs="Arial" w:eastAsia="Arial" w:hAnsi="Arial"/>
                  <w:sz w:val="17"/>
                  <w:szCs w:val="17"/>
                  <w:color w:val="0000EE"/>
                  <w:w w:val="92"/>
                </w:rPr>
                <w:t>Description of the Registrant’s Securities Registered Pursuant to Section 12 of the Securities Exchange Act of 1934 (incorporated by reference to</w:t>
              </w:r>
            </w:hyperlink>
          </w:p>
        </w:tc>
        <w:tc>
          <w:tcPr>
            <w:tcW w:w="80" w:type="dxa"/>
            <w:vAlign w:val="bottom"/>
            <w:gridSpan w:val="2"/>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5860" w:type="dxa"/>
            <w:vAlign w:val="bottom"/>
            <w:tcBorders>
              <w:bottom w:val="single" w:sz="8" w:color="0000EE"/>
            </w:tcBorders>
            <w:gridSpan w:val="9"/>
          </w:tcPr>
          <w:p>
            <w:pPr>
              <w:spacing w:after="0" w:line="189" w:lineRule="exact"/>
              <w:rPr>
                <w:rFonts w:ascii="Arial" w:cs="Arial" w:eastAsia="Arial" w:hAnsi="Arial"/>
                <w:sz w:val="17"/>
                <w:szCs w:val="17"/>
                <w:color w:val="0000EE"/>
                <w:w w:val="94"/>
              </w:rPr>
            </w:pPr>
            <w:hyperlink r:id="rId110">
              <w:r>
                <w:rPr>
                  <w:rFonts w:ascii="Arial" w:cs="Arial" w:eastAsia="Arial" w:hAnsi="Arial"/>
                  <w:sz w:val="17"/>
                  <w:szCs w:val="17"/>
                  <w:color w:val="0000EE"/>
                  <w:w w:val="94"/>
                </w:rPr>
                <w:t>Exhibit 4.4 to the Registrant's Annual Report on Form 10-K filed on March 3, 2020)</w:t>
              </w:r>
            </w:hyperlink>
          </w:p>
        </w:tc>
        <w:tc>
          <w:tcPr>
            <w:tcW w:w="4300" w:type="dxa"/>
            <w:vAlign w:val="bottom"/>
            <w:gridSpan w:val="10"/>
          </w:tcPr>
          <w:p>
            <w:pPr>
              <w:spacing w:after="0"/>
              <w:rPr>
                <w:sz w:val="16"/>
                <w:szCs w:val="16"/>
                <w:color w:val="auto"/>
              </w:rPr>
            </w:pPr>
          </w:p>
        </w:tc>
      </w:tr>
      <w:tr>
        <w:trPr>
          <w:trHeight w:val="306"/>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84"/>
              </w:rPr>
              <w:t>4.5</w:t>
            </w:r>
          </w:p>
        </w:tc>
        <w:tc>
          <w:tcPr>
            <w:tcW w:w="9900" w:type="dxa"/>
            <w:vAlign w:val="bottom"/>
            <w:tcBorders>
              <w:bottom w:val="single" w:sz="8" w:color="0000EE"/>
            </w:tcBorders>
            <w:gridSpan w:val="12"/>
          </w:tcPr>
          <w:p>
            <w:pPr>
              <w:spacing w:after="0"/>
              <w:rPr>
                <w:rFonts w:ascii="Arial" w:cs="Arial" w:eastAsia="Arial" w:hAnsi="Arial"/>
                <w:sz w:val="17"/>
                <w:szCs w:val="17"/>
                <w:color w:val="0000EE"/>
                <w:w w:val="92"/>
              </w:rPr>
            </w:pPr>
            <w:hyperlink r:id="rId111">
              <w:r>
                <w:rPr>
                  <w:rFonts w:ascii="Arial" w:cs="Arial" w:eastAsia="Arial" w:hAnsi="Arial"/>
                  <w:sz w:val="17"/>
                  <w:szCs w:val="17"/>
                  <w:color w:val="0000EE"/>
                  <w:w w:val="92"/>
                </w:rPr>
                <w:t>Rights Agreement, dated as of April 8, 2020, between Neuronetics, Inc. and American Stock Transfer &amp; Trust Company, LLC, as rights agent,</w:t>
              </w:r>
            </w:hyperlink>
          </w:p>
        </w:tc>
        <w:tc>
          <w:tcPr>
            <w:tcW w:w="260" w:type="dxa"/>
            <w:vAlign w:val="bottom"/>
            <w:gridSpan w:val="7"/>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10160" w:type="dxa"/>
            <w:vAlign w:val="bottom"/>
            <w:gridSpan w:val="19"/>
          </w:tcPr>
          <w:p>
            <w:pPr>
              <w:spacing w:after="0" w:line="189" w:lineRule="exact"/>
              <w:rPr>
                <w:rFonts w:ascii="Arial" w:cs="Arial" w:eastAsia="Arial" w:hAnsi="Arial"/>
                <w:sz w:val="17"/>
                <w:szCs w:val="17"/>
                <w:color w:val="0000EE"/>
                <w:w w:val="93"/>
              </w:rPr>
            </w:pPr>
            <w:hyperlink r:id="rId111">
              <w:r>
                <w:rPr>
                  <w:rFonts w:ascii="Arial" w:cs="Arial" w:eastAsia="Arial" w:hAnsi="Arial"/>
                  <w:sz w:val="17"/>
                  <w:szCs w:val="17"/>
                  <w:color w:val="0000EE"/>
                  <w:w w:val="93"/>
                </w:rPr>
                <w:t>which includes the form of Right Certificate as Exhibit B and the Summary of Rights to Purchase Preferred Shares as Exhibit C (incorporated by</w:t>
              </w:r>
            </w:hyperlink>
          </w:p>
        </w:tc>
      </w:tr>
      <w:tr>
        <w:trPr>
          <w:trHeight w:val="188"/>
        </w:trPr>
        <w:tc>
          <w:tcPr>
            <w:tcW w:w="1080" w:type="dxa"/>
            <w:vAlign w:val="bottom"/>
          </w:tcPr>
          <w:p>
            <w:pPr>
              <w:spacing w:after="0"/>
              <w:rPr>
                <w:sz w:val="16"/>
                <w:szCs w:val="16"/>
                <w:color w:val="auto"/>
              </w:rPr>
            </w:pPr>
          </w:p>
        </w:tc>
        <w:tc>
          <w:tcPr>
            <w:tcW w:w="422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5"/>
              </w:rPr>
            </w:pPr>
            <w:hyperlink r:id="rId111">
              <w:r>
                <w:rPr>
                  <w:rFonts w:ascii="Arial" w:cs="Arial" w:eastAsia="Arial" w:hAnsi="Arial"/>
                  <w:sz w:val="17"/>
                  <w:szCs w:val="17"/>
                  <w:color w:val="0000EE"/>
                  <w:w w:val="95"/>
                </w:rPr>
                <w:t>reference to Exhibit 4.1 to the Form 8-K filed April 8, 2020)</w:t>
              </w:r>
            </w:hyperlink>
          </w:p>
        </w:tc>
        <w:tc>
          <w:tcPr>
            <w:tcW w:w="5840" w:type="dxa"/>
            <w:vAlign w:val="bottom"/>
            <w:tcBorders>
              <w:top w:val="single" w:sz="8" w:color="0000EE"/>
            </w:tcBorders>
            <w:gridSpan w:val="10"/>
          </w:tcPr>
          <w:p>
            <w:pPr>
              <w:spacing w:after="0"/>
              <w:rPr>
                <w:sz w:val="16"/>
                <w:szCs w:val="16"/>
                <w:color w:val="auto"/>
              </w:rPr>
            </w:pPr>
          </w:p>
        </w:tc>
        <w:tc>
          <w:tcPr>
            <w:tcW w:w="100" w:type="dxa"/>
            <w:vAlign w:val="bottom"/>
            <w:gridSpan w:val="3"/>
          </w:tcPr>
          <w:p>
            <w:pPr>
              <w:spacing w:after="0"/>
              <w:rPr>
                <w:sz w:val="16"/>
                <w:szCs w:val="16"/>
                <w:color w:val="auto"/>
              </w:rPr>
            </w:pPr>
          </w:p>
        </w:tc>
      </w:tr>
      <w:tr>
        <w:trPr>
          <w:trHeight w:val="306"/>
        </w:trPr>
        <w:tc>
          <w:tcPr>
            <w:tcW w:w="1080" w:type="dxa"/>
            <w:vAlign w:val="bottom"/>
          </w:tcPr>
          <w:p>
            <w:pPr>
              <w:jc w:val="center"/>
              <w:ind w:right="593"/>
              <w:spacing w:after="0"/>
              <w:rPr>
                <w:sz w:val="20"/>
                <w:szCs w:val="20"/>
                <w:color w:val="auto"/>
              </w:rPr>
            </w:pPr>
            <w:r>
              <w:rPr>
                <w:rFonts w:ascii="Arial" w:cs="Arial" w:eastAsia="Arial" w:hAnsi="Arial"/>
                <w:sz w:val="17"/>
                <w:szCs w:val="17"/>
                <w:color w:val="auto"/>
                <w:w w:val="96"/>
              </w:rPr>
              <w:t>10.1◊</w:t>
            </w:r>
          </w:p>
        </w:tc>
        <w:tc>
          <w:tcPr>
            <w:tcW w:w="10160" w:type="dxa"/>
            <w:vAlign w:val="bottom"/>
            <w:gridSpan w:val="19"/>
          </w:tcPr>
          <w:p>
            <w:pPr>
              <w:spacing w:after="0"/>
              <w:rPr>
                <w:rFonts w:ascii="Arial" w:cs="Arial" w:eastAsia="Arial" w:hAnsi="Arial"/>
                <w:sz w:val="17"/>
                <w:szCs w:val="17"/>
                <w:color w:val="0000EE"/>
                <w:w w:val="93"/>
              </w:rPr>
            </w:pPr>
            <w:hyperlink r:id="rId112">
              <w:r>
                <w:rPr>
                  <w:rFonts w:ascii="Arial" w:cs="Arial" w:eastAsia="Arial" w:hAnsi="Arial"/>
                  <w:sz w:val="17"/>
                  <w:szCs w:val="17"/>
                  <w:color w:val="0000EE"/>
                  <w:w w:val="93"/>
                </w:rPr>
                <w:t>Distribution Agreement, by and between the Registrant and Teijin Pharma Limited, dated October 12, 2017 (incorporated by reference to Exhibit</w:t>
              </w:r>
            </w:hyperlink>
          </w:p>
        </w:tc>
      </w:tr>
      <w:tr>
        <w:trPr>
          <w:trHeight w:val="188"/>
        </w:trPr>
        <w:tc>
          <w:tcPr>
            <w:tcW w:w="1080" w:type="dxa"/>
            <w:vAlign w:val="bottom"/>
          </w:tcPr>
          <w:p>
            <w:pPr>
              <w:spacing w:after="0"/>
              <w:rPr>
                <w:sz w:val="16"/>
                <w:szCs w:val="16"/>
                <w:color w:val="auto"/>
              </w:rPr>
            </w:pPr>
          </w:p>
        </w:tc>
        <w:tc>
          <w:tcPr>
            <w:tcW w:w="10080" w:type="dxa"/>
            <w:vAlign w:val="bottom"/>
            <w:tcBorders>
              <w:top w:val="single" w:sz="8" w:color="0000EE"/>
            </w:tcBorders>
            <w:gridSpan w:val="17"/>
          </w:tcPr>
          <w:p>
            <w:pPr>
              <w:spacing w:after="0" w:line="189" w:lineRule="exact"/>
              <w:rPr>
                <w:rFonts w:ascii="Arial" w:cs="Arial" w:eastAsia="Arial" w:hAnsi="Arial"/>
                <w:sz w:val="17"/>
                <w:szCs w:val="17"/>
                <w:color w:val="0000EE"/>
              </w:rPr>
            </w:pPr>
            <w:hyperlink r:id="rId112">
              <w:r>
                <w:rPr>
                  <w:rFonts w:ascii="Arial" w:cs="Arial" w:eastAsia="Arial" w:hAnsi="Arial"/>
                  <w:sz w:val="17"/>
                  <w:szCs w:val="17"/>
                  <w:color w:val="0000EE"/>
                </w:rPr>
                <w:t>10.</w:t>
              </w:r>
              <w:r>
                <w:rPr>
                  <w:rFonts w:ascii="Arial" w:cs="Arial" w:eastAsia="Arial" w:hAnsi="Arial"/>
                  <w:sz w:val="17"/>
                  <w:szCs w:val="17"/>
                  <w:u w:val="single" w:color="auto"/>
                  <w:color w:val="0000EE"/>
                </w:rPr>
                <w:t>1</w:t>
              </w:r>
              <w:r>
                <w:rPr>
                  <w:rFonts w:ascii="Arial" w:cs="Arial" w:eastAsia="Arial" w:hAnsi="Arial"/>
                  <w:sz w:val="17"/>
                  <w:szCs w:val="17"/>
                  <w:color w:val="0000EE"/>
                </w:rPr>
                <w:t xml:space="preserve"> to the Registrant’s Registration Statement on Form S-1 (File No. 333-225307))</w:t>
              </w:r>
            </w:hyperlink>
          </w:p>
        </w:tc>
        <w:tc>
          <w:tcPr>
            <w:tcW w:w="80" w:type="dxa"/>
            <w:vAlign w:val="bottom"/>
            <w:gridSpan w:val="2"/>
          </w:tcPr>
          <w:p>
            <w:pPr>
              <w:spacing w:after="0"/>
              <w:rPr>
                <w:sz w:val="16"/>
                <w:szCs w:val="16"/>
                <w:color w:val="auto"/>
              </w:rPr>
            </w:pPr>
          </w:p>
        </w:tc>
      </w:tr>
      <w:tr>
        <w:trPr>
          <w:trHeight w:val="553"/>
        </w:trPr>
        <w:tc>
          <w:tcPr>
            <w:tcW w:w="1080" w:type="dxa"/>
            <w:vAlign w:val="bottom"/>
          </w:tcPr>
          <w:p>
            <w:pPr>
              <w:spacing w:after="0"/>
              <w:rPr>
                <w:sz w:val="24"/>
                <w:szCs w:val="24"/>
                <w:color w:val="auto"/>
              </w:rPr>
            </w:pPr>
          </w:p>
        </w:tc>
        <w:tc>
          <w:tcPr>
            <w:tcW w:w="4880" w:type="dxa"/>
            <w:vAlign w:val="bottom"/>
            <w:tcBorders>
              <w:top w:val="single" w:sz="8" w:color="0000EE"/>
            </w:tcBorders>
            <w:gridSpan w:val="7"/>
          </w:tcPr>
          <w:p>
            <w:pPr>
              <w:ind w:left="4460"/>
              <w:spacing w:after="0"/>
              <w:rPr>
                <w:sz w:val="20"/>
                <w:szCs w:val="20"/>
                <w:color w:val="auto"/>
              </w:rPr>
            </w:pPr>
            <w:r>
              <w:rPr>
                <w:rFonts w:ascii="Arial" w:cs="Arial" w:eastAsia="Arial" w:hAnsi="Arial"/>
                <w:sz w:val="17"/>
                <w:szCs w:val="17"/>
                <w:color w:val="auto"/>
              </w:rPr>
              <w:t>80</w:t>
            </w:r>
          </w:p>
        </w:tc>
        <w:tc>
          <w:tcPr>
            <w:tcW w:w="9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10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1080" w:type="dxa"/>
            <w:vAlign w:val="bottom"/>
          </w:tcPr>
          <w:p>
            <w:pPr>
              <w:spacing w:after="0"/>
              <w:rPr>
                <w:sz w:val="20"/>
                <w:szCs w:val="20"/>
                <w:color w:val="auto"/>
              </w:rPr>
            </w:pPr>
            <w:r>
              <w:rPr>
                <w:rFonts w:ascii="Arial" w:cs="Arial" w:eastAsia="Arial" w:hAnsi="Arial"/>
                <w:sz w:val="17"/>
                <w:szCs w:val="17"/>
                <w:color w:val="auto"/>
              </w:rPr>
              <w:t>10.2</w:t>
            </w:r>
          </w:p>
        </w:tc>
        <w:tc>
          <w:tcPr>
            <w:tcW w:w="9620" w:type="dxa"/>
            <w:vAlign w:val="bottom"/>
            <w:tcBorders>
              <w:bottom w:val="single" w:sz="8" w:color="0000EE"/>
            </w:tcBorders>
            <w:gridSpan w:val="16"/>
          </w:tcPr>
          <w:p>
            <w:pPr>
              <w:spacing w:after="0"/>
              <w:rPr>
                <w:rFonts w:ascii="Arial" w:cs="Arial" w:eastAsia="Arial" w:hAnsi="Arial"/>
                <w:sz w:val="17"/>
                <w:szCs w:val="17"/>
                <w:color w:val="0000EE"/>
                <w:w w:val="91"/>
              </w:rPr>
            </w:pPr>
            <w:hyperlink r:id="rId115">
              <w:r>
                <w:rPr>
                  <w:rFonts w:ascii="Arial" w:cs="Arial" w:eastAsia="Arial" w:hAnsi="Arial"/>
                  <w:sz w:val="17"/>
                  <w:szCs w:val="17"/>
                  <w:color w:val="0000EE"/>
                  <w:w w:val="91"/>
                </w:rPr>
                <w:t>Sixth Amended and Restated Investors’ Rights Agreement by and among the Registrant and certain of its stockholders, dated June 1, 2017</w:t>
              </w:r>
            </w:hyperlink>
          </w:p>
        </w:tc>
        <w:tc>
          <w:tcPr>
            <w:tcW w:w="540" w:type="dxa"/>
            <w:vAlign w:val="bottom"/>
            <w:gridSpan w:val="12"/>
          </w:tcPr>
          <w:p>
            <w:pPr>
              <w:spacing w:after="0"/>
              <w:rPr>
                <w:sz w:val="16"/>
                <w:szCs w:val="16"/>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8"/>
          </w:tcPr>
          <w:p>
            <w:pPr>
              <w:spacing w:after="0"/>
              <w:rPr>
                <w:rFonts w:ascii="Arial" w:cs="Arial" w:eastAsia="Arial" w:hAnsi="Arial"/>
                <w:sz w:val="17"/>
                <w:szCs w:val="17"/>
                <w:u w:val="single" w:color="auto"/>
                <w:color w:val="0000EE"/>
              </w:rPr>
            </w:pPr>
            <w:hyperlink r:id="rId115">
              <w:r>
                <w:rPr>
                  <w:rFonts w:ascii="Arial" w:cs="Arial" w:eastAsia="Arial" w:hAnsi="Arial"/>
                  <w:sz w:val="17"/>
                  <w:szCs w:val="17"/>
                  <w:u w:val="single" w:color="auto"/>
                  <w:color w:val="0000EE"/>
                </w:rPr>
                <w:t>(incorporated by reference to Exhibit 10.2 to the Registrant’s Registration Statement on Form S-1 (File No. 333-225307))</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10.3</w:t>
            </w:r>
          </w:p>
        </w:tc>
        <w:tc>
          <w:tcPr>
            <w:tcW w:w="10160" w:type="dxa"/>
            <w:vAlign w:val="bottom"/>
            <w:gridSpan w:val="28"/>
          </w:tcPr>
          <w:p>
            <w:pPr>
              <w:spacing w:after="0"/>
              <w:rPr>
                <w:rFonts w:ascii="Arial" w:cs="Arial" w:eastAsia="Arial" w:hAnsi="Arial"/>
                <w:sz w:val="17"/>
                <w:szCs w:val="17"/>
                <w:color w:val="0000EE"/>
                <w:w w:val="99"/>
              </w:rPr>
            </w:pPr>
            <w:hyperlink r:id="rId116">
              <w:r>
                <w:rPr>
                  <w:rFonts w:ascii="Arial" w:cs="Arial" w:eastAsia="Arial" w:hAnsi="Arial"/>
                  <w:sz w:val="17"/>
                  <w:szCs w:val="17"/>
                  <w:color w:val="0000EE"/>
                  <w:w w:val="99"/>
                </w:rPr>
                <w:t>Sixth Amended and Restated Stockholders’ Agreement by and among the Registrant and certain of its stockholders, dated June 1, 2017</w:t>
              </w:r>
            </w:hyperlink>
          </w:p>
        </w:tc>
      </w:tr>
      <w:tr>
        <w:trPr>
          <w:trHeight w:val="227"/>
        </w:trPr>
        <w:tc>
          <w:tcPr>
            <w:tcW w:w="1080" w:type="dxa"/>
            <w:vAlign w:val="bottom"/>
          </w:tcPr>
          <w:p>
            <w:pPr>
              <w:spacing w:after="0"/>
              <w:rPr>
                <w:sz w:val="19"/>
                <w:szCs w:val="19"/>
                <w:color w:val="auto"/>
              </w:rPr>
            </w:pPr>
          </w:p>
        </w:tc>
        <w:tc>
          <w:tcPr>
            <w:tcW w:w="9380" w:type="dxa"/>
            <w:vAlign w:val="bottom"/>
            <w:tcBorders>
              <w:top w:val="single" w:sz="8" w:color="0000EE"/>
            </w:tcBorders>
            <w:gridSpan w:val="13"/>
          </w:tcPr>
          <w:p>
            <w:pPr>
              <w:spacing w:after="0"/>
              <w:rPr>
                <w:rFonts w:ascii="Arial" w:cs="Arial" w:eastAsia="Arial" w:hAnsi="Arial"/>
                <w:sz w:val="17"/>
                <w:szCs w:val="17"/>
                <w:u w:val="single" w:color="auto"/>
                <w:color w:val="0000EE"/>
              </w:rPr>
            </w:pPr>
            <w:hyperlink r:id="rId116">
              <w:r>
                <w:rPr>
                  <w:rFonts w:ascii="Arial" w:cs="Arial" w:eastAsia="Arial" w:hAnsi="Arial"/>
                  <w:sz w:val="17"/>
                  <w:szCs w:val="17"/>
                  <w:u w:val="single" w:color="auto"/>
                  <w:color w:val="0000EE"/>
                </w:rPr>
                <w:t>(incorporated by reference to Exhibit 10.3 to the Registrant’s Registration Statement on Form S-1 (File No. 333-225307))</w:t>
              </w:r>
            </w:hyperlink>
          </w:p>
        </w:tc>
        <w:tc>
          <w:tcPr>
            <w:tcW w:w="780" w:type="dxa"/>
            <w:vAlign w:val="bottom"/>
            <w:gridSpan w:val="15"/>
          </w:tcPr>
          <w:p>
            <w:pPr>
              <w:spacing w:after="0"/>
              <w:rPr>
                <w:sz w:val="19"/>
                <w:szCs w:val="19"/>
                <w:color w:val="auto"/>
              </w:rPr>
            </w:pPr>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10.4+</w:t>
            </w:r>
          </w:p>
        </w:tc>
        <w:tc>
          <w:tcPr>
            <w:tcW w:w="10140" w:type="dxa"/>
            <w:vAlign w:val="bottom"/>
            <w:tcBorders>
              <w:bottom w:val="single" w:sz="8" w:color="0000EE"/>
            </w:tcBorders>
            <w:gridSpan w:val="27"/>
          </w:tcPr>
          <w:p>
            <w:pPr>
              <w:spacing w:after="0"/>
              <w:rPr>
                <w:rFonts w:ascii="Arial" w:cs="Arial" w:eastAsia="Arial" w:hAnsi="Arial"/>
                <w:sz w:val="17"/>
                <w:szCs w:val="17"/>
                <w:color w:val="0000EE"/>
                <w:w w:val="92"/>
              </w:rPr>
            </w:pPr>
            <w:hyperlink r:id="rId117">
              <w:r>
                <w:rPr>
                  <w:rFonts w:ascii="Arial" w:cs="Arial" w:eastAsia="Arial" w:hAnsi="Arial"/>
                  <w:sz w:val="17"/>
                  <w:szCs w:val="17"/>
                  <w:color w:val="0000EE"/>
                  <w:w w:val="92"/>
                </w:rPr>
                <w:t>Offer Letter, dated August 11, 2016, by and between the Registrant and Greg Harper (incorporated by reference to Exhibit 10.5 to the Registrant’s</w:t>
              </w:r>
            </w:hyperlink>
          </w:p>
        </w:tc>
        <w:tc>
          <w:tcPr>
            <w:tcW w:w="20" w:type="dxa"/>
            <w:vAlign w:val="bottom"/>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10160" w:type="dxa"/>
            <w:vAlign w:val="bottom"/>
            <w:gridSpan w:val="28"/>
          </w:tcPr>
          <w:p>
            <w:pPr>
              <w:spacing w:after="0" w:line="189" w:lineRule="exact"/>
              <w:rPr>
                <w:rFonts w:ascii="Arial" w:cs="Arial" w:eastAsia="Arial" w:hAnsi="Arial"/>
                <w:sz w:val="17"/>
                <w:szCs w:val="17"/>
                <w:color w:val="0000EE"/>
              </w:rPr>
            </w:pPr>
            <w:hyperlink r:id="rId117">
              <w:r>
                <w:rPr>
                  <w:rFonts w:ascii="Arial" w:cs="Arial" w:eastAsia="Arial" w:hAnsi="Arial"/>
                  <w:sz w:val="17"/>
                  <w:szCs w:val="17"/>
                  <w:color w:val="0000EE"/>
                </w:rPr>
                <w:t>Registration Statement on Form S-1 (File No. 333-225307))</w:t>
              </w:r>
            </w:hyperlink>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10.5</w:t>
            </w:r>
          </w:p>
        </w:tc>
        <w:tc>
          <w:tcPr>
            <w:tcW w:w="10160" w:type="dxa"/>
            <w:vAlign w:val="bottom"/>
            <w:gridSpan w:val="28"/>
          </w:tcPr>
          <w:p>
            <w:pPr>
              <w:spacing w:after="0"/>
              <w:rPr>
                <w:rFonts w:ascii="Arial" w:cs="Arial" w:eastAsia="Arial" w:hAnsi="Arial"/>
                <w:sz w:val="17"/>
                <w:szCs w:val="17"/>
                <w:color w:val="0000EE"/>
                <w:w w:val="96"/>
              </w:rPr>
            </w:pPr>
            <w:hyperlink r:id="rId118">
              <w:r>
                <w:rPr>
                  <w:rFonts w:ascii="Arial" w:cs="Arial" w:eastAsia="Arial" w:hAnsi="Arial"/>
                  <w:sz w:val="17"/>
                  <w:szCs w:val="17"/>
                  <w:color w:val="0000EE"/>
                  <w:w w:val="96"/>
                </w:rPr>
                <w:t>Form of Indemnification Agreement between the Registrant and its non-employee directors and officers (incorporated by reference to Exhibit</w:t>
              </w:r>
            </w:hyperlink>
          </w:p>
        </w:tc>
      </w:tr>
      <w:tr>
        <w:trPr>
          <w:trHeight w:val="188"/>
        </w:trPr>
        <w:tc>
          <w:tcPr>
            <w:tcW w:w="1080" w:type="dxa"/>
            <w:vAlign w:val="bottom"/>
          </w:tcPr>
          <w:p>
            <w:pPr>
              <w:spacing w:after="0"/>
              <w:rPr>
                <w:sz w:val="16"/>
                <w:szCs w:val="16"/>
                <w:color w:val="auto"/>
              </w:rPr>
            </w:pPr>
          </w:p>
        </w:tc>
        <w:tc>
          <w:tcPr>
            <w:tcW w:w="584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2"/>
              </w:rPr>
            </w:pPr>
            <w:hyperlink r:id="rId118">
              <w:r>
                <w:rPr>
                  <w:rFonts w:ascii="Arial" w:cs="Arial" w:eastAsia="Arial" w:hAnsi="Arial"/>
                  <w:sz w:val="17"/>
                  <w:szCs w:val="17"/>
                  <w:color w:val="0000EE"/>
                  <w:w w:val="92"/>
                </w:rPr>
                <w:t>10.</w:t>
              </w:r>
              <w:r>
                <w:rPr>
                  <w:rFonts w:ascii="Arial" w:cs="Arial" w:eastAsia="Arial" w:hAnsi="Arial"/>
                  <w:sz w:val="17"/>
                  <w:szCs w:val="17"/>
                  <w:u w:val="single" w:color="auto"/>
                  <w:color w:val="0000EE"/>
                  <w:w w:val="92"/>
                </w:rPr>
                <w:t>7</w:t>
              </w:r>
              <w:r>
                <w:rPr>
                  <w:rFonts w:ascii="Arial" w:cs="Arial" w:eastAsia="Arial" w:hAnsi="Arial"/>
                  <w:sz w:val="17"/>
                  <w:szCs w:val="17"/>
                  <w:color w:val="0000EE"/>
                  <w:w w:val="92"/>
                </w:rPr>
                <w:t xml:space="preserve"> to the Registrant’s Registration Statement on Form S-1 (File No. 333-225307))</w:t>
              </w:r>
            </w:hyperlink>
          </w:p>
        </w:tc>
        <w:tc>
          <w:tcPr>
            <w:tcW w:w="3980" w:type="dxa"/>
            <w:vAlign w:val="bottom"/>
            <w:tcBorders>
              <w:top w:val="single" w:sz="8" w:color="0000EE"/>
            </w:tcBorders>
            <w:gridSpan w:val="9"/>
          </w:tcPr>
          <w:p>
            <w:pPr>
              <w:spacing w:after="0"/>
              <w:rPr>
                <w:sz w:val="16"/>
                <w:szCs w:val="16"/>
                <w:color w:val="auto"/>
              </w:rPr>
            </w:pPr>
          </w:p>
        </w:tc>
        <w:tc>
          <w:tcPr>
            <w:tcW w:w="340" w:type="dxa"/>
            <w:vAlign w:val="bottom"/>
            <w:gridSpan w:val="10"/>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10.6</w:t>
            </w:r>
          </w:p>
        </w:tc>
        <w:tc>
          <w:tcPr>
            <w:tcW w:w="10160" w:type="dxa"/>
            <w:vAlign w:val="bottom"/>
            <w:gridSpan w:val="28"/>
          </w:tcPr>
          <w:p>
            <w:pPr>
              <w:spacing w:after="0"/>
              <w:rPr>
                <w:rFonts w:ascii="Arial" w:cs="Arial" w:eastAsia="Arial" w:hAnsi="Arial"/>
                <w:sz w:val="17"/>
                <w:szCs w:val="17"/>
                <w:color w:val="0000EE"/>
                <w:w w:val="99"/>
              </w:rPr>
            </w:pPr>
            <w:hyperlink r:id="rId119">
              <w:r>
                <w:rPr>
                  <w:rFonts w:ascii="Arial" w:cs="Arial" w:eastAsia="Arial" w:hAnsi="Arial"/>
                  <w:sz w:val="17"/>
                  <w:szCs w:val="17"/>
                  <w:color w:val="0000EE"/>
                  <w:w w:val="99"/>
                </w:rPr>
                <w:t>Loan and Security Agreement by and between Solar Capital Ltd., the lenders identified therein and the Registrant, dated March 2, 2020</w:t>
              </w:r>
            </w:hyperlink>
          </w:p>
        </w:tc>
      </w:tr>
      <w:tr>
        <w:trPr>
          <w:trHeight w:val="227"/>
        </w:trPr>
        <w:tc>
          <w:tcPr>
            <w:tcW w:w="1080" w:type="dxa"/>
            <w:vAlign w:val="bottom"/>
          </w:tcPr>
          <w:p>
            <w:pPr>
              <w:spacing w:after="0"/>
              <w:rPr>
                <w:sz w:val="19"/>
                <w:szCs w:val="19"/>
                <w:color w:val="auto"/>
              </w:rPr>
            </w:pPr>
          </w:p>
        </w:tc>
        <w:tc>
          <w:tcPr>
            <w:tcW w:w="9400" w:type="dxa"/>
            <w:vAlign w:val="bottom"/>
            <w:tcBorders>
              <w:top w:val="single" w:sz="8" w:color="0000EE"/>
            </w:tcBorders>
            <w:gridSpan w:val="14"/>
          </w:tcPr>
          <w:p>
            <w:pPr>
              <w:spacing w:after="0"/>
              <w:rPr>
                <w:rFonts w:ascii="Arial" w:cs="Arial" w:eastAsia="Arial" w:hAnsi="Arial"/>
                <w:sz w:val="17"/>
                <w:szCs w:val="17"/>
                <w:u w:val="single" w:color="auto"/>
                <w:color w:val="0000EE"/>
              </w:rPr>
            </w:pPr>
            <w:hyperlink r:id="rId119">
              <w:r>
                <w:rPr>
                  <w:rFonts w:ascii="Arial" w:cs="Arial" w:eastAsia="Arial" w:hAnsi="Arial"/>
                  <w:sz w:val="17"/>
                  <w:szCs w:val="17"/>
                  <w:u w:val="single" w:color="auto"/>
                  <w:color w:val="0000EE"/>
                </w:rPr>
                <w:t>(incorporated by reference to Exhibit 10.1 to the Registrant’s Current Report on Form 8-K filed on March 3, 2020)</w:t>
              </w:r>
            </w:hyperlink>
          </w:p>
        </w:tc>
        <w:tc>
          <w:tcPr>
            <w:tcW w:w="760" w:type="dxa"/>
            <w:vAlign w:val="bottom"/>
            <w:gridSpan w:val="14"/>
          </w:tcPr>
          <w:p>
            <w:pPr>
              <w:spacing w:after="0"/>
              <w:rPr>
                <w:sz w:val="19"/>
                <w:szCs w:val="19"/>
                <w:color w:val="auto"/>
              </w:rPr>
            </w:pPr>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10.7+</w:t>
            </w:r>
          </w:p>
        </w:tc>
        <w:tc>
          <w:tcPr>
            <w:tcW w:w="10160" w:type="dxa"/>
            <w:vAlign w:val="bottom"/>
            <w:gridSpan w:val="28"/>
          </w:tcPr>
          <w:p>
            <w:pPr>
              <w:spacing w:after="0"/>
              <w:rPr>
                <w:rFonts w:ascii="Arial" w:cs="Arial" w:eastAsia="Arial" w:hAnsi="Arial"/>
                <w:sz w:val="17"/>
                <w:szCs w:val="17"/>
                <w:color w:val="0000EE"/>
                <w:w w:val="94"/>
              </w:rPr>
            </w:pPr>
            <w:hyperlink r:id="rId120">
              <w:r>
                <w:rPr>
                  <w:rFonts w:ascii="Arial" w:cs="Arial" w:eastAsia="Arial" w:hAnsi="Arial"/>
                  <w:sz w:val="17"/>
                  <w:szCs w:val="17"/>
                  <w:color w:val="0000EE"/>
                  <w:w w:val="94"/>
                </w:rPr>
                <w:t>Amended and Restated 2003 Stock Incentive Plan of the Registrant, as amended (incorporated by reference to Exhibit 10.9 to the Registrant’s</w:t>
              </w:r>
            </w:hyperlink>
          </w:p>
        </w:tc>
      </w:tr>
      <w:tr>
        <w:trPr>
          <w:trHeight w:val="188"/>
        </w:trPr>
        <w:tc>
          <w:tcPr>
            <w:tcW w:w="1080" w:type="dxa"/>
            <w:vAlign w:val="bottom"/>
          </w:tcPr>
          <w:p>
            <w:pPr>
              <w:spacing w:after="0"/>
              <w:rPr>
                <w:sz w:val="16"/>
                <w:szCs w:val="16"/>
                <w:color w:val="auto"/>
              </w:rPr>
            </w:pPr>
          </w:p>
        </w:tc>
        <w:tc>
          <w:tcPr>
            <w:tcW w:w="9840" w:type="dxa"/>
            <w:vAlign w:val="bottom"/>
            <w:tcBorders>
              <w:top w:val="single" w:sz="8" w:color="0000EE"/>
            </w:tcBorders>
            <w:gridSpan w:val="19"/>
          </w:tcPr>
          <w:p>
            <w:pPr>
              <w:spacing w:after="0" w:line="189" w:lineRule="exact"/>
              <w:rPr>
                <w:rFonts w:ascii="Arial" w:cs="Arial" w:eastAsia="Arial" w:hAnsi="Arial"/>
                <w:sz w:val="17"/>
                <w:szCs w:val="17"/>
                <w:color w:val="0000EE"/>
              </w:rPr>
            </w:pPr>
            <w:hyperlink r:id="rId120">
              <w:r>
                <w:rPr>
                  <w:rFonts w:ascii="Arial" w:cs="Arial" w:eastAsia="Arial" w:hAnsi="Arial"/>
                  <w:sz w:val="17"/>
                  <w:szCs w:val="17"/>
                  <w:color w:val="0000EE"/>
                </w:rPr>
                <w:t>Registration Statement on Form S-1 (File No. 333-225307))</w:t>
              </w:r>
            </w:hyperlink>
          </w:p>
        </w:tc>
        <w:tc>
          <w:tcPr>
            <w:tcW w:w="320" w:type="dxa"/>
            <w:vAlign w:val="bottom"/>
            <w:gridSpan w:val="9"/>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10.8+</w:t>
            </w:r>
          </w:p>
        </w:tc>
        <w:tc>
          <w:tcPr>
            <w:tcW w:w="10160" w:type="dxa"/>
            <w:vAlign w:val="bottom"/>
            <w:gridSpan w:val="28"/>
          </w:tcPr>
          <w:p>
            <w:pPr>
              <w:spacing w:after="0"/>
              <w:rPr>
                <w:rFonts w:ascii="Arial" w:cs="Arial" w:eastAsia="Arial" w:hAnsi="Arial"/>
                <w:sz w:val="17"/>
                <w:szCs w:val="17"/>
                <w:color w:val="0000EE"/>
                <w:w w:val="94"/>
              </w:rPr>
            </w:pPr>
            <w:hyperlink r:id="rId121">
              <w:r>
                <w:rPr>
                  <w:rFonts w:ascii="Arial" w:cs="Arial" w:eastAsia="Arial" w:hAnsi="Arial"/>
                  <w:sz w:val="17"/>
                  <w:szCs w:val="17"/>
                  <w:color w:val="0000EE"/>
                  <w:w w:val="94"/>
                </w:rPr>
                <w:t>2018 Equity Incentive Plan (incorporated by reference to Exhibit 10.10 to the Registrant’s Quarterly Report on Form 10-Q (File No. 001-38546)</w:t>
              </w:r>
            </w:hyperlink>
          </w:p>
        </w:tc>
      </w:tr>
      <w:tr>
        <w:trPr>
          <w:trHeight w:val="188"/>
        </w:trPr>
        <w:tc>
          <w:tcPr>
            <w:tcW w:w="1080" w:type="dxa"/>
            <w:vAlign w:val="bottom"/>
          </w:tcPr>
          <w:p>
            <w:pPr>
              <w:spacing w:after="0"/>
              <w:rPr>
                <w:sz w:val="16"/>
                <w:szCs w:val="16"/>
                <w:color w:val="auto"/>
              </w:rPr>
            </w:pPr>
          </w:p>
        </w:tc>
        <w:tc>
          <w:tcPr>
            <w:tcW w:w="10040" w:type="dxa"/>
            <w:vAlign w:val="bottom"/>
            <w:tcBorders>
              <w:top w:val="single" w:sz="8" w:color="0000EE"/>
            </w:tcBorders>
            <w:gridSpan w:val="24"/>
          </w:tcPr>
          <w:p>
            <w:pPr>
              <w:spacing w:after="0" w:line="189" w:lineRule="exact"/>
              <w:rPr>
                <w:rFonts w:ascii="Arial" w:cs="Arial" w:eastAsia="Arial" w:hAnsi="Arial"/>
                <w:sz w:val="17"/>
                <w:szCs w:val="17"/>
                <w:color w:val="0000EE"/>
              </w:rPr>
            </w:pPr>
            <w:hyperlink r:id="rId121">
              <w:r>
                <w:rPr>
                  <w:rFonts w:ascii="Arial" w:cs="Arial" w:eastAsia="Arial" w:hAnsi="Arial"/>
                  <w:sz w:val="17"/>
                  <w:szCs w:val="17"/>
                  <w:color w:val="0000EE"/>
                </w:rPr>
                <w:t>filed on November 6, 2018)</w:t>
              </w:r>
            </w:hyperlink>
          </w:p>
        </w:tc>
        <w:tc>
          <w:tcPr>
            <w:tcW w:w="120" w:type="dxa"/>
            <w:vAlign w:val="bottom"/>
            <w:gridSpan w:val="4"/>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10.9+</w:t>
            </w:r>
          </w:p>
        </w:tc>
        <w:tc>
          <w:tcPr>
            <w:tcW w:w="10160" w:type="dxa"/>
            <w:vAlign w:val="bottom"/>
            <w:gridSpan w:val="28"/>
          </w:tcPr>
          <w:p>
            <w:pPr>
              <w:spacing w:after="0"/>
              <w:rPr>
                <w:rFonts w:ascii="Arial" w:cs="Arial" w:eastAsia="Arial" w:hAnsi="Arial"/>
                <w:sz w:val="17"/>
                <w:szCs w:val="17"/>
                <w:color w:val="0000EE"/>
                <w:w w:val="95"/>
              </w:rPr>
            </w:pPr>
            <w:hyperlink r:id="rId122">
              <w:r>
                <w:rPr>
                  <w:rFonts w:ascii="Arial" w:cs="Arial" w:eastAsia="Arial" w:hAnsi="Arial"/>
                  <w:sz w:val="17"/>
                  <w:szCs w:val="17"/>
                  <w:color w:val="0000EE"/>
                  <w:w w:val="95"/>
                </w:rPr>
                <w:t>2018 Employee Stock Purchase Plan (incorporated by reference to Exhibit 10.11 to the Registrant’s Quarterly Report on Form 10-Q (File No.</w:t>
              </w:r>
            </w:hyperlink>
          </w:p>
        </w:tc>
      </w:tr>
      <w:tr>
        <w:trPr>
          <w:trHeight w:val="188"/>
        </w:trPr>
        <w:tc>
          <w:tcPr>
            <w:tcW w:w="1080" w:type="dxa"/>
            <w:vAlign w:val="bottom"/>
          </w:tcPr>
          <w:p>
            <w:pPr>
              <w:spacing w:after="0"/>
              <w:rPr>
                <w:sz w:val="16"/>
                <w:szCs w:val="16"/>
                <w:color w:val="auto"/>
              </w:rPr>
            </w:pPr>
          </w:p>
        </w:tc>
        <w:tc>
          <w:tcPr>
            <w:tcW w:w="2780" w:type="dxa"/>
            <w:vAlign w:val="bottom"/>
            <w:tcBorders>
              <w:top w:val="single" w:sz="8" w:color="0000EE"/>
              <w:bottom w:val="single" w:sz="8" w:color="0000EE"/>
            </w:tcBorders>
            <w:gridSpan w:val="4"/>
          </w:tcPr>
          <w:p>
            <w:pPr>
              <w:spacing w:after="0" w:line="189" w:lineRule="exact"/>
              <w:rPr>
                <w:rFonts w:ascii="Arial" w:cs="Arial" w:eastAsia="Arial" w:hAnsi="Arial"/>
                <w:sz w:val="17"/>
                <w:szCs w:val="17"/>
                <w:color w:val="0000EE"/>
                <w:w w:val="93"/>
              </w:rPr>
            </w:pPr>
            <w:hyperlink r:id="rId122">
              <w:r>
                <w:rPr>
                  <w:rFonts w:ascii="Arial" w:cs="Arial" w:eastAsia="Arial" w:hAnsi="Arial"/>
                  <w:sz w:val="17"/>
                  <w:szCs w:val="17"/>
                  <w:color w:val="0000EE"/>
                  <w:w w:val="93"/>
                </w:rPr>
                <w:t>001-38546) filed on November 6, 2018)</w:t>
              </w:r>
            </w:hyperlink>
          </w:p>
        </w:tc>
        <w:tc>
          <w:tcPr>
            <w:tcW w:w="7040" w:type="dxa"/>
            <w:vAlign w:val="bottom"/>
            <w:tcBorders>
              <w:top w:val="single" w:sz="8" w:color="0000EE"/>
            </w:tcBorders>
            <w:gridSpan w:val="14"/>
          </w:tcPr>
          <w:p>
            <w:pPr>
              <w:spacing w:after="0"/>
              <w:rPr>
                <w:sz w:val="16"/>
                <w:szCs w:val="16"/>
                <w:color w:val="auto"/>
              </w:rPr>
            </w:pPr>
          </w:p>
        </w:tc>
        <w:tc>
          <w:tcPr>
            <w:tcW w:w="340" w:type="dxa"/>
            <w:vAlign w:val="bottom"/>
            <w:gridSpan w:val="10"/>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10.10</w:t>
            </w:r>
          </w:p>
        </w:tc>
        <w:tc>
          <w:tcPr>
            <w:tcW w:w="10160" w:type="dxa"/>
            <w:vAlign w:val="bottom"/>
            <w:gridSpan w:val="28"/>
          </w:tcPr>
          <w:p>
            <w:pPr>
              <w:spacing w:after="0"/>
              <w:rPr>
                <w:rFonts w:ascii="Arial" w:cs="Arial" w:eastAsia="Arial" w:hAnsi="Arial"/>
                <w:sz w:val="17"/>
                <w:szCs w:val="17"/>
                <w:color w:val="0000EE"/>
                <w:w w:val="92"/>
              </w:rPr>
            </w:pPr>
            <w:hyperlink r:id="rId123">
              <w:r>
                <w:rPr>
                  <w:rFonts w:ascii="Arial" w:cs="Arial" w:eastAsia="Arial" w:hAnsi="Arial"/>
                  <w:sz w:val="17"/>
                  <w:szCs w:val="17"/>
                  <w:color w:val="0000EE"/>
                  <w:w w:val="92"/>
                </w:rPr>
                <w:t>Lease Agreement by and between Exeter 3222 Phoenixville, L.P., and the Registrant, dated January 3, 2013 (incorporated by reference to Exhibit</w:t>
              </w:r>
            </w:hyperlink>
          </w:p>
        </w:tc>
      </w:tr>
      <w:tr>
        <w:trPr>
          <w:trHeight w:val="188"/>
        </w:trPr>
        <w:tc>
          <w:tcPr>
            <w:tcW w:w="1080" w:type="dxa"/>
            <w:vAlign w:val="bottom"/>
          </w:tcPr>
          <w:p>
            <w:pPr>
              <w:spacing w:after="0"/>
              <w:rPr>
                <w:sz w:val="16"/>
                <w:szCs w:val="16"/>
                <w:color w:val="auto"/>
              </w:rPr>
            </w:pPr>
          </w:p>
        </w:tc>
        <w:tc>
          <w:tcPr>
            <w:tcW w:w="10080" w:type="dxa"/>
            <w:vAlign w:val="bottom"/>
            <w:tcBorders>
              <w:top w:val="single" w:sz="8" w:color="0000EE"/>
            </w:tcBorders>
            <w:gridSpan w:val="25"/>
          </w:tcPr>
          <w:p>
            <w:pPr>
              <w:spacing w:after="0" w:line="189" w:lineRule="exact"/>
              <w:rPr>
                <w:rFonts w:ascii="Arial" w:cs="Arial" w:eastAsia="Arial" w:hAnsi="Arial"/>
                <w:sz w:val="17"/>
                <w:szCs w:val="17"/>
                <w:color w:val="0000EE"/>
              </w:rPr>
            </w:pPr>
            <w:hyperlink r:id="rId123">
              <w:r>
                <w:rPr>
                  <w:rFonts w:ascii="Arial" w:cs="Arial" w:eastAsia="Arial" w:hAnsi="Arial"/>
                  <w:sz w:val="17"/>
                  <w:szCs w:val="17"/>
                  <w:color w:val="0000EE"/>
                </w:rPr>
                <w:t>10.</w:t>
              </w:r>
              <w:r>
                <w:rPr>
                  <w:rFonts w:ascii="Arial" w:cs="Arial" w:eastAsia="Arial" w:hAnsi="Arial"/>
                  <w:sz w:val="17"/>
                  <w:szCs w:val="17"/>
                  <w:u w:val="single" w:color="auto"/>
                  <w:color w:val="0000EE"/>
                </w:rPr>
                <w:t>12</w:t>
              </w:r>
              <w:r>
                <w:rPr>
                  <w:rFonts w:ascii="Arial" w:cs="Arial" w:eastAsia="Arial" w:hAnsi="Arial"/>
                  <w:sz w:val="17"/>
                  <w:szCs w:val="17"/>
                  <w:color w:val="0000EE"/>
                </w:rPr>
                <w:t xml:space="preserve"> to the Registration Statement on Form S-1 (File No. 333-225307))</w:t>
              </w:r>
            </w:hyperlink>
          </w:p>
        </w:tc>
        <w:tc>
          <w:tcPr>
            <w:tcW w:w="80" w:type="dxa"/>
            <w:vAlign w:val="bottom"/>
            <w:gridSpan w:val="3"/>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10.11+</w:t>
            </w:r>
          </w:p>
        </w:tc>
        <w:tc>
          <w:tcPr>
            <w:tcW w:w="10160" w:type="dxa"/>
            <w:vAlign w:val="bottom"/>
            <w:gridSpan w:val="28"/>
          </w:tcPr>
          <w:p>
            <w:pPr>
              <w:spacing w:after="0"/>
              <w:rPr>
                <w:rFonts w:ascii="Arial" w:cs="Arial" w:eastAsia="Arial" w:hAnsi="Arial"/>
                <w:sz w:val="17"/>
                <w:szCs w:val="17"/>
                <w:color w:val="0000EE"/>
                <w:w w:val="98"/>
              </w:rPr>
            </w:pPr>
            <w:hyperlink r:id="rId124">
              <w:r>
                <w:rPr>
                  <w:rFonts w:ascii="Arial" w:cs="Arial" w:eastAsia="Arial" w:hAnsi="Arial"/>
                  <w:sz w:val="17"/>
                  <w:szCs w:val="17"/>
                  <w:color w:val="0000EE"/>
                  <w:w w:val="98"/>
                </w:rPr>
                <w:t>Form of Non-Qualified Stock Option Agreement for the Amended and Restated 2003 Stock Incentive Plan, as amended, of the Registrant</w:t>
              </w:r>
            </w:hyperlink>
          </w:p>
        </w:tc>
      </w:tr>
      <w:tr>
        <w:trPr>
          <w:trHeight w:val="227"/>
        </w:trPr>
        <w:tc>
          <w:tcPr>
            <w:tcW w:w="1080" w:type="dxa"/>
            <w:vAlign w:val="bottom"/>
          </w:tcPr>
          <w:p>
            <w:pPr>
              <w:spacing w:after="0"/>
              <w:rPr>
                <w:sz w:val="19"/>
                <w:szCs w:val="19"/>
                <w:color w:val="auto"/>
              </w:rPr>
            </w:pPr>
          </w:p>
        </w:tc>
        <w:tc>
          <w:tcPr>
            <w:tcW w:w="9560" w:type="dxa"/>
            <w:vAlign w:val="bottom"/>
            <w:tcBorders>
              <w:top w:val="single" w:sz="8" w:color="0000EE"/>
            </w:tcBorders>
            <w:gridSpan w:val="15"/>
          </w:tcPr>
          <w:p>
            <w:pPr>
              <w:spacing w:after="0"/>
              <w:rPr>
                <w:rFonts w:ascii="Arial" w:cs="Arial" w:eastAsia="Arial" w:hAnsi="Arial"/>
                <w:sz w:val="17"/>
                <w:szCs w:val="17"/>
                <w:u w:val="single" w:color="auto"/>
                <w:color w:val="0000EE"/>
              </w:rPr>
            </w:pPr>
            <w:hyperlink r:id="rId124">
              <w:r>
                <w:rPr>
                  <w:rFonts w:ascii="Arial" w:cs="Arial" w:eastAsia="Arial" w:hAnsi="Arial"/>
                  <w:sz w:val="17"/>
                  <w:szCs w:val="17"/>
                  <w:u w:val="single" w:color="auto"/>
                  <w:color w:val="0000EE"/>
                </w:rPr>
                <w:t>(incorporated by reference to Exhibit 10.13 to the Registrant’s Registration Statement on Form S-1 (File No. 333-225307))</w:t>
              </w:r>
            </w:hyperlink>
          </w:p>
        </w:tc>
        <w:tc>
          <w:tcPr>
            <w:tcW w:w="600" w:type="dxa"/>
            <w:vAlign w:val="bottom"/>
            <w:gridSpan w:val="13"/>
          </w:tcPr>
          <w:p>
            <w:pPr>
              <w:spacing w:after="0"/>
              <w:rPr>
                <w:sz w:val="19"/>
                <w:szCs w:val="19"/>
                <w:color w:val="auto"/>
              </w:rPr>
            </w:pPr>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10.12+</w:t>
            </w:r>
          </w:p>
        </w:tc>
        <w:tc>
          <w:tcPr>
            <w:tcW w:w="9200" w:type="dxa"/>
            <w:vAlign w:val="bottom"/>
            <w:tcBorders>
              <w:bottom w:val="single" w:sz="8" w:color="0000EE"/>
            </w:tcBorders>
            <w:gridSpan w:val="12"/>
          </w:tcPr>
          <w:p>
            <w:pPr>
              <w:spacing w:after="0"/>
              <w:rPr>
                <w:rFonts w:ascii="Arial" w:cs="Arial" w:eastAsia="Arial" w:hAnsi="Arial"/>
                <w:sz w:val="17"/>
                <w:szCs w:val="17"/>
                <w:color w:val="0000EE"/>
                <w:w w:val="92"/>
              </w:rPr>
            </w:pPr>
            <w:hyperlink r:id="rId125">
              <w:r>
                <w:rPr>
                  <w:rFonts w:ascii="Arial" w:cs="Arial" w:eastAsia="Arial" w:hAnsi="Arial"/>
                  <w:sz w:val="17"/>
                  <w:szCs w:val="17"/>
                  <w:color w:val="0000EE"/>
                  <w:w w:val="92"/>
                </w:rPr>
                <w:t>Form of Incentive Stock Option Agreement for the Amended and Restated 2003 Stock Incentive Plan, as amended, of the Registrant</w:t>
              </w:r>
            </w:hyperlink>
          </w:p>
        </w:tc>
        <w:tc>
          <w:tcPr>
            <w:tcW w:w="960" w:type="dxa"/>
            <w:vAlign w:val="bottom"/>
            <w:gridSpan w:val="16"/>
          </w:tcPr>
          <w:p>
            <w:pPr>
              <w:spacing w:after="0"/>
              <w:rPr>
                <w:sz w:val="24"/>
                <w:szCs w:val="24"/>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8"/>
          </w:tcPr>
          <w:p>
            <w:pPr>
              <w:spacing w:after="0"/>
              <w:rPr>
                <w:rFonts w:ascii="Arial" w:cs="Arial" w:eastAsia="Arial" w:hAnsi="Arial"/>
                <w:sz w:val="17"/>
                <w:szCs w:val="17"/>
                <w:u w:val="single" w:color="auto"/>
                <w:color w:val="0000EE"/>
              </w:rPr>
            </w:pPr>
            <w:hyperlink r:id="rId125">
              <w:r>
                <w:rPr>
                  <w:rFonts w:ascii="Arial" w:cs="Arial" w:eastAsia="Arial" w:hAnsi="Arial"/>
                  <w:sz w:val="17"/>
                  <w:szCs w:val="17"/>
                  <w:u w:val="single" w:color="auto"/>
                  <w:color w:val="0000EE"/>
                </w:rPr>
                <w:t>(incorporated by reference to Exhibit 10.14 to the Registrant’s Registration Statement on Form S-1 (File No. 333-225307))</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10.13+</w:t>
            </w:r>
          </w:p>
        </w:tc>
        <w:tc>
          <w:tcPr>
            <w:tcW w:w="9720" w:type="dxa"/>
            <w:vAlign w:val="bottom"/>
            <w:tcBorders>
              <w:bottom w:val="single" w:sz="8" w:color="0000EE"/>
            </w:tcBorders>
            <w:gridSpan w:val="17"/>
          </w:tcPr>
          <w:p>
            <w:pPr>
              <w:spacing w:after="0"/>
              <w:rPr>
                <w:rFonts w:ascii="Arial" w:cs="Arial" w:eastAsia="Arial" w:hAnsi="Arial"/>
                <w:sz w:val="17"/>
                <w:szCs w:val="17"/>
                <w:color w:val="0000EE"/>
                <w:w w:val="93"/>
              </w:rPr>
            </w:pPr>
            <w:hyperlink r:id="rId126">
              <w:r>
                <w:rPr>
                  <w:rFonts w:ascii="Arial" w:cs="Arial" w:eastAsia="Arial" w:hAnsi="Arial"/>
                  <w:sz w:val="17"/>
                  <w:szCs w:val="17"/>
                  <w:color w:val="0000EE"/>
                  <w:w w:val="93"/>
                </w:rPr>
                <w:t>Forms of Grant Notice, Stock Option Agreement and Notice of Exercise under the 2018 Equity Incentive Plan (incorporated by reference to</w:t>
              </w:r>
            </w:hyperlink>
          </w:p>
        </w:tc>
        <w:tc>
          <w:tcPr>
            <w:tcW w:w="440" w:type="dxa"/>
            <w:vAlign w:val="bottom"/>
            <w:gridSpan w:val="11"/>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6480" w:type="dxa"/>
            <w:vAlign w:val="bottom"/>
            <w:tcBorders>
              <w:bottom w:val="single" w:sz="8" w:color="0000EE"/>
            </w:tcBorders>
            <w:gridSpan w:val="11"/>
          </w:tcPr>
          <w:p>
            <w:pPr>
              <w:spacing w:after="0" w:line="189" w:lineRule="exact"/>
              <w:rPr>
                <w:rFonts w:ascii="Arial" w:cs="Arial" w:eastAsia="Arial" w:hAnsi="Arial"/>
                <w:sz w:val="17"/>
                <w:szCs w:val="17"/>
                <w:color w:val="0000EE"/>
                <w:w w:val="93"/>
              </w:rPr>
            </w:pPr>
            <w:hyperlink r:id="rId126">
              <w:r>
                <w:rPr>
                  <w:rFonts w:ascii="Arial" w:cs="Arial" w:eastAsia="Arial" w:hAnsi="Arial"/>
                  <w:sz w:val="17"/>
                  <w:szCs w:val="17"/>
                  <w:color w:val="0000EE"/>
                  <w:w w:val="93"/>
                </w:rPr>
                <w:t>Exhibit 10.15 to the Registrant’s Registration Statement on Form S-1 (File No. 333-225307))</w:t>
              </w:r>
            </w:hyperlink>
          </w:p>
        </w:tc>
        <w:tc>
          <w:tcPr>
            <w:tcW w:w="3680" w:type="dxa"/>
            <w:vAlign w:val="bottom"/>
            <w:gridSpan w:val="17"/>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10.14+</w:t>
            </w:r>
          </w:p>
        </w:tc>
        <w:tc>
          <w:tcPr>
            <w:tcW w:w="10160" w:type="dxa"/>
            <w:vAlign w:val="bottom"/>
            <w:gridSpan w:val="28"/>
          </w:tcPr>
          <w:p>
            <w:pPr>
              <w:spacing w:after="0"/>
              <w:rPr>
                <w:rFonts w:ascii="Arial" w:cs="Arial" w:eastAsia="Arial" w:hAnsi="Arial"/>
                <w:sz w:val="17"/>
                <w:szCs w:val="17"/>
                <w:color w:val="0000EE"/>
                <w:w w:val="95"/>
              </w:rPr>
            </w:pPr>
            <w:hyperlink r:id="rId127">
              <w:r>
                <w:rPr>
                  <w:rFonts w:ascii="Arial" w:cs="Arial" w:eastAsia="Arial" w:hAnsi="Arial"/>
                  <w:sz w:val="17"/>
                  <w:szCs w:val="17"/>
                  <w:color w:val="0000EE"/>
                  <w:w w:val="95"/>
                </w:rPr>
                <w:t>Forms of Restricted Stock Unit Grant Notice and Award Agreement under the 2018 Equity Incentive Plan (incorporated by reference to Exhibit</w:t>
              </w:r>
            </w:hyperlink>
          </w:p>
        </w:tc>
      </w:tr>
      <w:tr>
        <w:trPr>
          <w:trHeight w:val="188"/>
        </w:trPr>
        <w:tc>
          <w:tcPr>
            <w:tcW w:w="1080" w:type="dxa"/>
            <w:vAlign w:val="bottom"/>
          </w:tcPr>
          <w:p>
            <w:pPr>
              <w:spacing w:after="0"/>
              <w:rPr>
                <w:sz w:val="16"/>
                <w:szCs w:val="16"/>
                <w:color w:val="auto"/>
              </w:rPr>
            </w:pPr>
          </w:p>
        </w:tc>
        <w:tc>
          <w:tcPr>
            <w:tcW w:w="996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r:id="rId127">
              <w:r>
                <w:rPr>
                  <w:rFonts w:ascii="Arial" w:cs="Arial" w:eastAsia="Arial" w:hAnsi="Arial"/>
                  <w:sz w:val="17"/>
                  <w:szCs w:val="17"/>
                  <w:color w:val="0000EE"/>
                </w:rPr>
                <w:t>10.</w:t>
              </w:r>
              <w:r>
                <w:rPr>
                  <w:rFonts w:ascii="Arial" w:cs="Arial" w:eastAsia="Arial" w:hAnsi="Arial"/>
                  <w:sz w:val="17"/>
                  <w:szCs w:val="17"/>
                  <w:u w:val="single" w:color="auto"/>
                  <w:color w:val="0000EE"/>
                </w:rPr>
                <w:t>16</w:t>
              </w:r>
              <w:r>
                <w:rPr>
                  <w:rFonts w:ascii="Arial" w:cs="Arial" w:eastAsia="Arial" w:hAnsi="Arial"/>
                  <w:sz w:val="17"/>
                  <w:szCs w:val="17"/>
                  <w:color w:val="0000EE"/>
                </w:rPr>
                <w:t xml:space="preserve"> to the Registrant’s Registration Statement on Form S-1 (File No. 333-225307))</w:t>
              </w:r>
            </w:hyperlink>
          </w:p>
        </w:tc>
        <w:tc>
          <w:tcPr>
            <w:tcW w:w="200" w:type="dxa"/>
            <w:vAlign w:val="bottom"/>
            <w:gridSpan w:val="6"/>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10.15+</w:t>
            </w:r>
          </w:p>
        </w:tc>
        <w:tc>
          <w:tcPr>
            <w:tcW w:w="10160" w:type="dxa"/>
            <w:vAlign w:val="bottom"/>
            <w:gridSpan w:val="28"/>
          </w:tcPr>
          <w:p>
            <w:pPr>
              <w:spacing w:after="0"/>
              <w:rPr>
                <w:rFonts w:ascii="Arial" w:cs="Arial" w:eastAsia="Arial" w:hAnsi="Arial"/>
                <w:sz w:val="17"/>
                <w:szCs w:val="17"/>
                <w:color w:val="0000EE"/>
                <w:w w:val="93"/>
              </w:rPr>
            </w:pPr>
            <w:hyperlink r:id="rId128">
              <w:r>
                <w:rPr>
                  <w:rFonts w:ascii="Arial" w:cs="Arial" w:eastAsia="Arial" w:hAnsi="Arial"/>
                  <w:sz w:val="17"/>
                  <w:szCs w:val="17"/>
                  <w:color w:val="0000EE"/>
                  <w:w w:val="93"/>
                </w:rPr>
                <w:t>Form of Severance Agreement (incorporated by reference to Exhibit 10.17 to the Registrant’s Registration Statement on Form S-1 (File No. 333-</w:t>
              </w:r>
            </w:hyperlink>
          </w:p>
        </w:tc>
      </w:tr>
      <w:tr>
        <w:trPr>
          <w:trHeight w:val="188"/>
        </w:trPr>
        <w:tc>
          <w:tcPr>
            <w:tcW w:w="1080" w:type="dxa"/>
            <w:vAlign w:val="bottom"/>
          </w:tcPr>
          <w:p>
            <w:pPr>
              <w:spacing w:after="0"/>
              <w:rPr>
                <w:sz w:val="16"/>
                <w:szCs w:val="16"/>
                <w:color w:val="auto"/>
              </w:rPr>
            </w:pPr>
          </w:p>
        </w:tc>
        <w:tc>
          <w:tcPr>
            <w:tcW w:w="6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8"/>
              </w:rPr>
            </w:pPr>
            <w:hyperlink r:id="rId128">
              <w:r>
                <w:rPr>
                  <w:rFonts w:ascii="Arial" w:cs="Arial" w:eastAsia="Arial" w:hAnsi="Arial"/>
                  <w:sz w:val="17"/>
                  <w:szCs w:val="17"/>
                  <w:color w:val="0000EE"/>
                  <w:w w:val="88"/>
                </w:rPr>
                <w:t>225307)</w:t>
              </w:r>
              <w:r>
                <w:rPr>
                  <w:rFonts w:ascii="Arial" w:cs="Arial" w:eastAsia="Arial" w:hAnsi="Arial"/>
                  <w:sz w:val="17"/>
                  <w:szCs w:val="17"/>
                  <w:u w:val="single" w:color="auto"/>
                  <w:color w:val="0000EE"/>
                  <w:w w:val="88"/>
                </w:rPr>
                <w:t>)</w:t>
              </w:r>
            </w:hyperlink>
          </w:p>
        </w:tc>
        <w:tc>
          <w:tcPr>
            <w:tcW w:w="10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10.16+</w:t>
            </w:r>
          </w:p>
        </w:tc>
        <w:tc>
          <w:tcPr>
            <w:tcW w:w="10000" w:type="dxa"/>
            <w:vAlign w:val="bottom"/>
            <w:tcBorders>
              <w:bottom w:val="single" w:sz="8" w:color="0000EE"/>
            </w:tcBorders>
            <w:gridSpan w:val="23"/>
          </w:tcPr>
          <w:p>
            <w:pPr>
              <w:spacing w:after="0"/>
              <w:rPr>
                <w:rFonts w:ascii="Arial" w:cs="Arial" w:eastAsia="Arial" w:hAnsi="Arial"/>
                <w:sz w:val="17"/>
                <w:szCs w:val="17"/>
                <w:color w:val="0000EE"/>
                <w:w w:val="93"/>
              </w:rPr>
            </w:pPr>
            <w:hyperlink r:id="rId129">
              <w:r>
                <w:rPr>
                  <w:rFonts w:ascii="Arial" w:cs="Arial" w:eastAsia="Arial" w:hAnsi="Arial"/>
                  <w:sz w:val="17"/>
                  <w:szCs w:val="17"/>
                  <w:color w:val="0000EE"/>
                  <w:w w:val="93"/>
                </w:rPr>
                <w:t>Form of Restrictive Covenant and Invention Assignment Agreement (incorporated by reference to Exhibit 10.18 to the Registrant’s Registration</w:t>
              </w:r>
            </w:hyperlink>
          </w:p>
        </w:tc>
        <w:tc>
          <w:tcPr>
            <w:tcW w:w="160" w:type="dxa"/>
            <w:vAlign w:val="bottom"/>
            <w:gridSpan w:val="5"/>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3300" w:type="dxa"/>
            <w:vAlign w:val="bottom"/>
            <w:tcBorders>
              <w:bottom w:val="single" w:sz="8" w:color="0000EE"/>
            </w:tcBorders>
            <w:gridSpan w:val="5"/>
          </w:tcPr>
          <w:p>
            <w:pPr>
              <w:spacing w:after="0" w:line="189" w:lineRule="exact"/>
              <w:rPr>
                <w:rFonts w:ascii="Arial" w:cs="Arial" w:eastAsia="Arial" w:hAnsi="Arial"/>
                <w:sz w:val="17"/>
                <w:szCs w:val="17"/>
                <w:color w:val="0000EE"/>
                <w:w w:val="93"/>
              </w:rPr>
            </w:pPr>
            <w:hyperlink r:id="rId129">
              <w:r>
                <w:rPr>
                  <w:rFonts w:ascii="Arial" w:cs="Arial" w:eastAsia="Arial" w:hAnsi="Arial"/>
                  <w:sz w:val="17"/>
                  <w:szCs w:val="17"/>
                  <w:color w:val="0000EE"/>
                  <w:w w:val="93"/>
                </w:rPr>
                <w:t>Statement on Form S-1 (File No. 333-225307))</w:t>
              </w:r>
            </w:hyperlink>
          </w:p>
        </w:tc>
        <w:tc>
          <w:tcPr>
            <w:tcW w:w="6860" w:type="dxa"/>
            <w:vAlign w:val="bottom"/>
            <w:gridSpan w:val="23"/>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10.17</w:t>
            </w:r>
          </w:p>
        </w:tc>
        <w:tc>
          <w:tcPr>
            <w:tcW w:w="10120" w:type="dxa"/>
            <w:vAlign w:val="bottom"/>
            <w:tcBorders>
              <w:bottom w:val="single" w:sz="8" w:color="0000EE"/>
            </w:tcBorders>
            <w:gridSpan w:val="26"/>
          </w:tcPr>
          <w:p>
            <w:pPr>
              <w:spacing w:after="0"/>
              <w:rPr>
                <w:rFonts w:ascii="Arial" w:cs="Arial" w:eastAsia="Arial" w:hAnsi="Arial"/>
                <w:sz w:val="17"/>
                <w:szCs w:val="17"/>
                <w:color w:val="0000EE"/>
                <w:w w:val="93"/>
              </w:rPr>
            </w:pPr>
            <w:hyperlink r:id="rId130">
              <w:r>
                <w:rPr>
                  <w:rFonts w:ascii="Arial" w:cs="Arial" w:eastAsia="Arial" w:hAnsi="Arial"/>
                  <w:sz w:val="17"/>
                  <w:szCs w:val="17"/>
                  <w:color w:val="0000EE"/>
                  <w:w w:val="93"/>
                </w:rPr>
                <w:t>Non-Employee Director Compensation Policy (incorporated by reference to Exhibit 10.21 to the Registrant’s Registration Statement on Form S-1</w:t>
              </w:r>
            </w:hyperlink>
          </w:p>
        </w:tc>
        <w:tc>
          <w:tcPr>
            <w:tcW w:w="40" w:type="dxa"/>
            <w:vAlign w:val="bottom"/>
            <w:gridSpan w:val="2"/>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10160" w:type="dxa"/>
            <w:vAlign w:val="bottom"/>
            <w:gridSpan w:val="28"/>
          </w:tcPr>
          <w:p>
            <w:pPr>
              <w:spacing w:after="0" w:line="189" w:lineRule="exact"/>
              <w:rPr>
                <w:rFonts w:ascii="Arial" w:cs="Arial" w:eastAsia="Arial" w:hAnsi="Arial"/>
                <w:sz w:val="17"/>
                <w:szCs w:val="17"/>
                <w:color w:val="0000EE"/>
              </w:rPr>
            </w:pPr>
            <w:hyperlink r:id="rId130">
              <w:r>
                <w:rPr>
                  <w:rFonts w:ascii="Arial" w:cs="Arial" w:eastAsia="Arial" w:hAnsi="Arial"/>
                  <w:sz w:val="17"/>
                  <w:szCs w:val="17"/>
                  <w:color w:val="0000EE"/>
                </w:rPr>
                <w:t>(File No. 333-225307))</w:t>
              </w:r>
            </w:hyperlink>
          </w:p>
        </w:tc>
      </w:tr>
      <w:tr>
        <w:trPr>
          <w:trHeight w:val="20"/>
        </w:trPr>
        <w:tc>
          <w:tcPr>
            <w:tcW w:w="108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10.18◊</w:t>
            </w:r>
          </w:p>
        </w:tc>
        <w:tc>
          <w:tcPr>
            <w:tcW w:w="10160" w:type="dxa"/>
            <w:vAlign w:val="bottom"/>
            <w:gridSpan w:val="28"/>
          </w:tcPr>
          <w:p>
            <w:pPr>
              <w:spacing w:after="0"/>
              <w:rPr>
                <w:rFonts w:ascii="Arial" w:cs="Arial" w:eastAsia="Arial" w:hAnsi="Arial"/>
                <w:sz w:val="17"/>
                <w:szCs w:val="17"/>
                <w:color w:val="0000EE"/>
                <w:w w:val="95"/>
              </w:rPr>
            </w:pPr>
            <w:hyperlink r:id="rId131">
              <w:r>
                <w:rPr>
                  <w:rFonts w:ascii="Arial" w:cs="Arial" w:eastAsia="Arial" w:hAnsi="Arial"/>
                  <w:sz w:val="17"/>
                  <w:szCs w:val="17"/>
                  <w:color w:val="0000EE"/>
                  <w:w w:val="95"/>
                </w:rPr>
                <w:t>Amendment No. 1 to Distribution Agreement, dated May 31, 2019, by and between the Registrant and Teijin Pharma Limited (incorporated by</w:t>
              </w:r>
            </w:hyperlink>
          </w:p>
        </w:tc>
      </w:tr>
      <w:tr>
        <w:trPr>
          <w:trHeight w:val="188"/>
        </w:trPr>
        <w:tc>
          <w:tcPr>
            <w:tcW w:w="1080" w:type="dxa"/>
            <w:vAlign w:val="bottom"/>
          </w:tcPr>
          <w:p>
            <w:pPr>
              <w:spacing w:after="0"/>
              <w:rPr>
                <w:sz w:val="16"/>
                <w:szCs w:val="16"/>
                <w:color w:val="auto"/>
              </w:rPr>
            </w:pPr>
          </w:p>
        </w:tc>
        <w:tc>
          <w:tcPr>
            <w:tcW w:w="450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3"/>
              </w:rPr>
            </w:pPr>
            <w:hyperlink r:id="rId131">
              <w:r>
                <w:rPr>
                  <w:rFonts w:ascii="Arial" w:cs="Arial" w:eastAsia="Arial" w:hAnsi="Arial"/>
                  <w:sz w:val="17"/>
                  <w:szCs w:val="17"/>
                  <w:color w:val="0000EE"/>
                  <w:w w:val="93"/>
                </w:rPr>
                <w:t>reference to Exhibit 10.2 to the Form 10-Q filed August 6, 2019)</w:t>
              </w:r>
            </w:hyperlink>
          </w:p>
        </w:tc>
        <w:tc>
          <w:tcPr>
            <w:tcW w:w="5420" w:type="dxa"/>
            <w:vAlign w:val="bottom"/>
            <w:tcBorders>
              <w:top w:val="single" w:sz="8" w:color="0000EE"/>
            </w:tcBorders>
            <w:gridSpan w:val="14"/>
          </w:tcPr>
          <w:p>
            <w:pPr>
              <w:spacing w:after="0"/>
              <w:rPr>
                <w:sz w:val="16"/>
                <w:szCs w:val="16"/>
                <w:color w:val="auto"/>
              </w:rPr>
            </w:pPr>
          </w:p>
        </w:tc>
        <w:tc>
          <w:tcPr>
            <w:tcW w:w="240" w:type="dxa"/>
            <w:vAlign w:val="bottom"/>
            <w:gridSpan w:val="7"/>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10.19+</w:t>
            </w:r>
          </w:p>
        </w:tc>
        <w:tc>
          <w:tcPr>
            <w:tcW w:w="9860" w:type="dxa"/>
            <w:vAlign w:val="bottom"/>
            <w:tcBorders>
              <w:bottom w:val="single" w:sz="8" w:color="0000EE"/>
            </w:tcBorders>
            <w:gridSpan w:val="20"/>
          </w:tcPr>
          <w:p>
            <w:pPr>
              <w:spacing w:after="0"/>
              <w:rPr>
                <w:rFonts w:ascii="Arial" w:cs="Arial" w:eastAsia="Arial" w:hAnsi="Arial"/>
                <w:sz w:val="17"/>
                <w:szCs w:val="17"/>
                <w:color w:val="0000EE"/>
                <w:w w:val="92"/>
              </w:rPr>
            </w:pPr>
            <w:hyperlink r:id="rId132">
              <w:r>
                <w:rPr>
                  <w:rFonts w:ascii="Arial" w:cs="Arial" w:eastAsia="Arial" w:hAnsi="Arial"/>
                  <w:sz w:val="17"/>
                  <w:szCs w:val="17"/>
                  <w:color w:val="0000EE"/>
                  <w:w w:val="92"/>
                </w:rPr>
                <w:t>Employment Offer Letter Agreement between Neuronetics, Inc. and Stephen Furlong dated July 1, 2019 (incorporated by reference to Exhibit</w:t>
              </w:r>
            </w:hyperlink>
          </w:p>
        </w:tc>
        <w:tc>
          <w:tcPr>
            <w:tcW w:w="300" w:type="dxa"/>
            <w:vAlign w:val="bottom"/>
            <w:gridSpan w:val="8"/>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2780" w:type="dxa"/>
            <w:vAlign w:val="bottom"/>
            <w:tcBorders>
              <w:bottom w:val="single" w:sz="8" w:color="0000EE"/>
            </w:tcBorders>
            <w:gridSpan w:val="4"/>
          </w:tcPr>
          <w:p>
            <w:pPr>
              <w:spacing w:after="0" w:line="189" w:lineRule="exact"/>
              <w:rPr>
                <w:rFonts w:ascii="Arial" w:cs="Arial" w:eastAsia="Arial" w:hAnsi="Arial"/>
                <w:sz w:val="17"/>
                <w:szCs w:val="17"/>
                <w:color w:val="0000EE"/>
                <w:w w:val="93"/>
              </w:rPr>
            </w:pPr>
            <w:hyperlink r:id="rId132">
              <w:r>
                <w:rPr>
                  <w:rFonts w:ascii="Arial" w:cs="Arial" w:eastAsia="Arial" w:hAnsi="Arial"/>
                  <w:sz w:val="17"/>
                  <w:szCs w:val="17"/>
                  <w:color w:val="0000EE"/>
                  <w:w w:val="93"/>
                </w:rPr>
                <w:t>10.</w:t>
              </w:r>
              <w:r>
                <w:rPr>
                  <w:rFonts w:ascii="Arial" w:cs="Arial" w:eastAsia="Arial" w:hAnsi="Arial"/>
                  <w:sz w:val="17"/>
                  <w:szCs w:val="17"/>
                  <w:u w:val="single" w:color="auto"/>
                  <w:color w:val="0000EE"/>
                  <w:w w:val="93"/>
                </w:rPr>
                <w:t>1</w:t>
              </w:r>
              <w:r>
                <w:rPr>
                  <w:rFonts w:ascii="Arial" w:cs="Arial" w:eastAsia="Arial" w:hAnsi="Arial"/>
                  <w:sz w:val="17"/>
                  <w:szCs w:val="17"/>
                  <w:color w:val="0000EE"/>
                  <w:w w:val="93"/>
                </w:rPr>
                <w:t xml:space="preserve"> to the Form 8-K filed July 2, 2019)</w:t>
              </w:r>
            </w:hyperlink>
          </w:p>
        </w:tc>
        <w:tc>
          <w:tcPr>
            <w:tcW w:w="7380" w:type="dxa"/>
            <w:vAlign w:val="bottom"/>
            <w:gridSpan w:val="24"/>
          </w:tcPr>
          <w:p>
            <w:pPr>
              <w:spacing w:after="0"/>
              <w:rPr>
                <w:sz w:val="16"/>
                <w:szCs w:val="16"/>
                <w:color w:val="auto"/>
              </w:rPr>
            </w:pPr>
          </w:p>
        </w:tc>
      </w:tr>
      <w:tr>
        <w:trPr>
          <w:trHeight w:val="553"/>
        </w:trPr>
        <w:tc>
          <w:tcPr>
            <w:tcW w:w="1080" w:type="dxa"/>
            <w:vAlign w:val="bottom"/>
          </w:tcPr>
          <w:p>
            <w:pPr>
              <w:spacing w:after="0"/>
              <w:rPr>
                <w:sz w:val="24"/>
                <w:szCs w:val="24"/>
                <w:color w:val="auto"/>
              </w:rPr>
            </w:pPr>
          </w:p>
        </w:tc>
        <w:tc>
          <w:tcPr>
            <w:tcW w:w="5040" w:type="dxa"/>
            <w:vAlign w:val="bottom"/>
            <w:gridSpan w:val="8"/>
          </w:tcPr>
          <w:p>
            <w:pPr>
              <w:ind w:left="4460"/>
              <w:spacing w:after="0"/>
              <w:rPr>
                <w:sz w:val="20"/>
                <w:szCs w:val="20"/>
                <w:color w:val="auto"/>
              </w:rPr>
            </w:pPr>
            <w:r>
              <w:rPr>
                <w:rFonts w:ascii="Arial" w:cs="Arial" w:eastAsia="Arial" w:hAnsi="Arial"/>
                <w:sz w:val="17"/>
                <w:szCs w:val="17"/>
                <w:color w:val="auto"/>
              </w:rPr>
              <w:t>81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0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1080" w:type="dxa"/>
            <w:vAlign w:val="bottom"/>
          </w:tcPr>
          <w:p>
            <w:pPr>
              <w:spacing w:after="0"/>
              <w:rPr>
                <w:sz w:val="20"/>
                <w:szCs w:val="20"/>
                <w:color w:val="auto"/>
              </w:rPr>
            </w:pPr>
            <w:r>
              <w:rPr>
                <w:rFonts w:ascii="Arial" w:cs="Arial" w:eastAsia="Arial" w:hAnsi="Arial"/>
                <w:sz w:val="17"/>
                <w:szCs w:val="17"/>
                <w:color w:val="auto"/>
              </w:rPr>
              <w:t>10.20+</w:t>
            </w:r>
          </w:p>
        </w:tc>
        <w:tc>
          <w:tcPr>
            <w:tcW w:w="10160" w:type="dxa"/>
            <w:vAlign w:val="bottom"/>
            <w:gridSpan w:val="21"/>
          </w:tcPr>
          <w:p>
            <w:pPr>
              <w:spacing w:after="0"/>
              <w:rPr>
                <w:rFonts w:ascii="Arial" w:cs="Arial" w:eastAsia="Arial" w:hAnsi="Arial"/>
                <w:sz w:val="17"/>
                <w:szCs w:val="17"/>
                <w:color w:val="0000EE"/>
                <w:w w:val="94"/>
              </w:rPr>
            </w:pPr>
            <w:hyperlink r:id="rId135">
              <w:r>
                <w:rPr>
                  <w:rFonts w:ascii="Arial" w:cs="Arial" w:eastAsia="Arial" w:hAnsi="Arial"/>
                  <w:sz w:val="17"/>
                  <w:szCs w:val="17"/>
                  <w:color w:val="0000EE"/>
                  <w:w w:val="94"/>
                </w:rPr>
                <w:t>Employment Agreement, dated July 14, 2020, by and between Neuronetics, Inc. and Keith J. Sullivan (incorporated by reference to Exhibit 10.1</w:t>
              </w:r>
            </w:hyperlink>
          </w:p>
        </w:tc>
      </w:tr>
      <w:tr>
        <w:trPr>
          <w:trHeight w:val="188"/>
        </w:trPr>
        <w:tc>
          <w:tcPr>
            <w:tcW w:w="1080" w:type="dxa"/>
            <w:vAlign w:val="bottom"/>
          </w:tcPr>
          <w:p>
            <w:pPr>
              <w:spacing w:after="0"/>
              <w:rPr>
                <w:sz w:val="16"/>
                <w:szCs w:val="16"/>
                <w:color w:val="auto"/>
              </w:rPr>
            </w:pPr>
          </w:p>
        </w:tc>
        <w:tc>
          <w:tcPr>
            <w:tcW w:w="502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93"/>
              </w:rPr>
            </w:pPr>
            <w:hyperlink r:id="rId135">
              <w:r>
                <w:rPr>
                  <w:rFonts w:ascii="Arial" w:cs="Arial" w:eastAsia="Arial" w:hAnsi="Arial"/>
                  <w:sz w:val="17"/>
                  <w:szCs w:val="17"/>
                  <w:color w:val="0000EE"/>
                  <w:w w:val="93"/>
                </w:rPr>
                <w:t>to the Current Report on Form 8-K filed with the SEC on July 17, 2020)</w:t>
              </w:r>
            </w:hyperlink>
          </w:p>
        </w:tc>
        <w:tc>
          <w:tcPr>
            <w:tcW w:w="5000" w:type="dxa"/>
            <w:vAlign w:val="bottom"/>
            <w:tcBorders>
              <w:top w:val="single" w:sz="8" w:color="0000EE"/>
            </w:tcBorders>
            <w:gridSpan w:val="11"/>
          </w:tcPr>
          <w:p>
            <w:pPr>
              <w:spacing w:after="0"/>
              <w:rPr>
                <w:sz w:val="16"/>
                <w:szCs w:val="16"/>
                <w:color w:val="auto"/>
              </w:rPr>
            </w:pPr>
          </w:p>
        </w:tc>
        <w:tc>
          <w:tcPr>
            <w:tcW w:w="140" w:type="dxa"/>
            <w:vAlign w:val="bottom"/>
            <w:gridSpan w:val="5"/>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10.21+</w:t>
            </w:r>
          </w:p>
        </w:tc>
        <w:tc>
          <w:tcPr>
            <w:tcW w:w="10160" w:type="dxa"/>
            <w:vAlign w:val="bottom"/>
            <w:gridSpan w:val="21"/>
          </w:tcPr>
          <w:p>
            <w:pPr>
              <w:spacing w:after="0"/>
              <w:rPr>
                <w:rFonts w:ascii="Arial" w:cs="Arial" w:eastAsia="Arial" w:hAnsi="Arial"/>
                <w:sz w:val="17"/>
                <w:szCs w:val="17"/>
                <w:color w:val="0000EE"/>
                <w:w w:val="99"/>
              </w:rPr>
            </w:pPr>
            <w:hyperlink r:id="rId136">
              <w:r>
                <w:rPr>
                  <w:rFonts w:ascii="Arial" w:cs="Arial" w:eastAsia="Arial" w:hAnsi="Arial"/>
                  <w:sz w:val="17"/>
                  <w:szCs w:val="17"/>
                  <w:color w:val="0000EE"/>
                  <w:w w:val="99"/>
                </w:rPr>
                <w:t>Form of Neuronetics, Inc. Performance Restricted Stock Unit Grant Notice and Award Agreement under Nasdaq Listing Rule 5635(c)(4)</w:t>
              </w:r>
            </w:hyperlink>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1"/>
          </w:tcPr>
          <w:p>
            <w:pPr>
              <w:spacing w:after="0"/>
              <w:rPr>
                <w:rFonts w:ascii="Arial" w:cs="Arial" w:eastAsia="Arial" w:hAnsi="Arial"/>
                <w:sz w:val="17"/>
                <w:szCs w:val="17"/>
                <w:u w:val="single" w:color="auto"/>
                <w:color w:val="0000EE"/>
                <w:w w:val="97"/>
              </w:rPr>
            </w:pPr>
            <w:hyperlink r:id="rId136">
              <w:r>
                <w:rPr>
                  <w:rFonts w:ascii="Arial" w:cs="Arial" w:eastAsia="Arial" w:hAnsi="Arial"/>
                  <w:sz w:val="17"/>
                  <w:szCs w:val="17"/>
                  <w:u w:val="single" w:color="auto"/>
                  <w:color w:val="0000EE"/>
                  <w:w w:val="97"/>
                </w:rPr>
                <w:t>(incorporated by reference to Exhibit 10.2 to the Registrant’s Quarterly Report on Form 10-Q (File No. 001-38546) filed on August 4, 2020)</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10.22+</w:t>
            </w:r>
          </w:p>
        </w:tc>
        <w:tc>
          <w:tcPr>
            <w:tcW w:w="10160" w:type="dxa"/>
            <w:vAlign w:val="bottom"/>
            <w:gridSpan w:val="21"/>
          </w:tcPr>
          <w:p>
            <w:pPr>
              <w:spacing w:after="0"/>
              <w:rPr>
                <w:rFonts w:ascii="Arial" w:cs="Arial" w:eastAsia="Arial" w:hAnsi="Arial"/>
                <w:sz w:val="17"/>
                <w:szCs w:val="17"/>
                <w:color w:val="0000EE"/>
              </w:rPr>
            </w:pPr>
            <w:hyperlink r:id="rId137">
              <w:r>
                <w:rPr>
                  <w:rFonts w:ascii="Arial" w:cs="Arial" w:eastAsia="Arial" w:hAnsi="Arial"/>
                  <w:sz w:val="17"/>
                  <w:szCs w:val="17"/>
                  <w:color w:val="0000EE"/>
                </w:rPr>
                <w:t>Form of Neuronetics, Inc. Performance Restricted Stock Unit Grant Notice and Award Agreement under the 2018 Equity Incentive Plan</w:t>
              </w:r>
            </w:hyperlink>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1"/>
          </w:tcPr>
          <w:p>
            <w:pPr>
              <w:spacing w:after="0"/>
              <w:rPr>
                <w:rFonts w:ascii="Arial" w:cs="Arial" w:eastAsia="Arial" w:hAnsi="Arial"/>
                <w:sz w:val="17"/>
                <w:szCs w:val="17"/>
                <w:u w:val="single" w:color="auto"/>
                <w:color w:val="0000EE"/>
                <w:w w:val="97"/>
              </w:rPr>
            </w:pPr>
            <w:hyperlink r:id="rId137">
              <w:r>
                <w:rPr>
                  <w:rFonts w:ascii="Arial" w:cs="Arial" w:eastAsia="Arial" w:hAnsi="Arial"/>
                  <w:sz w:val="17"/>
                  <w:szCs w:val="17"/>
                  <w:u w:val="single" w:color="auto"/>
                  <w:color w:val="0000EE"/>
                  <w:w w:val="97"/>
                </w:rPr>
                <w:t>(incorporated by reference to Exhibit 10.3 to the Registrant’s Quarterly Report on Form 10-Q (File No. 001-38546) filed on August 4, 2020)</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10.23+</w:t>
            </w:r>
          </w:p>
        </w:tc>
        <w:tc>
          <w:tcPr>
            <w:tcW w:w="9780" w:type="dxa"/>
            <w:vAlign w:val="bottom"/>
            <w:tcBorders>
              <w:bottom w:val="single" w:sz="8" w:color="0000EE"/>
            </w:tcBorders>
            <w:gridSpan w:val="12"/>
          </w:tcPr>
          <w:p>
            <w:pPr>
              <w:spacing w:after="0"/>
              <w:rPr>
                <w:rFonts w:ascii="Arial" w:cs="Arial" w:eastAsia="Arial" w:hAnsi="Arial"/>
                <w:sz w:val="17"/>
                <w:szCs w:val="17"/>
                <w:color w:val="0000EE"/>
                <w:w w:val="93"/>
              </w:rPr>
            </w:pPr>
            <w:hyperlink r:id="rId138">
              <w:r>
                <w:rPr>
                  <w:rFonts w:ascii="Arial" w:cs="Arial" w:eastAsia="Arial" w:hAnsi="Arial"/>
                  <w:sz w:val="17"/>
                  <w:szCs w:val="17"/>
                  <w:color w:val="0000EE"/>
                  <w:w w:val="93"/>
                </w:rPr>
                <w:t>Form of Neuronetics, Inc. Restricted Stock Unit Grant Notice and Award Agreement under Nasdaq Listing Rule 5635(c)(4) (incorporated by</w:t>
              </w:r>
            </w:hyperlink>
          </w:p>
        </w:tc>
        <w:tc>
          <w:tcPr>
            <w:tcW w:w="380" w:type="dxa"/>
            <w:vAlign w:val="bottom"/>
            <w:gridSpan w:val="9"/>
          </w:tcPr>
          <w:p>
            <w:pPr>
              <w:spacing w:after="0"/>
              <w:rPr>
                <w:sz w:val="24"/>
                <w:szCs w:val="24"/>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1"/>
          </w:tcPr>
          <w:p>
            <w:pPr>
              <w:spacing w:after="0"/>
              <w:rPr>
                <w:rFonts w:ascii="Arial" w:cs="Arial" w:eastAsia="Arial" w:hAnsi="Arial"/>
                <w:sz w:val="17"/>
                <w:szCs w:val="17"/>
                <w:u w:val="single" w:color="auto"/>
                <w:color w:val="0000EE"/>
              </w:rPr>
            </w:pPr>
            <w:hyperlink r:id="rId138">
              <w:r>
                <w:rPr>
                  <w:rFonts w:ascii="Arial" w:cs="Arial" w:eastAsia="Arial" w:hAnsi="Arial"/>
                  <w:sz w:val="17"/>
                  <w:szCs w:val="17"/>
                  <w:u w:val="single" w:color="auto"/>
                  <w:color w:val="0000EE"/>
                </w:rPr>
                <w:t>reference to Exhibit 10.4 to the Registrant’s Quarterly Report on Form 10-Q (File No. 001-38546) filed on August 4, 2020)</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10.24+</w:t>
            </w:r>
          </w:p>
        </w:tc>
        <w:tc>
          <w:tcPr>
            <w:tcW w:w="9540" w:type="dxa"/>
            <w:vAlign w:val="bottom"/>
            <w:tcBorders>
              <w:bottom w:val="single" w:sz="8" w:color="0000EE"/>
            </w:tcBorders>
            <w:gridSpan w:val="9"/>
          </w:tcPr>
          <w:p>
            <w:pPr>
              <w:spacing w:after="0"/>
              <w:rPr>
                <w:rFonts w:ascii="Arial" w:cs="Arial" w:eastAsia="Arial" w:hAnsi="Arial"/>
                <w:sz w:val="17"/>
                <w:szCs w:val="17"/>
                <w:color w:val="0000EE"/>
                <w:w w:val="93"/>
              </w:rPr>
            </w:pPr>
            <w:hyperlink r:id="rId139">
              <w:r>
                <w:rPr>
                  <w:rFonts w:ascii="Arial" w:cs="Arial" w:eastAsia="Arial" w:hAnsi="Arial"/>
                  <w:sz w:val="17"/>
                  <w:szCs w:val="17"/>
                  <w:color w:val="0000EE"/>
                  <w:w w:val="93"/>
                </w:rPr>
                <w:t>Form of Neuronetics, Inc. Stock Option Grant Notice and Agreement (Nonstatutory Stock Option) under Nasdaq Listing Rule 5635(c)(4)</w:t>
              </w:r>
            </w:hyperlink>
          </w:p>
        </w:tc>
        <w:tc>
          <w:tcPr>
            <w:tcW w:w="620" w:type="dxa"/>
            <w:vAlign w:val="bottom"/>
            <w:gridSpan w:val="12"/>
          </w:tcPr>
          <w:p>
            <w:pPr>
              <w:spacing w:after="0"/>
              <w:rPr>
                <w:sz w:val="24"/>
                <w:szCs w:val="24"/>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1"/>
          </w:tcPr>
          <w:p>
            <w:pPr>
              <w:spacing w:after="0"/>
              <w:rPr>
                <w:rFonts w:ascii="Arial" w:cs="Arial" w:eastAsia="Arial" w:hAnsi="Arial"/>
                <w:sz w:val="17"/>
                <w:szCs w:val="17"/>
                <w:u w:val="single" w:color="auto"/>
                <w:color w:val="0000EE"/>
                <w:w w:val="97"/>
              </w:rPr>
            </w:pPr>
            <w:hyperlink r:id="rId139">
              <w:r>
                <w:rPr>
                  <w:rFonts w:ascii="Arial" w:cs="Arial" w:eastAsia="Arial" w:hAnsi="Arial"/>
                  <w:sz w:val="17"/>
                  <w:szCs w:val="17"/>
                  <w:u w:val="single" w:color="auto"/>
                  <w:color w:val="0000EE"/>
                  <w:w w:val="97"/>
                </w:rPr>
                <w:t>(incorporated by reference to Exhibit 10.5 to the Registrant’s Quarterly Report on Form 10-Q (File No. 001-38546) filed on August 4, 2020)</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10.25+</w:t>
            </w:r>
          </w:p>
        </w:tc>
        <w:tc>
          <w:tcPr>
            <w:tcW w:w="10160" w:type="dxa"/>
            <w:vAlign w:val="bottom"/>
            <w:gridSpan w:val="21"/>
          </w:tcPr>
          <w:p>
            <w:pPr>
              <w:spacing w:after="0"/>
              <w:rPr>
                <w:rFonts w:ascii="Arial" w:cs="Arial" w:eastAsia="Arial" w:hAnsi="Arial"/>
                <w:sz w:val="17"/>
                <w:szCs w:val="17"/>
                <w:color w:val="0000EE"/>
                <w:w w:val="96"/>
              </w:rPr>
            </w:pPr>
            <w:hyperlink r:id="rId140">
              <w:r>
                <w:rPr>
                  <w:rFonts w:ascii="Arial" w:cs="Arial" w:eastAsia="Arial" w:hAnsi="Arial"/>
                  <w:sz w:val="17"/>
                  <w:szCs w:val="17"/>
                  <w:color w:val="0000EE"/>
                  <w:w w:val="96"/>
                </w:rPr>
                <w:t>Performance Restricted Stock Unit Grant Notice and Award Agreement, dated July 14, 2020, by and between Neuronetics, Inc. and Keith J.</w:t>
              </w:r>
            </w:hyperlink>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1080" w:type="dxa"/>
            <w:vAlign w:val="bottom"/>
          </w:tcPr>
          <w:p>
            <w:pPr>
              <w:spacing w:after="0"/>
              <w:rPr>
                <w:sz w:val="16"/>
                <w:szCs w:val="16"/>
                <w:color w:val="auto"/>
              </w:rPr>
            </w:pPr>
          </w:p>
        </w:tc>
        <w:tc>
          <w:tcPr>
            <w:tcW w:w="10160" w:type="dxa"/>
            <w:vAlign w:val="bottom"/>
            <w:gridSpan w:val="21"/>
          </w:tcPr>
          <w:p>
            <w:pPr>
              <w:spacing w:after="0" w:line="189" w:lineRule="exact"/>
              <w:rPr>
                <w:rFonts w:ascii="Arial" w:cs="Arial" w:eastAsia="Arial" w:hAnsi="Arial"/>
                <w:sz w:val="17"/>
                <w:szCs w:val="17"/>
                <w:color w:val="0000EE"/>
                <w:w w:val="96"/>
              </w:rPr>
            </w:pPr>
            <w:hyperlink r:id="rId140">
              <w:r>
                <w:rPr>
                  <w:rFonts w:ascii="Arial" w:cs="Arial" w:eastAsia="Arial" w:hAnsi="Arial"/>
                  <w:sz w:val="17"/>
                  <w:szCs w:val="17"/>
                  <w:color w:val="0000EE"/>
                  <w:w w:val="96"/>
                </w:rPr>
                <w:t>Sullivan (incorporated by reference to Exhibit 10.6 to the Registrant’s Quarterly Report on Form 10-Q (File No. 001-38546) filed on August 4,</w:t>
              </w:r>
            </w:hyperlink>
          </w:p>
        </w:tc>
      </w:tr>
      <w:tr>
        <w:trPr>
          <w:trHeight w:val="188"/>
        </w:trPr>
        <w:tc>
          <w:tcPr>
            <w:tcW w:w="10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r:id="rId140">
              <w:r>
                <w:rPr>
                  <w:rFonts w:ascii="Arial" w:cs="Arial" w:eastAsia="Arial" w:hAnsi="Arial"/>
                  <w:sz w:val="17"/>
                  <w:szCs w:val="17"/>
                  <w:color w:val="0000EE"/>
                  <w:w w:val="87"/>
                </w:rPr>
                <w:t>2020)</w:t>
              </w:r>
            </w:hyperlink>
          </w:p>
        </w:tc>
        <w:tc>
          <w:tcPr>
            <w:tcW w:w="18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13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10.26+</w:t>
            </w:r>
          </w:p>
        </w:tc>
        <w:tc>
          <w:tcPr>
            <w:tcW w:w="9440" w:type="dxa"/>
            <w:vAlign w:val="bottom"/>
            <w:tcBorders>
              <w:bottom w:val="single" w:sz="8" w:color="0000EE"/>
            </w:tcBorders>
            <w:gridSpan w:val="8"/>
          </w:tcPr>
          <w:p>
            <w:pPr>
              <w:spacing w:after="0"/>
              <w:rPr>
                <w:rFonts w:ascii="Arial" w:cs="Arial" w:eastAsia="Arial" w:hAnsi="Arial"/>
                <w:sz w:val="17"/>
                <w:szCs w:val="17"/>
                <w:color w:val="0000EE"/>
                <w:w w:val="92"/>
              </w:rPr>
            </w:pPr>
            <w:hyperlink r:id="rId141">
              <w:r>
                <w:rPr>
                  <w:rFonts w:ascii="Arial" w:cs="Arial" w:eastAsia="Arial" w:hAnsi="Arial"/>
                  <w:sz w:val="17"/>
                  <w:szCs w:val="17"/>
                  <w:color w:val="0000EE"/>
                  <w:w w:val="92"/>
                </w:rPr>
                <w:t>Restricted Stock Unit Grant Notice and Award Agreement, dated July 14, 2020, by and between Neuronetics, Inc. and Keith J. Sullivan</w:t>
              </w:r>
            </w:hyperlink>
          </w:p>
        </w:tc>
        <w:tc>
          <w:tcPr>
            <w:tcW w:w="720" w:type="dxa"/>
            <w:vAlign w:val="bottom"/>
            <w:gridSpan w:val="13"/>
          </w:tcPr>
          <w:p>
            <w:pPr>
              <w:spacing w:after="0"/>
              <w:rPr>
                <w:sz w:val="24"/>
                <w:szCs w:val="24"/>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1"/>
          </w:tcPr>
          <w:p>
            <w:pPr>
              <w:spacing w:after="0"/>
              <w:rPr>
                <w:rFonts w:ascii="Arial" w:cs="Arial" w:eastAsia="Arial" w:hAnsi="Arial"/>
                <w:sz w:val="17"/>
                <w:szCs w:val="17"/>
                <w:u w:val="single" w:color="auto"/>
                <w:color w:val="0000EE"/>
                <w:w w:val="97"/>
              </w:rPr>
            </w:pPr>
            <w:hyperlink r:id="rId141">
              <w:r>
                <w:rPr>
                  <w:rFonts w:ascii="Arial" w:cs="Arial" w:eastAsia="Arial" w:hAnsi="Arial"/>
                  <w:sz w:val="17"/>
                  <w:szCs w:val="17"/>
                  <w:u w:val="single" w:color="auto"/>
                  <w:color w:val="0000EE"/>
                  <w:w w:val="97"/>
                </w:rPr>
                <w:t>(incorporated by reference to Exhibit 10.7 to the Registrant’s Quarterly Report on Form 10-Q (File No. 001-38546) filed on August 4, 2020)</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10.27+</w:t>
            </w:r>
          </w:p>
        </w:tc>
        <w:tc>
          <w:tcPr>
            <w:tcW w:w="9740" w:type="dxa"/>
            <w:vAlign w:val="bottom"/>
            <w:tcBorders>
              <w:bottom w:val="single" w:sz="8" w:color="0000EE"/>
            </w:tcBorders>
            <w:gridSpan w:val="11"/>
          </w:tcPr>
          <w:p>
            <w:pPr>
              <w:spacing w:after="0"/>
              <w:rPr>
                <w:rFonts w:ascii="Arial" w:cs="Arial" w:eastAsia="Arial" w:hAnsi="Arial"/>
                <w:sz w:val="17"/>
                <w:szCs w:val="17"/>
                <w:color w:val="0000EE"/>
                <w:w w:val="92"/>
              </w:rPr>
            </w:pPr>
            <w:hyperlink r:id="rId142">
              <w:r>
                <w:rPr>
                  <w:rFonts w:ascii="Arial" w:cs="Arial" w:eastAsia="Arial" w:hAnsi="Arial"/>
                  <w:sz w:val="17"/>
                  <w:szCs w:val="17"/>
                  <w:color w:val="0000EE"/>
                  <w:w w:val="92"/>
                </w:rPr>
                <w:t>Stock Option Grant Notice and Agreement (Nonstatutory Stock Option), dated July 14, 2020, by and between Neuronetics, Inc. and Keith J.</w:t>
              </w:r>
            </w:hyperlink>
          </w:p>
        </w:tc>
        <w:tc>
          <w:tcPr>
            <w:tcW w:w="420" w:type="dxa"/>
            <w:vAlign w:val="bottom"/>
            <w:gridSpan w:val="10"/>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10160" w:type="dxa"/>
            <w:vAlign w:val="bottom"/>
            <w:gridSpan w:val="21"/>
          </w:tcPr>
          <w:p>
            <w:pPr>
              <w:spacing w:after="0" w:line="189" w:lineRule="exact"/>
              <w:rPr>
                <w:rFonts w:ascii="Arial" w:cs="Arial" w:eastAsia="Arial" w:hAnsi="Arial"/>
                <w:sz w:val="17"/>
                <w:szCs w:val="17"/>
                <w:color w:val="0000EE"/>
                <w:w w:val="96"/>
              </w:rPr>
            </w:pPr>
            <w:hyperlink r:id="rId142">
              <w:r>
                <w:rPr>
                  <w:rFonts w:ascii="Arial" w:cs="Arial" w:eastAsia="Arial" w:hAnsi="Arial"/>
                  <w:sz w:val="17"/>
                  <w:szCs w:val="17"/>
                  <w:color w:val="0000EE"/>
                  <w:w w:val="96"/>
                </w:rPr>
                <w:t>Sullivan (incorporated by reference to Exhibit 10.8 to the Registrant’s Quarterly Report on Form 10-Q (File No. 001-38546) filed on August 4,</w:t>
              </w:r>
            </w:hyperlink>
          </w:p>
        </w:tc>
      </w:tr>
      <w:tr>
        <w:trPr>
          <w:trHeight w:val="188"/>
        </w:trPr>
        <w:tc>
          <w:tcPr>
            <w:tcW w:w="10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r:id="rId142">
              <w:r>
                <w:rPr>
                  <w:rFonts w:ascii="Arial" w:cs="Arial" w:eastAsia="Arial" w:hAnsi="Arial"/>
                  <w:sz w:val="17"/>
                  <w:szCs w:val="17"/>
                  <w:color w:val="0000EE"/>
                  <w:w w:val="87"/>
                </w:rPr>
                <w:t>2020)</w:t>
              </w:r>
            </w:hyperlink>
          </w:p>
        </w:tc>
        <w:tc>
          <w:tcPr>
            <w:tcW w:w="18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13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10.28+</w:t>
            </w:r>
          </w:p>
        </w:tc>
        <w:tc>
          <w:tcPr>
            <w:tcW w:w="9280" w:type="dxa"/>
            <w:vAlign w:val="bottom"/>
            <w:tcBorders>
              <w:bottom w:val="single" w:sz="8" w:color="0000EE"/>
            </w:tcBorders>
            <w:gridSpan w:val="7"/>
          </w:tcPr>
          <w:p>
            <w:pPr>
              <w:spacing w:after="0"/>
              <w:rPr>
                <w:rFonts w:ascii="Arial" w:cs="Arial" w:eastAsia="Arial" w:hAnsi="Arial"/>
                <w:sz w:val="17"/>
                <w:szCs w:val="17"/>
                <w:color w:val="0000EE"/>
                <w:w w:val="91"/>
              </w:rPr>
            </w:pPr>
            <w:hyperlink r:id="rId143">
              <w:r>
                <w:rPr>
                  <w:rFonts w:ascii="Arial" w:cs="Arial" w:eastAsia="Arial" w:hAnsi="Arial"/>
                  <w:sz w:val="17"/>
                  <w:szCs w:val="17"/>
                  <w:color w:val="0000EE"/>
                  <w:w w:val="91"/>
                </w:rPr>
                <w:t>Restricted Stock Unit Grant Notice and Award Agreement, dated October 5, 2020, by and between Neuronetics, Inc. and Sara Grubbs</w:t>
              </w:r>
            </w:hyperlink>
          </w:p>
        </w:tc>
        <w:tc>
          <w:tcPr>
            <w:tcW w:w="880" w:type="dxa"/>
            <w:vAlign w:val="bottom"/>
            <w:gridSpan w:val="14"/>
          </w:tcPr>
          <w:p>
            <w:pPr>
              <w:spacing w:after="0"/>
              <w:rPr>
                <w:sz w:val="24"/>
                <w:szCs w:val="24"/>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1"/>
          </w:tcPr>
          <w:p>
            <w:pPr>
              <w:spacing w:after="0"/>
              <w:rPr>
                <w:rFonts w:ascii="Arial" w:cs="Arial" w:eastAsia="Arial" w:hAnsi="Arial"/>
                <w:sz w:val="17"/>
                <w:szCs w:val="17"/>
                <w:u w:val="single" w:color="auto"/>
                <w:color w:val="0000EE"/>
              </w:rPr>
            </w:pPr>
            <w:hyperlink r:id="rId143">
              <w:r>
                <w:rPr>
                  <w:rFonts w:ascii="Arial" w:cs="Arial" w:eastAsia="Arial" w:hAnsi="Arial"/>
                  <w:sz w:val="17"/>
                  <w:szCs w:val="17"/>
                  <w:u w:val="single" w:color="auto"/>
                  <w:color w:val="0000EE"/>
                </w:rPr>
                <w:t>(incorporated by reference to Exhibit 10.4 to the Registration Statement on Form S-8 (File No. 333-252233) filed January 19, 2021)</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10.29+</w:t>
            </w:r>
          </w:p>
        </w:tc>
        <w:tc>
          <w:tcPr>
            <w:tcW w:w="10100" w:type="dxa"/>
            <w:vAlign w:val="bottom"/>
            <w:tcBorders>
              <w:bottom w:val="single" w:sz="8" w:color="0000EE"/>
            </w:tcBorders>
            <w:gridSpan w:val="20"/>
          </w:tcPr>
          <w:p>
            <w:pPr>
              <w:spacing w:after="0"/>
              <w:rPr>
                <w:rFonts w:ascii="Arial" w:cs="Arial" w:eastAsia="Arial" w:hAnsi="Arial"/>
                <w:sz w:val="17"/>
                <w:szCs w:val="17"/>
                <w:color w:val="0000EE"/>
                <w:w w:val="92"/>
              </w:rPr>
            </w:pPr>
            <w:hyperlink r:id="rId144">
              <w:r>
                <w:rPr>
                  <w:rFonts w:ascii="Arial" w:cs="Arial" w:eastAsia="Arial" w:hAnsi="Arial"/>
                  <w:sz w:val="17"/>
                  <w:szCs w:val="17"/>
                  <w:color w:val="0000EE"/>
                  <w:w w:val="92"/>
                </w:rPr>
                <w:t>Neuronetics, Inc. 2020 Inducement Incentive Plan (incorporated by reference to Exhibit 10.5 to the Registration Statement on Form S-8 (File No.</w:t>
              </w:r>
            </w:hyperlink>
          </w:p>
        </w:tc>
        <w:tc>
          <w:tcPr>
            <w:tcW w:w="60" w:type="dxa"/>
            <w:vAlign w:val="bottom"/>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10160" w:type="dxa"/>
            <w:vAlign w:val="bottom"/>
            <w:gridSpan w:val="21"/>
          </w:tcPr>
          <w:p>
            <w:pPr>
              <w:spacing w:after="0" w:line="189" w:lineRule="exact"/>
              <w:rPr>
                <w:rFonts w:ascii="Arial" w:cs="Arial" w:eastAsia="Arial" w:hAnsi="Arial"/>
                <w:sz w:val="17"/>
                <w:szCs w:val="17"/>
                <w:color w:val="0000EE"/>
              </w:rPr>
            </w:pPr>
            <w:hyperlink r:id="rId144">
              <w:r>
                <w:rPr>
                  <w:rFonts w:ascii="Arial" w:cs="Arial" w:eastAsia="Arial" w:hAnsi="Arial"/>
                  <w:sz w:val="17"/>
                  <w:szCs w:val="17"/>
                  <w:color w:val="0000EE"/>
                </w:rPr>
                <w:t>333-252233) filed January 19, 2021)</w:t>
              </w:r>
            </w:hyperlink>
          </w:p>
        </w:tc>
      </w:tr>
      <w:tr>
        <w:trPr>
          <w:trHeight w:val="20"/>
        </w:trPr>
        <w:tc>
          <w:tcPr>
            <w:tcW w:w="108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10.30+</w:t>
            </w:r>
          </w:p>
        </w:tc>
        <w:tc>
          <w:tcPr>
            <w:tcW w:w="9800" w:type="dxa"/>
            <w:vAlign w:val="bottom"/>
            <w:tcBorders>
              <w:bottom w:val="single" w:sz="8" w:color="0000EE"/>
            </w:tcBorders>
            <w:gridSpan w:val="13"/>
          </w:tcPr>
          <w:p>
            <w:pPr>
              <w:spacing w:after="0"/>
              <w:rPr>
                <w:rFonts w:ascii="Arial" w:cs="Arial" w:eastAsia="Arial" w:hAnsi="Arial"/>
                <w:sz w:val="17"/>
                <w:szCs w:val="17"/>
                <w:color w:val="0000EE"/>
                <w:w w:val="92"/>
              </w:rPr>
            </w:pPr>
            <w:hyperlink r:id="rId145">
              <w:r>
                <w:rPr>
                  <w:rFonts w:ascii="Arial" w:cs="Arial" w:eastAsia="Arial" w:hAnsi="Arial"/>
                  <w:sz w:val="17"/>
                  <w:szCs w:val="17"/>
                  <w:color w:val="0000EE"/>
                  <w:w w:val="92"/>
                </w:rPr>
                <w:t>Form of Neuronetics, Inc. Performance Restricted Stock Unit Grant Notice and Award Agreement under the 2020 Inducement Incentive Plan</w:t>
              </w:r>
            </w:hyperlink>
          </w:p>
        </w:tc>
        <w:tc>
          <w:tcPr>
            <w:tcW w:w="360" w:type="dxa"/>
            <w:vAlign w:val="bottom"/>
            <w:gridSpan w:val="8"/>
          </w:tcPr>
          <w:p>
            <w:pPr>
              <w:spacing w:after="0"/>
              <w:rPr>
                <w:sz w:val="24"/>
                <w:szCs w:val="24"/>
                <w:color w:val="auto"/>
              </w:rPr>
            </w:pPr>
          </w:p>
        </w:tc>
      </w:tr>
      <w:tr>
        <w:trPr>
          <w:trHeight w:val="227"/>
        </w:trPr>
        <w:tc>
          <w:tcPr>
            <w:tcW w:w="1080" w:type="dxa"/>
            <w:vAlign w:val="bottom"/>
          </w:tcPr>
          <w:p>
            <w:pPr>
              <w:spacing w:after="0"/>
              <w:rPr>
                <w:sz w:val="19"/>
                <w:szCs w:val="19"/>
                <w:color w:val="auto"/>
              </w:rPr>
            </w:pPr>
          </w:p>
        </w:tc>
        <w:tc>
          <w:tcPr>
            <w:tcW w:w="10160" w:type="dxa"/>
            <w:vAlign w:val="bottom"/>
            <w:gridSpan w:val="21"/>
          </w:tcPr>
          <w:p>
            <w:pPr>
              <w:spacing w:after="0"/>
              <w:rPr>
                <w:rFonts w:ascii="Arial" w:cs="Arial" w:eastAsia="Arial" w:hAnsi="Arial"/>
                <w:sz w:val="17"/>
                <w:szCs w:val="17"/>
                <w:u w:val="single" w:color="auto"/>
                <w:color w:val="0000EE"/>
              </w:rPr>
            </w:pPr>
            <w:hyperlink r:id="rId145">
              <w:r>
                <w:rPr>
                  <w:rFonts w:ascii="Arial" w:cs="Arial" w:eastAsia="Arial" w:hAnsi="Arial"/>
                  <w:sz w:val="17"/>
                  <w:szCs w:val="17"/>
                  <w:u w:val="single" w:color="auto"/>
                  <w:color w:val="0000EE"/>
                </w:rPr>
                <w:t>(incorporated by reference to Exhibit 10.6 to the Registration Statement on Form S-8 (File No. 333-252233) filed January 19, 2021)</w:t>
              </w:r>
            </w:hyperlink>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10.31+</w:t>
            </w:r>
          </w:p>
        </w:tc>
        <w:tc>
          <w:tcPr>
            <w:tcW w:w="10080" w:type="dxa"/>
            <w:vAlign w:val="bottom"/>
            <w:tcBorders>
              <w:bottom w:val="single" w:sz="8" w:color="0000EE"/>
            </w:tcBorders>
            <w:gridSpan w:val="19"/>
          </w:tcPr>
          <w:p>
            <w:pPr>
              <w:spacing w:after="0"/>
              <w:rPr>
                <w:rFonts w:ascii="Arial" w:cs="Arial" w:eastAsia="Arial" w:hAnsi="Arial"/>
                <w:sz w:val="17"/>
                <w:szCs w:val="17"/>
                <w:color w:val="0000EE"/>
                <w:w w:val="93"/>
              </w:rPr>
            </w:pPr>
            <w:hyperlink r:id="rId146">
              <w:r>
                <w:rPr>
                  <w:rFonts w:ascii="Arial" w:cs="Arial" w:eastAsia="Arial" w:hAnsi="Arial"/>
                  <w:sz w:val="17"/>
                  <w:szCs w:val="17"/>
                  <w:color w:val="0000EE"/>
                  <w:w w:val="93"/>
                </w:rPr>
                <w:t>Form of Neuronetics, Inc. Restricted Stock Unit Grant Notice and Award Agreement under the 2020 Inducement Incentive Plan (incorporated by</w:t>
              </w:r>
            </w:hyperlink>
          </w:p>
        </w:tc>
        <w:tc>
          <w:tcPr>
            <w:tcW w:w="80" w:type="dxa"/>
            <w:vAlign w:val="bottom"/>
            <w:gridSpan w:val="2"/>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10160" w:type="dxa"/>
            <w:vAlign w:val="bottom"/>
            <w:gridSpan w:val="21"/>
          </w:tcPr>
          <w:p>
            <w:pPr>
              <w:spacing w:after="0" w:line="189" w:lineRule="exact"/>
              <w:rPr>
                <w:rFonts w:ascii="Arial" w:cs="Arial" w:eastAsia="Arial" w:hAnsi="Arial"/>
                <w:sz w:val="17"/>
                <w:szCs w:val="17"/>
                <w:color w:val="0000EE"/>
              </w:rPr>
            </w:pPr>
            <w:hyperlink r:id="rId146">
              <w:r>
                <w:rPr>
                  <w:rFonts w:ascii="Arial" w:cs="Arial" w:eastAsia="Arial" w:hAnsi="Arial"/>
                  <w:sz w:val="17"/>
                  <w:szCs w:val="17"/>
                  <w:color w:val="0000EE"/>
                </w:rPr>
                <w:t>reference to Exhibit 10.7 to the Registration Statement on Form S-8 (File No. 333-252233) filed January 19, 2021)</w:t>
              </w:r>
            </w:hyperlink>
          </w:p>
        </w:tc>
      </w:tr>
      <w:tr>
        <w:trPr>
          <w:trHeight w:val="20"/>
        </w:trPr>
        <w:tc>
          <w:tcPr>
            <w:tcW w:w="108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10.32+</w:t>
            </w:r>
          </w:p>
        </w:tc>
        <w:tc>
          <w:tcPr>
            <w:tcW w:w="10160" w:type="dxa"/>
            <w:vAlign w:val="bottom"/>
            <w:gridSpan w:val="21"/>
          </w:tcPr>
          <w:p>
            <w:pPr>
              <w:spacing w:after="0"/>
              <w:rPr>
                <w:rFonts w:ascii="Arial" w:cs="Arial" w:eastAsia="Arial" w:hAnsi="Arial"/>
                <w:sz w:val="17"/>
                <w:szCs w:val="17"/>
                <w:color w:val="0000EE"/>
                <w:w w:val="96"/>
              </w:rPr>
            </w:pPr>
            <w:hyperlink r:id="rId147">
              <w:r>
                <w:rPr>
                  <w:rFonts w:ascii="Arial" w:cs="Arial" w:eastAsia="Arial" w:hAnsi="Arial"/>
                  <w:sz w:val="17"/>
                  <w:szCs w:val="17"/>
                  <w:color w:val="0000EE"/>
                  <w:w w:val="96"/>
                </w:rPr>
                <w:t>Form of Neuronetics, Inc. Stock Option Grant Notice and Agreement (Nonstatutory Stock Option) under the 2020 Inducement Incentive Plan</w:t>
              </w:r>
            </w:hyperlink>
          </w:p>
        </w:tc>
      </w:tr>
      <w:tr>
        <w:trPr>
          <w:trHeight w:val="227"/>
        </w:trPr>
        <w:tc>
          <w:tcPr>
            <w:tcW w:w="1080" w:type="dxa"/>
            <w:vAlign w:val="bottom"/>
          </w:tcPr>
          <w:p>
            <w:pPr>
              <w:spacing w:after="0"/>
              <w:rPr>
                <w:sz w:val="19"/>
                <w:szCs w:val="19"/>
                <w:color w:val="auto"/>
              </w:rPr>
            </w:pPr>
          </w:p>
        </w:tc>
        <w:tc>
          <w:tcPr>
            <w:tcW w:w="9820" w:type="dxa"/>
            <w:vAlign w:val="bottom"/>
            <w:tcBorders>
              <w:top w:val="single" w:sz="8" w:color="0000EE"/>
            </w:tcBorders>
            <w:gridSpan w:val="14"/>
          </w:tcPr>
          <w:p>
            <w:pPr>
              <w:spacing w:after="0"/>
              <w:rPr>
                <w:rFonts w:ascii="Arial" w:cs="Arial" w:eastAsia="Arial" w:hAnsi="Arial"/>
                <w:sz w:val="17"/>
                <w:szCs w:val="17"/>
                <w:u w:val="single" w:color="auto"/>
                <w:color w:val="0000EE"/>
                <w:w w:val="99"/>
              </w:rPr>
            </w:pPr>
            <w:hyperlink r:id="rId147">
              <w:r>
                <w:rPr>
                  <w:rFonts w:ascii="Arial" w:cs="Arial" w:eastAsia="Arial" w:hAnsi="Arial"/>
                  <w:sz w:val="17"/>
                  <w:szCs w:val="17"/>
                  <w:u w:val="single" w:color="auto"/>
                  <w:color w:val="0000EE"/>
                  <w:w w:val="99"/>
                </w:rPr>
                <w:t>(incorporated by reference to Exhibit 10.8 to the Registration Statement on Form S-8 (File No. 333-252233) filed January 19, 2021)</w:t>
              </w:r>
            </w:hyperlink>
          </w:p>
        </w:tc>
        <w:tc>
          <w:tcPr>
            <w:tcW w:w="340" w:type="dxa"/>
            <w:vAlign w:val="bottom"/>
            <w:gridSpan w:val="7"/>
          </w:tcPr>
          <w:p>
            <w:pPr>
              <w:spacing w:after="0"/>
              <w:rPr>
                <w:sz w:val="19"/>
                <w:szCs w:val="19"/>
                <w:color w:val="auto"/>
              </w:rPr>
            </w:pPr>
          </w:p>
        </w:tc>
      </w:tr>
      <w:tr>
        <w:trPr>
          <w:trHeight w:val="287"/>
        </w:trPr>
        <w:tc>
          <w:tcPr>
            <w:tcW w:w="1080" w:type="dxa"/>
            <w:vAlign w:val="bottom"/>
          </w:tcPr>
          <w:p>
            <w:pPr>
              <w:spacing w:after="0"/>
              <w:rPr>
                <w:sz w:val="20"/>
                <w:szCs w:val="20"/>
                <w:color w:val="auto"/>
              </w:rPr>
            </w:pPr>
            <w:r>
              <w:rPr>
                <w:rFonts w:ascii="Arial" w:cs="Arial" w:eastAsia="Arial" w:hAnsi="Arial"/>
                <w:sz w:val="17"/>
                <w:szCs w:val="17"/>
                <w:color w:val="auto"/>
              </w:rPr>
              <w:t>10.33</w:t>
            </w:r>
          </w:p>
        </w:tc>
        <w:tc>
          <w:tcPr>
            <w:tcW w:w="10040" w:type="dxa"/>
            <w:vAlign w:val="bottom"/>
            <w:tcBorders>
              <w:bottom w:val="single" w:sz="8" w:color="0000EE"/>
            </w:tcBorders>
            <w:gridSpan w:val="17"/>
          </w:tcPr>
          <w:p>
            <w:pPr>
              <w:spacing w:after="0"/>
              <w:rPr>
                <w:rFonts w:ascii="Arial" w:cs="Arial" w:eastAsia="Arial" w:hAnsi="Arial"/>
                <w:sz w:val="17"/>
                <w:szCs w:val="17"/>
                <w:color w:val="0000EE"/>
                <w:w w:val="91"/>
              </w:rPr>
            </w:pPr>
            <w:hyperlink r:id="rId148">
              <w:r>
                <w:rPr>
                  <w:rFonts w:ascii="Arial" w:cs="Arial" w:eastAsia="Arial" w:hAnsi="Arial"/>
                  <w:sz w:val="17"/>
                  <w:szCs w:val="17"/>
                  <w:color w:val="0000EE"/>
                  <w:w w:val="91"/>
                </w:rPr>
                <w:t>Second Amendment to Loan and Security Agreement, dated December 2, 2020, by and among Solar Capital Ltd., as collateral agent, the lenders</w:t>
              </w:r>
            </w:hyperlink>
          </w:p>
        </w:tc>
        <w:tc>
          <w:tcPr>
            <w:tcW w:w="120" w:type="dxa"/>
            <w:vAlign w:val="bottom"/>
            <w:gridSpan w:val="4"/>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10060" w:type="dxa"/>
            <w:vAlign w:val="bottom"/>
            <w:tcBorders>
              <w:bottom w:val="single" w:sz="8" w:color="0000EE"/>
            </w:tcBorders>
            <w:gridSpan w:val="18"/>
          </w:tcPr>
          <w:p>
            <w:pPr>
              <w:spacing w:after="0" w:line="189" w:lineRule="exact"/>
              <w:rPr>
                <w:rFonts w:ascii="Arial" w:cs="Arial" w:eastAsia="Arial" w:hAnsi="Arial"/>
                <w:sz w:val="17"/>
                <w:szCs w:val="17"/>
                <w:color w:val="0000EE"/>
                <w:w w:val="92"/>
              </w:rPr>
            </w:pPr>
            <w:hyperlink r:id="rId148">
              <w:r>
                <w:rPr>
                  <w:rFonts w:ascii="Arial" w:cs="Arial" w:eastAsia="Arial" w:hAnsi="Arial"/>
                  <w:sz w:val="17"/>
                  <w:szCs w:val="17"/>
                  <w:color w:val="0000EE"/>
                  <w:w w:val="92"/>
                </w:rPr>
                <w:t>listed on the signature pages thereto, and Neuronetics, Inc. (incorporated by reference to Exhibit 10.1 to the Registrant’s Current Report on Form</w:t>
              </w:r>
            </w:hyperlink>
          </w:p>
        </w:tc>
        <w:tc>
          <w:tcPr>
            <w:tcW w:w="100" w:type="dxa"/>
            <w:vAlign w:val="bottom"/>
            <w:gridSpan w:val="3"/>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2220" w:type="dxa"/>
            <w:vAlign w:val="bottom"/>
            <w:tcBorders>
              <w:bottom w:val="single" w:sz="8" w:color="0000EE"/>
            </w:tcBorders>
            <w:gridSpan w:val="2"/>
          </w:tcPr>
          <w:p>
            <w:pPr>
              <w:spacing w:after="0" w:line="189" w:lineRule="exact"/>
              <w:rPr>
                <w:rFonts w:ascii="Arial" w:cs="Arial" w:eastAsia="Arial" w:hAnsi="Arial"/>
                <w:sz w:val="17"/>
                <w:szCs w:val="17"/>
                <w:color w:val="0000EE"/>
                <w:w w:val="93"/>
              </w:rPr>
            </w:pPr>
            <w:hyperlink r:id="rId148">
              <w:r>
                <w:rPr>
                  <w:rFonts w:ascii="Arial" w:cs="Arial" w:eastAsia="Arial" w:hAnsi="Arial"/>
                  <w:sz w:val="17"/>
                  <w:szCs w:val="17"/>
                  <w:color w:val="0000EE"/>
                  <w:w w:val="93"/>
                </w:rPr>
                <w:t>8-K filed on December 8, 2020)</w:t>
              </w:r>
            </w:hyperlink>
          </w:p>
        </w:tc>
        <w:tc>
          <w:tcPr>
            <w:tcW w:w="7940" w:type="dxa"/>
            <w:vAlign w:val="bottom"/>
            <w:gridSpan w:val="19"/>
          </w:tcPr>
          <w:p>
            <w:pPr>
              <w:spacing w:after="0"/>
              <w:rPr>
                <w:sz w:val="16"/>
                <w:szCs w:val="16"/>
                <w:color w:val="auto"/>
              </w:rPr>
            </w:pPr>
          </w:p>
        </w:tc>
      </w:tr>
      <w:tr>
        <w:trPr>
          <w:trHeight w:val="306"/>
        </w:trPr>
        <w:tc>
          <w:tcPr>
            <w:tcW w:w="1080" w:type="dxa"/>
            <w:vAlign w:val="bottom"/>
          </w:tcPr>
          <w:p>
            <w:pPr>
              <w:spacing w:after="0"/>
              <w:rPr>
                <w:sz w:val="20"/>
                <w:szCs w:val="20"/>
                <w:color w:val="auto"/>
              </w:rPr>
            </w:pPr>
            <w:r>
              <w:rPr>
                <w:rFonts w:ascii="Arial" w:cs="Arial" w:eastAsia="Arial" w:hAnsi="Arial"/>
                <w:sz w:val="17"/>
                <w:szCs w:val="17"/>
                <w:color w:val="auto"/>
              </w:rPr>
              <w:t>10.34</w:t>
            </w:r>
          </w:p>
        </w:tc>
        <w:tc>
          <w:tcPr>
            <w:tcW w:w="10160" w:type="dxa"/>
            <w:vAlign w:val="bottom"/>
            <w:gridSpan w:val="21"/>
          </w:tcPr>
          <w:p>
            <w:pPr>
              <w:spacing w:after="0"/>
              <w:rPr>
                <w:rFonts w:ascii="Arial" w:cs="Arial" w:eastAsia="Arial" w:hAnsi="Arial"/>
                <w:sz w:val="17"/>
                <w:szCs w:val="17"/>
                <w:color w:val="0000EE"/>
                <w:w w:val="97"/>
              </w:rPr>
            </w:pPr>
            <w:hyperlink r:id="rId149">
              <w:r>
                <w:rPr>
                  <w:rFonts w:ascii="Arial" w:cs="Arial" w:eastAsia="Arial" w:hAnsi="Arial"/>
                  <w:sz w:val="17"/>
                  <w:szCs w:val="17"/>
                  <w:color w:val="0000EE"/>
                  <w:w w:val="97"/>
                </w:rPr>
                <w:t>Paycheck Protection Program Note, dated as of April 21, 2020, by and between Neuronetics, Inc. and Silicon Valley Bank (incorporated by</w:t>
              </w:r>
            </w:hyperlink>
          </w:p>
        </w:tc>
      </w:tr>
      <w:tr>
        <w:trPr>
          <w:trHeight w:val="188"/>
        </w:trPr>
        <w:tc>
          <w:tcPr>
            <w:tcW w:w="1080" w:type="dxa"/>
            <w:vAlign w:val="bottom"/>
          </w:tcPr>
          <w:p>
            <w:pPr>
              <w:spacing w:after="0"/>
              <w:rPr>
                <w:sz w:val="16"/>
                <w:szCs w:val="16"/>
                <w:color w:val="auto"/>
              </w:rPr>
            </w:pPr>
          </w:p>
        </w:tc>
        <w:tc>
          <w:tcPr>
            <w:tcW w:w="9700" w:type="dxa"/>
            <w:vAlign w:val="bottom"/>
            <w:tcBorders>
              <w:top w:val="single" w:sz="8" w:color="0000EE"/>
            </w:tcBorders>
            <w:gridSpan w:val="10"/>
          </w:tcPr>
          <w:p>
            <w:pPr>
              <w:spacing w:after="0" w:line="189" w:lineRule="exact"/>
              <w:rPr>
                <w:rFonts w:ascii="Arial" w:cs="Arial" w:eastAsia="Arial" w:hAnsi="Arial"/>
                <w:sz w:val="17"/>
                <w:szCs w:val="17"/>
                <w:color w:val="0000EE"/>
              </w:rPr>
            </w:pPr>
            <w:hyperlink r:id="rId149">
              <w:r>
                <w:rPr>
                  <w:rFonts w:ascii="Arial" w:cs="Arial" w:eastAsia="Arial" w:hAnsi="Arial"/>
                  <w:sz w:val="17"/>
                  <w:szCs w:val="17"/>
                  <w:color w:val="0000EE"/>
                </w:rPr>
                <w:t>reference to Exhibit 10.1 to the Form 8-K filed April 27, 2020)</w:t>
              </w:r>
            </w:hyperlink>
          </w:p>
        </w:tc>
        <w:tc>
          <w:tcPr>
            <w:tcW w:w="460" w:type="dxa"/>
            <w:vAlign w:val="bottom"/>
            <w:gridSpan w:val="11"/>
          </w:tcPr>
          <w:p>
            <w:pPr>
              <w:spacing w:after="0"/>
              <w:rPr>
                <w:sz w:val="16"/>
                <w:szCs w:val="16"/>
                <w:color w:val="auto"/>
              </w:rPr>
            </w:pPr>
          </w:p>
        </w:tc>
      </w:tr>
      <w:tr>
        <w:trPr>
          <w:trHeight w:val="553"/>
        </w:trPr>
        <w:tc>
          <w:tcPr>
            <w:tcW w:w="1080" w:type="dxa"/>
            <w:vAlign w:val="bottom"/>
          </w:tcPr>
          <w:p>
            <w:pPr>
              <w:spacing w:after="0"/>
              <w:rPr>
                <w:sz w:val="24"/>
                <w:szCs w:val="24"/>
                <w:color w:val="auto"/>
              </w:rPr>
            </w:pPr>
          </w:p>
        </w:tc>
        <w:tc>
          <w:tcPr>
            <w:tcW w:w="4360" w:type="dxa"/>
            <w:vAlign w:val="bottom"/>
            <w:tcBorders>
              <w:top w:val="single" w:sz="8" w:color="0000EE"/>
            </w:tcBorders>
            <w:gridSpan w:val="4"/>
          </w:tcPr>
          <w:p>
            <w:pPr>
              <w:spacing w:after="0"/>
              <w:rPr>
                <w:sz w:val="24"/>
                <w:szCs w:val="24"/>
                <w:color w:val="auto"/>
              </w:rPr>
            </w:pPr>
          </w:p>
        </w:tc>
        <w:tc>
          <w:tcPr>
            <w:tcW w:w="660" w:type="dxa"/>
            <w:vAlign w:val="bottom"/>
          </w:tcPr>
          <w:p>
            <w:pPr>
              <w:jc w:val="right"/>
              <w:ind w:right="293"/>
              <w:spacing w:after="0"/>
              <w:rPr>
                <w:sz w:val="20"/>
                <w:szCs w:val="20"/>
                <w:color w:val="auto"/>
              </w:rPr>
            </w:pPr>
            <w:r>
              <w:rPr>
                <w:rFonts w:ascii="Arial" w:cs="Arial" w:eastAsia="Arial" w:hAnsi="Arial"/>
                <w:sz w:val="17"/>
                <w:szCs w:val="17"/>
                <w:color w:val="auto"/>
              </w:rPr>
              <w:t>82</w:t>
            </w:r>
          </w:p>
        </w:tc>
        <w:tc>
          <w:tcPr>
            <w:tcW w:w="2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10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1"/>
        </w:trPr>
        <w:tc>
          <w:tcPr>
            <w:tcW w:w="1080" w:type="dxa"/>
            <w:vAlign w:val="bottom"/>
          </w:tcPr>
          <w:p>
            <w:pPr>
              <w:spacing w:after="0"/>
              <w:rPr>
                <w:sz w:val="20"/>
                <w:szCs w:val="20"/>
                <w:color w:val="auto"/>
              </w:rPr>
            </w:pPr>
            <w:r>
              <w:rPr>
                <w:rFonts w:ascii="Arial" w:cs="Arial" w:eastAsia="Arial" w:hAnsi="Arial"/>
                <w:sz w:val="17"/>
                <w:szCs w:val="17"/>
                <w:color w:val="auto"/>
              </w:rPr>
              <w:t>23.1*</w:t>
            </w:r>
          </w:p>
        </w:tc>
        <w:tc>
          <w:tcPr>
            <w:tcW w:w="10120" w:type="dxa"/>
            <w:vAlign w:val="bottom"/>
            <w:gridSpan w:val="3"/>
          </w:tcPr>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Consent of KPMG LLP, independent registered public accounting firm</w:t>
              </w:r>
            </w:hyperlink>
          </w:p>
        </w:tc>
      </w:tr>
      <w:tr>
        <w:trPr>
          <w:trHeight w:val="326"/>
        </w:trPr>
        <w:tc>
          <w:tcPr>
            <w:tcW w:w="1080" w:type="dxa"/>
            <w:vAlign w:val="bottom"/>
          </w:tcPr>
          <w:p>
            <w:pPr>
              <w:spacing w:after="0"/>
              <w:rPr>
                <w:sz w:val="20"/>
                <w:szCs w:val="20"/>
                <w:color w:val="auto"/>
              </w:rPr>
            </w:pPr>
            <w:r>
              <w:rPr>
                <w:rFonts w:ascii="Arial" w:cs="Arial" w:eastAsia="Arial" w:hAnsi="Arial"/>
                <w:sz w:val="17"/>
                <w:szCs w:val="17"/>
                <w:color w:val="auto"/>
              </w:rPr>
              <w:t>31.1*</w:t>
            </w:r>
          </w:p>
        </w:tc>
        <w:tc>
          <w:tcPr>
            <w:tcW w:w="10120" w:type="dxa"/>
            <w:vAlign w:val="bottom"/>
            <w:gridSpan w:val="3"/>
          </w:tcPr>
          <w:p>
            <w:pPr>
              <w:spacing w:after="0"/>
              <w:rPr>
                <w:rFonts w:ascii="Arial" w:cs="Arial" w:eastAsia="Arial" w:hAnsi="Arial"/>
                <w:sz w:val="17"/>
                <w:szCs w:val="17"/>
                <w:u w:val="single" w:color="auto"/>
                <w:color w:val="0000EE"/>
              </w:rPr>
            </w:pPr>
            <w:hyperlink w:anchor="page121">
              <w:r>
                <w:rPr>
                  <w:rFonts w:ascii="Arial" w:cs="Arial" w:eastAsia="Arial" w:hAnsi="Arial"/>
                  <w:sz w:val="17"/>
                  <w:szCs w:val="17"/>
                  <w:u w:val="single" w:color="auto"/>
                  <w:color w:val="0000EE"/>
                </w:rPr>
                <w:t>Certification of the Principal Executive Officer pursuant to Rule 13a-14(a) or 15d-14(a) of the Securities Exchange Act of 1934.</w:t>
              </w:r>
            </w:hyperlink>
          </w:p>
        </w:tc>
      </w:tr>
      <w:tr>
        <w:trPr>
          <w:trHeight w:val="326"/>
        </w:trPr>
        <w:tc>
          <w:tcPr>
            <w:tcW w:w="1080" w:type="dxa"/>
            <w:vAlign w:val="bottom"/>
          </w:tcPr>
          <w:p>
            <w:pPr>
              <w:spacing w:after="0"/>
              <w:rPr>
                <w:sz w:val="20"/>
                <w:szCs w:val="20"/>
                <w:color w:val="auto"/>
              </w:rPr>
            </w:pPr>
            <w:r>
              <w:rPr>
                <w:rFonts w:ascii="Arial" w:cs="Arial" w:eastAsia="Arial" w:hAnsi="Arial"/>
                <w:sz w:val="17"/>
                <w:szCs w:val="17"/>
                <w:color w:val="auto"/>
              </w:rPr>
              <w:t>31.2*</w:t>
            </w:r>
          </w:p>
        </w:tc>
        <w:tc>
          <w:tcPr>
            <w:tcW w:w="10120" w:type="dxa"/>
            <w:vAlign w:val="bottom"/>
            <w:gridSpan w:val="3"/>
          </w:tcPr>
          <w:p>
            <w:pPr>
              <w:spacing w:after="0"/>
              <w:rPr>
                <w:rFonts w:ascii="Arial" w:cs="Arial" w:eastAsia="Arial" w:hAnsi="Arial"/>
                <w:sz w:val="17"/>
                <w:szCs w:val="17"/>
                <w:color w:val="0000EE"/>
              </w:rPr>
            </w:pPr>
            <w:hyperlink w:anchor="page122">
              <w:r>
                <w:rPr>
                  <w:rFonts w:ascii="Arial" w:cs="Arial" w:eastAsia="Arial" w:hAnsi="Arial"/>
                  <w:sz w:val="17"/>
                  <w:szCs w:val="17"/>
                  <w:u w:val="single" w:color="auto"/>
                  <w:color w:val="0000EE"/>
                </w:rPr>
                <w:t>Certification of the Principal Financial Officer pursuant to Rule 13a-14(a) or 15d-14(a) of the Securities Exchange Act of 1934</w:t>
              </w:r>
              <w:r>
                <w:rPr>
                  <w:rFonts w:ascii="Arial" w:cs="Arial" w:eastAsia="Arial" w:hAnsi="Arial"/>
                  <w:sz w:val="17"/>
                  <w:szCs w:val="17"/>
                  <w:color w:val="0000EE"/>
                </w:rPr>
                <w:t>.</w:t>
              </w:r>
            </w:hyperlink>
          </w:p>
        </w:tc>
      </w:tr>
      <w:tr>
        <w:trPr>
          <w:trHeight w:val="378"/>
        </w:trPr>
        <w:tc>
          <w:tcPr>
            <w:tcW w:w="1080" w:type="dxa"/>
            <w:vAlign w:val="bottom"/>
          </w:tcPr>
          <w:p>
            <w:pPr>
              <w:spacing w:after="0"/>
              <w:rPr>
                <w:sz w:val="20"/>
                <w:szCs w:val="20"/>
                <w:color w:val="auto"/>
              </w:rPr>
            </w:pPr>
            <w:r>
              <w:rPr>
                <w:rFonts w:ascii="Arial" w:cs="Arial" w:eastAsia="Arial" w:hAnsi="Arial"/>
                <w:sz w:val="17"/>
                <w:szCs w:val="17"/>
                <w:color w:val="auto"/>
              </w:rPr>
              <w:t>32.1*</w:t>
            </w:r>
          </w:p>
        </w:tc>
        <w:tc>
          <w:tcPr>
            <w:tcW w:w="976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123">
              <w:r>
                <w:rPr>
                  <w:rFonts w:ascii="Arial" w:cs="Arial" w:eastAsia="Arial" w:hAnsi="Arial"/>
                  <w:sz w:val="17"/>
                  <w:szCs w:val="17"/>
                  <w:color w:val="0000EE"/>
                  <w:w w:val="94"/>
                </w:rPr>
                <w:t>Certification of the Principal Executive Officer and Principal Financial Officer pursuant to Rule 13a-14(b) of the Securities Exchange Act of</w:t>
              </w:r>
            </w:hyperlink>
          </w:p>
        </w:tc>
        <w:tc>
          <w:tcPr>
            <w:tcW w:w="360" w:type="dxa"/>
            <w:vAlign w:val="bottom"/>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3280" w:type="dxa"/>
            <w:vAlign w:val="bottom"/>
            <w:tcBorders>
              <w:bottom w:val="single" w:sz="8" w:color="0000EE"/>
            </w:tcBorders>
          </w:tcPr>
          <w:p>
            <w:pPr>
              <w:spacing w:after="0" w:line="189" w:lineRule="exact"/>
              <w:rPr>
                <w:rFonts w:ascii="Arial" w:cs="Arial" w:eastAsia="Arial" w:hAnsi="Arial"/>
                <w:sz w:val="17"/>
                <w:szCs w:val="17"/>
                <w:color w:val="0000EE"/>
                <w:w w:val="89"/>
              </w:rPr>
            </w:pPr>
            <w:hyperlink w:anchor="page123">
              <w:r>
                <w:rPr>
                  <w:rFonts w:ascii="Arial" w:cs="Arial" w:eastAsia="Arial" w:hAnsi="Arial"/>
                  <w:sz w:val="17"/>
                  <w:szCs w:val="17"/>
                  <w:color w:val="0000EE"/>
                  <w:w w:val="89"/>
                </w:rPr>
                <w:t>1934, as amended, and 18 U.S.C. section 1350.</w:t>
              </w:r>
            </w:hyperlink>
          </w:p>
        </w:tc>
        <w:tc>
          <w:tcPr>
            <w:tcW w:w="6840" w:type="dxa"/>
            <w:vAlign w:val="bottom"/>
            <w:gridSpan w:val="2"/>
          </w:tcPr>
          <w:p>
            <w:pPr>
              <w:spacing w:after="0"/>
              <w:rPr>
                <w:sz w:val="16"/>
                <w:szCs w:val="16"/>
                <w:color w:val="auto"/>
              </w:rPr>
            </w:pPr>
          </w:p>
        </w:tc>
      </w:tr>
      <w:tr>
        <w:trPr>
          <w:trHeight w:val="423"/>
        </w:trPr>
        <w:tc>
          <w:tcPr>
            <w:tcW w:w="1080" w:type="dxa"/>
            <w:vAlign w:val="bottom"/>
          </w:tcPr>
          <w:p>
            <w:pPr>
              <w:spacing w:after="0"/>
              <w:rPr>
                <w:sz w:val="20"/>
                <w:szCs w:val="20"/>
                <w:color w:val="auto"/>
              </w:rPr>
            </w:pPr>
            <w:r>
              <w:rPr>
                <w:rFonts w:ascii="Arial" w:cs="Arial" w:eastAsia="Arial" w:hAnsi="Arial"/>
                <w:sz w:val="17"/>
                <w:szCs w:val="17"/>
                <w:color w:val="auto"/>
              </w:rPr>
              <w:t>101*</w:t>
            </w:r>
          </w:p>
        </w:tc>
        <w:tc>
          <w:tcPr>
            <w:tcW w:w="10120" w:type="dxa"/>
            <w:vAlign w:val="bottom"/>
            <w:gridSpan w:val="3"/>
          </w:tcPr>
          <w:p>
            <w:pPr>
              <w:spacing w:after="0"/>
              <w:rPr>
                <w:sz w:val="20"/>
                <w:szCs w:val="20"/>
                <w:color w:val="auto"/>
              </w:rPr>
            </w:pPr>
            <w:r>
              <w:rPr>
                <w:rFonts w:ascii="Arial" w:cs="Arial" w:eastAsia="Arial" w:hAnsi="Arial"/>
                <w:sz w:val="17"/>
                <w:szCs w:val="17"/>
                <w:color w:val="auto"/>
                <w:w w:val="97"/>
              </w:rPr>
              <w:t>The following materials from the Company’s Annual Report on Form 10-K for the year ended December 31, 2020, were formatted in Inline</w:t>
            </w:r>
          </w:p>
        </w:tc>
      </w:tr>
      <w:tr>
        <w:trPr>
          <w:trHeight w:val="208"/>
        </w:trPr>
        <w:tc>
          <w:tcPr>
            <w:tcW w:w="108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7"/>
                <w:szCs w:val="17"/>
                <w:color w:val="auto"/>
                <w:w w:val="94"/>
              </w:rPr>
              <w:t>XBRL (Extensible Business Reporting Language): (i) Balance Sheets, (ii) Statements of Operations, (iii) Statements of Changes in Convertible</w:t>
            </w:r>
          </w:p>
        </w:tc>
      </w:tr>
      <w:tr>
        <w:trPr>
          <w:trHeight w:val="208"/>
        </w:trPr>
        <w:tc>
          <w:tcPr>
            <w:tcW w:w="108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7"/>
                <w:szCs w:val="17"/>
                <w:color w:val="auto"/>
                <w:w w:val="92"/>
              </w:rPr>
              <w:t>Preferred Stock and Stockholders’ Equity (Deficit), (iv) Statements of Cash Flows, and (v) Notes to Financial Statements. The instance document</w:t>
            </w:r>
          </w:p>
        </w:tc>
      </w:tr>
      <w:tr>
        <w:trPr>
          <w:trHeight w:val="221"/>
        </w:trPr>
        <w:tc>
          <w:tcPr>
            <w:tcW w:w="1080" w:type="dxa"/>
            <w:vAlign w:val="bottom"/>
          </w:tcPr>
          <w:p>
            <w:pPr>
              <w:spacing w:after="0"/>
              <w:rPr>
                <w:sz w:val="19"/>
                <w:szCs w:val="19"/>
                <w:color w:val="auto"/>
              </w:rPr>
            </w:pPr>
          </w:p>
        </w:tc>
        <w:tc>
          <w:tcPr>
            <w:tcW w:w="10120" w:type="dxa"/>
            <w:vAlign w:val="bottom"/>
            <w:gridSpan w:val="3"/>
          </w:tcPr>
          <w:p>
            <w:pPr>
              <w:spacing w:after="0"/>
              <w:rPr>
                <w:sz w:val="20"/>
                <w:szCs w:val="20"/>
                <w:color w:val="auto"/>
              </w:rPr>
            </w:pPr>
            <w:r>
              <w:rPr>
                <w:rFonts w:ascii="Arial" w:cs="Arial" w:eastAsia="Arial" w:hAnsi="Arial"/>
                <w:sz w:val="17"/>
                <w:szCs w:val="17"/>
                <w:color w:val="auto"/>
              </w:rPr>
              <w:t>does not appear in the Interactive Data File because its XBRL tags are embedded within the Inline XBRL document.</w:t>
            </w:r>
          </w:p>
        </w:tc>
      </w:tr>
      <w:tr>
        <w:trPr>
          <w:trHeight w:val="326"/>
        </w:trPr>
        <w:tc>
          <w:tcPr>
            <w:tcW w:w="1080" w:type="dxa"/>
            <w:vAlign w:val="bottom"/>
          </w:tcPr>
          <w:p>
            <w:pPr>
              <w:spacing w:after="0"/>
              <w:rPr>
                <w:sz w:val="20"/>
                <w:szCs w:val="20"/>
                <w:color w:val="auto"/>
              </w:rPr>
            </w:pPr>
            <w:r>
              <w:rPr>
                <w:rFonts w:ascii="Arial" w:cs="Arial" w:eastAsia="Arial" w:hAnsi="Arial"/>
                <w:sz w:val="17"/>
                <w:szCs w:val="17"/>
                <w:color w:val="auto"/>
              </w:rPr>
              <w:t>104*</w:t>
            </w:r>
          </w:p>
        </w:tc>
        <w:tc>
          <w:tcPr>
            <w:tcW w:w="1012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19850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1985010" cy="8255"/>
                    </a:xfrm>
                    <a:prstGeom prst="rect">
                      <a:avLst/>
                    </a:prstGeom>
                    <a:noFill/>
                  </pic:spPr>
                </pic:pic>
              </a:graphicData>
            </a:graphic>
          </wp:anchor>
        </w:drawing>
      </w:r>
    </w:p>
    <w:p>
      <w:pPr>
        <w:spacing w:after="0" w:line="150" w:lineRule="exact"/>
        <w:rPr>
          <w:sz w:val="20"/>
          <w:szCs w:val="20"/>
          <w:color w:val="auto"/>
        </w:rPr>
      </w:pPr>
    </w:p>
    <w:p>
      <w:pPr>
        <w:ind w:left="360" w:hanging="356"/>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52" w:lineRule="exact"/>
        <w:rPr>
          <w:sz w:val="20"/>
          <w:szCs w:val="20"/>
          <w:color w:val="auto"/>
        </w:rPr>
      </w:pPr>
    </w:p>
    <w:p>
      <w:pPr>
        <w:ind w:left="360" w:hanging="356"/>
        <w:spacing w:after="0"/>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5" w:lineRule="exact"/>
        <w:rPr>
          <w:sz w:val="20"/>
          <w:szCs w:val="20"/>
          <w:color w:val="auto"/>
        </w:rPr>
      </w:pPr>
    </w:p>
    <w:p>
      <w:pPr>
        <w:ind w:left="360" w:right="220" w:hanging="356"/>
        <w:spacing w:after="0" w:line="271" w:lineRule="auto"/>
        <w:tabs>
          <w:tab w:leader="none" w:pos="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a request for confidential treatment and have been separately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85" w:name="page86"/>
    <w:bookmarkEnd w:id="85"/>
    <w:p>
      <w:pPr>
        <w:jc w:val="center"/>
        <w:ind w:right="-159"/>
        <w:spacing w:after="0"/>
        <w:rPr>
          <w:sz w:val="20"/>
          <w:szCs w:val="20"/>
          <w:color w:val="auto"/>
        </w:rPr>
      </w:pPr>
      <w:r>
        <w:rPr>
          <w:rFonts w:ascii="Arial" w:cs="Arial" w:eastAsia="Arial" w:hAnsi="Arial"/>
          <w:sz w:val="17"/>
          <w:szCs w:val="17"/>
          <w:b w:val="1"/>
          <w:bCs w:val="1"/>
          <w:color w:val="auto"/>
        </w:rPr>
        <w:t>NEURONETICS, INC.</w:t>
      </w:r>
    </w:p>
    <w:p>
      <w:pPr>
        <w:spacing w:after="0" w:line="91"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Index to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700" w:type="dxa"/>
            <w:vAlign w:val="bottom"/>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319"/>
        </w:trPr>
        <w:tc>
          <w:tcPr>
            <w:tcW w:w="10700" w:type="dxa"/>
            <w:vAlign w:val="bottom"/>
          </w:tcPr>
          <w:p>
            <w:pPr>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Report of Independent Registered Public Accounting Firm</w:t>
              </w:r>
            </w:hyperlink>
          </w:p>
        </w:tc>
        <w:tc>
          <w:tcPr>
            <w:tcW w:w="540" w:type="dxa"/>
            <w:vAlign w:val="bottom"/>
          </w:tcPr>
          <w:p>
            <w:pPr>
              <w:ind w:left="300"/>
              <w:spacing w:after="0"/>
              <w:rPr>
                <w:sz w:val="20"/>
                <w:szCs w:val="20"/>
                <w:color w:val="auto"/>
              </w:rPr>
            </w:pPr>
            <w:r>
              <w:rPr>
                <w:rFonts w:ascii="Arial" w:cs="Arial" w:eastAsia="Arial" w:hAnsi="Arial"/>
                <w:sz w:val="17"/>
                <w:szCs w:val="17"/>
                <w:color w:val="auto"/>
                <w:w w:val="86"/>
              </w:rPr>
              <w:t>F-2</w:t>
            </w:r>
          </w:p>
        </w:tc>
      </w:tr>
      <w:tr>
        <w:trPr>
          <w:trHeight w:val="339"/>
        </w:trPr>
        <w:tc>
          <w:tcPr>
            <w:tcW w:w="10700" w:type="dxa"/>
            <w:vAlign w:val="bottom"/>
          </w:tcPr>
          <w:p>
            <w:pPr>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Balance Sheets</w:t>
              </w:r>
            </w:hyperlink>
          </w:p>
        </w:tc>
        <w:tc>
          <w:tcPr>
            <w:tcW w:w="540" w:type="dxa"/>
            <w:vAlign w:val="bottom"/>
          </w:tcPr>
          <w:p>
            <w:pPr>
              <w:ind w:left="300"/>
              <w:spacing w:after="0"/>
              <w:rPr>
                <w:sz w:val="20"/>
                <w:szCs w:val="20"/>
                <w:color w:val="auto"/>
              </w:rPr>
            </w:pPr>
            <w:r>
              <w:rPr>
                <w:rFonts w:ascii="Arial" w:cs="Arial" w:eastAsia="Arial" w:hAnsi="Arial"/>
                <w:sz w:val="17"/>
                <w:szCs w:val="17"/>
                <w:color w:val="auto"/>
                <w:w w:val="86"/>
              </w:rPr>
              <w:t>F-3</w:t>
            </w:r>
          </w:p>
        </w:tc>
      </w:tr>
      <w:tr>
        <w:trPr>
          <w:trHeight w:val="339"/>
        </w:trPr>
        <w:tc>
          <w:tcPr>
            <w:tcW w:w="10700" w:type="dxa"/>
            <w:vAlign w:val="bottom"/>
          </w:tcPr>
          <w:p>
            <w:pPr>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Statements of Operations</w:t>
              </w:r>
            </w:hyperlink>
          </w:p>
        </w:tc>
        <w:tc>
          <w:tcPr>
            <w:tcW w:w="540" w:type="dxa"/>
            <w:vAlign w:val="bottom"/>
          </w:tcPr>
          <w:p>
            <w:pPr>
              <w:ind w:left="300"/>
              <w:spacing w:after="0"/>
              <w:rPr>
                <w:sz w:val="20"/>
                <w:szCs w:val="20"/>
                <w:color w:val="auto"/>
              </w:rPr>
            </w:pPr>
            <w:r>
              <w:rPr>
                <w:rFonts w:ascii="Arial" w:cs="Arial" w:eastAsia="Arial" w:hAnsi="Arial"/>
                <w:sz w:val="17"/>
                <w:szCs w:val="17"/>
                <w:color w:val="auto"/>
                <w:w w:val="86"/>
              </w:rPr>
              <w:t>F-4</w:t>
            </w:r>
          </w:p>
        </w:tc>
      </w:tr>
      <w:tr>
        <w:trPr>
          <w:trHeight w:val="339"/>
        </w:trPr>
        <w:tc>
          <w:tcPr>
            <w:tcW w:w="10700" w:type="dxa"/>
            <w:vAlign w:val="bottom"/>
          </w:tcPr>
          <w:p>
            <w:pPr>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Statements of Changes in Convertible Preferred Stock and Stockholders’ Equity (Deficit</w:t>
              </w:r>
            </w:hyperlink>
            <w:r>
              <w:rPr>
                <w:rFonts w:ascii="Arial" w:cs="Arial" w:eastAsia="Arial" w:hAnsi="Arial"/>
                <w:sz w:val="17"/>
                <w:szCs w:val="17"/>
                <w:u w:val="single" w:color="auto"/>
                <w:color w:val="000000"/>
              </w:rPr>
              <w:t>)</w:t>
            </w:r>
          </w:p>
        </w:tc>
        <w:tc>
          <w:tcPr>
            <w:tcW w:w="540" w:type="dxa"/>
            <w:vAlign w:val="bottom"/>
          </w:tcPr>
          <w:p>
            <w:pPr>
              <w:ind w:left="300"/>
              <w:spacing w:after="0"/>
              <w:rPr>
                <w:sz w:val="20"/>
                <w:szCs w:val="20"/>
                <w:color w:val="auto"/>
              </w:rPr>
            </w:pPr>
            <w:r>
              <w:rPr>
                <w:rFonts w:ascii="Arial" w:cs="Arial" w:eastAsia="Arial" w:hAnsi="Arial"/>
                <w:sz w:val="17"/>
                <w:szCs w:val="17"/>
                <w:color w:val="auto"/>
                <w:w w:val="86"/>
              </w:rPr>
              <w:t>F-5</w:t>
            </w:r>
          </w:p>
        </w:tc>
      </w:tr>
      <w:tr>
        <w:trPr>
          <w:trHeight w:val="339"/>
        </w:trPr>
        <w:tc>
          <w:tcPr>
            <w:tcW w:w="10700" w:type="dxa"/>
            <w:vAlign w:val="bottom"/>
          </w:tcPr>
          <w:p>
            <w:pPr>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Statements of Cash Flows</w:t>
              </w:r>
            </w:hyperlink>
          </w:p>
        </w:tc>
        <w:tc>
          <w:tcPr>
            <w:tcW w:w="540" w:type="dxa"/>
            <w:vAlign w:val="bottom"/>
          </w:tcPr>
          <w:p>
            <w:pPr>
              <w:ind w:left="300"/>
              <w:spacing w:after="0"/>
              <w:rPr>
                <w:sz w:val="20"/>
                <w:szCs w:val="20"/>
                <w:color w:val="auto"/>
              </w:rPr>
            </w:pPr>
            <w:r>
              <w:rPr>
                <w:rFonts w:ascii="Arial" w:cs="Arial" w:eastAsia="Arial" w:hAnsi="Arial"/>
                <w:sz w:val="17"/>
                <w:szCs w:val="17"/>
                <w:color w:val="auto"/>
                <w:w w:val="86"/>
              </w:rPr>
              <w:t>F-6</w:t>
            </w:r>
          </w:p>
        </w:tc>
      </w:tr>
      <w:tr>
        <w:trPr>
          <w:trHeight w:val="339"/>
        </w:trPr>
        <w:tc>
          <w:tcPr>
            <w:tcW w:w="10700" w:type="dxa"/>
            <w:vAlign w:val="bottom"/>
          </w:tcPr>
          <w:p>
            <w:pPr>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Notes to Financial Statements</w:t>
              </w:r>
            </w:hyperlink>
          </w:p>
        </w:tc>
        <w:tc>
          <w:tcPr>
            <w:tcW w:w="540" w:type="dxa"/>
            <w:vAlign w:val="bottom"/>
          </w:tcPr>
          <w:p>
            <w:pPr>
              <w:ind w:left="300"/>
              <w:spacing w:after="0"/>
              <w:rPr>
                <w:sz w:val="20"/>
                <w:szCs w:val="20"/>
                <w:color w:val="auto"/>
              </w:rPr>
            </w:pPr>
            <w:r>
              <w:rPr>
                <w:rFonts w:ascii="Arial" w:cs="Arial" w:eastAsia="Arial" w:hAnsi="Arial"/>
                <w:sz w:val="17"/>
                <w:szCs w:val="17"/>
                <w:color w:val="auto"/>
                <w:w w:val="86"/>
              </w:rPr>
              <w:t>F-7</w:t>
            </w:r>
          </w:p>
        </w:tc>
      </w:tr>
      <w:tr>
        <w:trPr>
          <w:trHeight w:val="781"/>
        </w:trPr>
        <w:tc>
          <w:tcPr>
            <w:tcW w:w="10700" w:type="dxa"/>
            <w:vAlign w:val="bottom"/>
          </w:tcPr>
          <w:p>
            <w:pPr>
              <w:ind w:left="5500"/>
              <w:spacing w:after="0"/>
              <w:rPr>
                <w:sz w:val="20"/>
                <w:szCs w:val="20"/>
                <w:color w:val="auto"/>
              </w:rPr>
            </w:pPr>
            <w:r>
              <w:rPr>
                <w:rFonts w:ascii="Arial" w:cs="Arial" w:eastAsia="Arial" w:hAnsi="Arial"/>
                <w:sz w:val="17"/>
                <w:szCs w:val="17"/>
                <w:color w:val="auto"/>
              </w:rPr>
              <w:t>F-1</w:t>
            </w:r>
          </w:p>
        </w:tc>
        <w:tc>
          <w:tcPr>
            <w:tcW w:w="540" w:type="dxa"/>
            <w:vAlign w:val="bottom"/>
          </w:tcPr>
          <w:p>
            <w:pPr>
              <w:spacing w:after="0"/>
              <w:rPr>
                <w:sz w:val="24"/>
                <w:szCs w:val="24"/>
                <w:color w:val="auto"/>
              </w:rPr>
            </w:pPr>
          </w:p>
        </w:tc>
      </w:tr>
      <w:tr>
        <w:trPr>
          <w:trHeight w:val="110"/>
        </w:trPr>
        <w:tc>
          <w:tcPr>
            <w:tcW w:w="107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Neuronetics, Inc.:</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Financial Statements</w:t>
      </w:r>
    </w:p>
    <w:p>
      <w:pPr>
        <w:spacing w:after="0" w:line="22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have audited the accompanying balance sheets of Neuronetics, Inc. (the Company) as of December 31, 2020 and 2019, the related statements of operations, changes in convertible preferred stock and stockholders’ equity (deficit), and cash flows for each of the years in the three-year period ended December 31, 2020, and the related notes (collectively, the financial statements). In our opinion, the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22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As discussed in Note 3 to the financial statements, the Company has changed its method of accounting for revenue and leases in the year ended December 31, 2019 due to the adoption of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ASC Topic 842, </w:t>
      </w:r>
      <w:r>
        <w:rPr>
          <w:rFonts w:ascii="Arial" w:cs="Arial" w:eastAsia="Arial" w:hAnsi="Arial"/>
          <w:sz w:val="17"/>
          <w:szCs w:val="17"/>
          <w:i w:val="1"/>
          <w:iCs w:val="1"/>
          <w:color w:val="auto"/>
        </w:rPr>
        <w:t>Leases</w:t>
      </w:r>
      <w:r>
        <w:rPr>
          <w:rFonts w:ascii="Arial" w:cs="Arial" w:eastAsia="Arial" w:hAnsi="Arial"/>
          <w:sz w:val="17"/>
          <w:szCs w:val="17"/>
          <w:color w:val="auto"/>
        </w:rPr>
        <w:t>,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2003.</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330" w:right="379" w:bottom="1440" w:gutter="0" w:footer="0" w:header="0"/>
        </w:sectPr>
      </w:pPr>
    </w:p>
    <w:bookmarkStart w:id="87" w:name="page88"/>
    <w:bookmarkEnd w:id="87"/>
    <w:p>
      <w:pPr>
        <w:ind w:left="4680"/>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December 31,</w:t>
            </w:r>
          </w:p>
        </w:tc>
        <w:tc>
          <w:tcPr>
            <w:tcW w:w="1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r>
      <w:tr>
        <w:trPr>
          <w:trHeight w:val="177"/>
        </w:trPr>
        <w:tc>
          <w:tcPr>
            <w:tcW w:w="420" w:type="dxa"/>
            <w:vAlign w:val="bottom"/>
            <w:tcBorders>
              <w:bottom w:val="single" w:sz="8" w:color="auto"/>
            </w:tcBorders>
          </w:tcPr>
          <w:p>
            <w:pPr>
              <w:spacing w:after="0" w:line="168" w:lineRule="exact"/>
              <w:rPr>
                <w:sz w:val="20"/>
                <w:szCs w:val="20"/>
                <w:color w:val="auto"/>
              </w:rPr>
            </w:pPr>
            <w:r>
              <w:rPr>
                <w:rFonts w:ascii="Arial" w:cs="Arial" w:eastAsia="Arial" w:hAnsi="Arial"/>
                <w:sz w:val="16"/>
                <w:szCs w:val="16"/>
                <w:b w:val="1"/>
                <w:bCs w:val="1"/>
                <w:color w:val="auto"/>
                <w:w w:val="76"/>
              </w:rPr>
              <w:t>Assets</w:t>
            </w:r>
          </w:p>
        </w:tc>
        <w:tc>
          <w:tcPr>
            <w:tcW w:w="53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8"/>
        </w:trPr>
        <w:tc>
          <w:tcPr>
            <w:tcW w:w="5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5"/>
        </w:trPr>
        <w:tc>
          <w:tcPr>
            <w:tcW w:w="5800" w:type="dxa"/>
            <w:vAlign w:val="bottom"/>
            <w:gridSpan w:val="3"/>
          </w:tcPr>
          <w:p>
            <w:pPr>
              <w:ind w:left="240"/>
              <w:spacing w:after="0"/>
              <w:rPr>
                <w:sz w:val="20"/>
                <w:szCs w:val="20"/>
                <w:color w:val="auto"/>
              </w:rPr>
            </w:pPr>
            <w:r>
              <w:rPr>
                <w:rFonts w:ascii="Arial" w:cs="Arial" w:eastAsia="Arial" w:hAnsi="Arial"/>
                <w:sz w:val="16"/>
                <w:szCs w:val="16"/>
                <w:color w:val="auto"/>
              </w:rPr>
              <w:t>Cash and cash equivalents</w:t>
            </w:r>
          </w:p>
        </w:tc>
        <w:tc>
          <w:tcPr>
            <w:tcW w:w="1720" w:type="dxa"/>
            <w:vAlign w:val="bottom"/>
            <w:gridSpan w:val="2"/>
          </w:tcPr>
          <w:p>
            <w:pPr>
              <w:jc w:val="right"/>
              <w:ind w:right="136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48,957</w:t>
            </w:r>
          </w:p>
        </w:tc>
        <w:tc>
          <w:tcPr>
            <w:tcW w:w="340" w:type="dxa"/>
            <w:vAlign w:val="bottom"/>
          </w:tcPr>
          <w:p>
            <w:pPr>
              <w:spacing w:after="0"/>
              <w:rPr>
                <w:sz w:val="17"/>
                <w:szCs w:val="17"/>
                <w:color w:val="auto"/>
              </w:rPr>
            </w:pPr>
          </w:p>
        </w:tc>
        <w:tc>
          <w:tcPr>
            <w:tcW w:w="640" w:type="dxa"/>
            <w:vAlign w:val="bottom"/>
            <w:gridSpan w:val="2"/>
          </w:tcPr>
          <w:p>
            <w:pPr>
              <w:jc w:val="right"/>
              <w:ind w:right="560"/>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75,708</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7,166</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6,569</w:t>
            </w:r>
          </w:p>
        </w:tc>
        <w:tc>
          <w:tcPr>
            <w:tcW w:w="120" w:type="dxa"/>
            <w:vAlign w:val="bottom"/>
            <w:shd w:val="clear" w:color="auto" w:fill="CFF0FC"/>
          </w:tcPr>
          <w:p>
            <w:pPr>
              <w:spacing w:after="0"/>
              <w:rPr>
                <w:sz w:val="18"/>
                <w:szCs w:val="18"/>
                <w:color w:val="auto"/>
              </w:rPr>
            </w:pPr>
          </w:p>
        </w:tc>
      </w:tr>
      <w:tr>
        <w:trPr>
          <w:trHeight w:val="205"/>
        </w:trPr>
        <w:tc>
          <w:tcPr>
            <w:tcW w:w="5800" w:type="dxa"/>
            <w:vAlign w:val="bottom"/>
            <w:gridSpan w:val="3"/>
          </w:tcPr>
          <w:p>
            <w:pPr>
              <w:ind w:left="24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3,720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2,775</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Current portion of net investments in sales-type leases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1,887</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w:t>
            </w:r>
          </w:p>
        </w:tc>
        <w:tc>
          <w:tcPr>
            <w:tcW w:w="120" w:type="dxa"/>
            <w:vAlign w:val="bottom"/>
            <w:shd w:val="clear" w:color="auto" w:fill="CFF0FC"/>
          </w:tcPr>
          <w:p>
            <w:pPr>
              <w:spacing w:after="0"/>
              <w:rPr>
                <w:sz w:val="18"/>
                <w:szCs w:val="18"/>
                <w:color w:val="auto"/>
              </w:rPr>
            </w:pPr>
          </w:p>
        </w:tc>
      </w:tr>
      <w:tr>
        <w:trPr>
          <w:trHeight w:val="205"/>
        </w:trPr>
        <w:tc>
          <w:tcPr>
            <w:tcW w:w="5800" w:type="dxa"/>
            <w:vAlign w:val="bottom"/>
            <w:gridSpan w:val="3"/>
          </w:tcPr>
          <w:p>
            <w:pPr>
              <w:ind w:left="240"/>
              <w:spacing w:after="0"/>
              <w:rPr>
                <w:sz w:val="20"/>
                <w:szCs w:val="20"/>
                <w:color w:val="auto"/>
              </w:rPr>
            </w:pPr>
            <w:r>
              <w:rPr>
                <w:rFonts w:ascii="Arial" w:cs="Arial" w:eastAsia="Arial" w:hAnsi="Arial"/>
                <w:sz w:val="16"/>
                <w:szCs w:val="16"/>
                <w:color w:val="auto"/>
              </w:rPr>
              <w:t>Current portion of prepaid commission expense</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2,186</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1,830</w:t>
            </w:r>
          </w:p>
        </w:tc>
        <w:tc>
          <w:tcPr>
            <w:tcW w:w="120" w:type="dxa"/>
            <w:vAlign w:val="bottom"/>
            <w:shd w:val="clear" w:color="auto" w:fill="CFF0FC"/>
          </w:tcPr>
          <w:p>
            <w:pPr>
              <w:spacing w:after="0"/>
              <w:rPr>
                <w:sz w:val="18"/>
                <w:szCs w:val="18"/>
                <w:color w:val="auto"/>
              </w:rPr>
            </w:pPr>
          </w:p>
        </w:tc>
      </w:tr>
      <w:tr>
        <w:trPr>
          <w:trHeight w:val="198"/>
        </w:trPr>
        <w:tc>
          <w:tcPr>
            <w:tcW w:w="420" w:type="dxa"/>
            <w:vAlign w:val="bottom"/>
            <w:tcBorders>
              <w:bottom w:val="single" w:sz="8" w:color="CFF0FC"/>
            </w:tcBorders>
          </w:tcPr>
          <w:p>
            <w:pPr>
              <w:spacing w:after="0"/>
              <w:rPr>
                <w:sz w:val="17"/>
                <w:szCs w:val="17"/>
                <w:color w:val="auto"/>
              </w:rPr>
            </w:pPr>
          </w:p>
        </w:tc>
        <w:tc>
          <w:tcPr>
            <w:tcW w:w="5380" w:type="dxa"/>
            <w:vAlign w:val="bottom"/>
            <w:tcBorders>
              <w:bottom w:val="single" w:sz="8" w:color="CFF0FC"/>
            </w:tcBorders>
            <w:gridSpan w:val="2"/>
          </w:tcPr>
          <w:p>
            <w:pPr>
              <w:ind w:left="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FF0FC"/>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65,012</w:t>
            </w:r>
          </w:p>
        </w:tc>
        <w:tc>
          <w:tcPr>
            <w:tcW w:w="3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88,451</w:t>
            </w:r>
          </w:p>
        </w:tc>
        <w:tc>
          <w:tcPr>
            <w:tcW w:w="120" w:type="dxa"/>
            <w:vAlign w:val="bottom"/>
            <w:tcBorders>
              <w:bottom w:val="single" w:sz="8" w:color="CFF0FC"/>
            </w:tcBorders>
          </w:tcPr>
          <w:p>
            <w:pPr>
              <w:spacing w:after="0"/>
              <w:rPr>
                <w:sz w:val="17"/>
                <w:szCs w:val="17"/>
                <w:color w:val="auto"/>
              </w:rPr>
            </w:pPr>
          </w:p>
        </w:tc>
      </w:tr>
      <w:tr>
        <w:trPr>
          <w:trHeight w:val="204"/>
        </w:trPr>
        <w:tc>
          <w:tcPr>
            <w:tcW w:w="5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w:t>
            </w: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FF0FC"/>
          </w:tcPr>
          <w:p>
            <w:pPr>
              <w:spacing w:after="0"/>
              <w:rPr>
                <w:sz w:val="17"/>
                <w:szCs w:val="17"/>
                <w:color w:val="auto"/>
              </w:rPr>
            </w:pPr>
          </w:p>
        </w:tc>
      </w:tr>
      <w:tr>
        <w:trPr>
          <w:trHeight w:val="205"/>
        </w:trPr>
        <w:tc>
          <w:tcPr>
            <w:tcW w:w="5800" w:type="dxa"/>
            <w:vAlign w:val="bottom"/>
            <w:gridSpan w:val="3"/>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3,418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3,796</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investments in sales-type leases</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2,331</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1,730</w:t>
            </w:r>
          </w:p>
        </w:tc>
        <w:tc>
          <w:tcPr>
            <w:tcW w:w="120" w:type="dxa"/>
            <w:vAlign w:val="bottom"/>
            <w:shd w:val="clear" w:color="auto" w:fill="CFF0FC"/>
          </w:tcPr>
          <w:p>
            <w:pPr>
              <w:spacing w:after="0"/>
              <w:rPr>
                <w:sz w:val="18"/>
                <w:szCs w:val="18"/>
                <w:color w:val="auto"/>
              </w:rPr>
            </w:pPr>
          </w:p>
        </w:tc>
      </w:tr>
      <w:tr>
        <w:trPr>
          <w:trHeight w:val="205"/>
        </w:trPr>
        <w:tc>
          <w:tcPr>
            <w:tcW w:w="5800" w:type="dxa"/>
            <w:vAlign w:val="bottom"/>
            <w:gridSpan w:val="3"/>
          </w:tcPr>
          <w:p>
            <w:pPr>
              <w:spacing w:after="0"/>
              <w:rPr>
                <w:sz w:val="20"/>
                <w:szCs w:val="20"/>
                <w:color w:val="auto"/>
              </w:rPr>
            </w:pPr>
            <w:r>
              <w:rPr>
                <w:rFonts w:ascii="Arial" w:cs="Arial" w:eastAsia="Arial" w:hAnsi="Arial"/>
                <w:sz w:val="16"/>
                <w:szCs w:val="16"/>
                <w:color w:val="auto"/>
              </w:rPr>
              <w:t>Prepaid commission expense</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3,779</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FF0FC"/>
          </w:tcPr>
          <w:p>
            <w:pPr>
              <w:spacing w:after="0"/>
              <w:rPr>
                <w:sz w:val="18"/>
                <w:szCs w:val="18"/>
                <w:color w:val="auto"/>
              </w:rPr>
            </w:pPr>
          </w:p>
        </w:tc>
      </w:tr>
      <w:tr>
        <w:trPr>
          <w:trHeight w:val="238"/>
        </w:trPr>
        <w:tc>
          <w:tcPr>
            <w:tcW w:w="420" w:type="dxa"/>
            <w:vAlign w:val="bottom"/>
          </w:tcPr>
          <w:p>
            <w:pPr>
              <w:spacing w:after="0"/>
              <w:rPr>
                <w:sz w:val="20"/>
                <w:szCs w:val="20"/>
                <w:color w:val="auto"/>
              </w:rPr>
            </w:pPr>
          </w:p>
        </w:tc>
        <w:tc>
          <w:tcPr>
            <w:tcW w:w="5380" w:type="dxa"/>
            <w:vAlign w:val="bottom"/>
            <w:gridSpan w:val="2"/>
          </w:tcPr>
          <w:p>
            <w:pPr>
              <w:ind w:left="60"/>
              <w:spacing w:after="0"/>
              <w:rPr>
                <w:sz w:val="20"/>
                <w:szCs w:val="20"/>
                <w:color w:val="auto"/>
              </w:rPr>
            </w:pPr>
            <w:r>
              <w:rPr>
                <w:rFonts w:ascii="Arial" w:cs="Arial" w:eastAsia="Arial" w:hAnsi="Arial"/>
                <w:sz w:val="16"/>
                <w:szCs w:val="16"/>
                <w:color w:val="auto"/>
              </w:rPr>
              <w:t>Total Assets</w:t>
            </w:r>
          </w:p>
        </w:tc>
        <w:tc>
          <w:tcPr>
            <w:tcW w:w="1720" w:type="dxa"/>
            <w:vAlign w:val="bottom"/>
            <w:gridSpan w:val="2"/>
          </w:tcPr>
          <w:p>
            <w:pPr>
              <w:jc w:val="right"/>
              <w:ind w:right="136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78,657</w:t>
            </w:r>
          </w:p>
        </w:tc>
        <w:tc>
          <w:tcPr>
            <w:tcW w:w="340" w:type="dxa"/>
            <w:vAlign w:val="bottom"/>
          </w:tcPr>
          <w:p>
            <w:pPr>
              <w:spacing w:after="0"/>
              <w:rPr>
                <w:sz w:val="20"/>
                <w:szCs w:val="20"/>
                <w:color w:val="auto"/>
              </w:rPr>
            </w:pPr>
          </w:p>
        </w:tc>
        <w:tc>
          <w:tcPr>
            <w:tcW w:w="640" w:type="dxa"/>
            <w:vAlign w:val="bottom"/>
            <w:gridSpan w:val="2"/>
          </w:tcPr>
          <w:p>
            <w:pPr>
              <w:jc w:val="right"/>
              <w:ind w:right="560"/>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100,168</w:t>
            </w:r>
          </w:p>
        </w:tc>
        <w:tc>
          <w:tcPr>
            <w:tcW w:w="120" w:type="dxa"/>
            <w:vAlign w:val="bottom"/>
          </w:tcPr>
          <w:p>
            <w:pPr>
              <w:spacing w:after="0"/>
              <w:rPr>
                <w:sz w:val="20"/>
                <w:szCs w:val="20"/>
                <w:color w:val="auto"/>
              </w:rPr>
            </w:pPr>
          </w:p>
        </w:tc>
      </w:tr>
      <w:tr>
        <w:trPr>
          <w:trHeight w:val="171"/>
        </w:trPr>
        <w:tc>
          <w:tcPr>
            <w:tcW w:w="5800" w:type="dxa"/>
            <w:vAlign w:val="bottom"/>
            <w:tcBorders>
              <w:top w:val="single" w:sz="8" w:color="CFF0FC"/>
            </w:tcBorders>
            <w:gridSpan w:val="3"/>
            <w:shd w:val="clear" w:color="auto" w:fill="CFF0FC"/>
          </w:tcPr>
          <w:p>
            <w:pPr>
              <w:spacing w:after="0" w:line="152"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CFF0FC"/>
            </w:tcBorders>
            <w:shd w:val="clear" w:color="auto" w:fill="CFF0FC"/>
          </w:tcPr>
          <w:p>
            <w:pPr>
              <w:spacing w:after="0"/>
              <w:rPr>
                <w:sz w:val="14"/>
                <w:szCs w:val="14"/>
                <w:color w:val="auto"/>
              </w:rPr>
            </w:pPr>
          </w:p>
        </w:tc>
        <w:tc>
          <w:tcPr>
            <w:tcW w:w="15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6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205"/>
        </w:trPr>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Current liabilities:</w:t>
            </w:r>
          </w:p>
        </w:tc>
        <w:tc>
          <w:tcPr>
            <w:tcW w:w="34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520" w:type="dxa"/>
            <w:vAlign w:val="bottom"/>
            <w:tcBorders>
              <w:top w:val="single" w:sz="8" w:color="CFF0FC"/>
            </w:tcBorders>
          </w:tcPr>
          <w:p>
            <w:pPr>
              <w:spacing w:after="0"/>
              <w:rPr>
                <w:sz w:val="17"/>
                <w:szCs w:val="17"/>
                <w:color w:val="auto"/>
              </w:rPr>
            </w:pPr>
          </w:p>
        </w:tc>
        <w:tc>
          <w:tcPr>
            <w:tcW w:w="80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620" w:type="dxa"/>
            <w:vAlign w:val="bottom"/>
            <w:tcBorders>
              <w:top w:val="single" w:sz="8" w:color="CFF0FC"/>
            </w:tcBorders>
          </w:tcPr>
          <w:p>
            <w:pPr>
              <w:spacing w:after="0"/>
              <w:rPr>
                <w:sz w:val="17"/>
                <w:szCs w:val="17"/>
                <w:color w:val="auto"/>
              </w:rPr>
            </w:pPr>
          </w:p>
        </w:tc>
        <w:tc>
          <w:tcPr>
            <w:tcW w:w="16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1"/>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1720" w:type="dxa"/>
            <w:vAlign w:val="bottom"/>
            <w:gridSpan w:val="2"/>
            <w:shd w:val="clear" w:color="auto" w:fill="CFF0FC"/>
          </w:tcPr>
          <w:p>
            <w:pPr>
              <w:jc w:val="right"/>
              <w:ind w:right="1362"/>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3,749</w:t>
            </w:r>
          </w:p>
        </w:tc>
        <w:tc>
          <w:tcPr>
            <w:tcW w:w="3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560"/>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4,625</w:t>
            </w:r>
          </w:p>
        </w:tc>
        <w:tc>
          <w:tcPr>
            <w:tcW w:w="120" w:type="dxa"/>
            <w:vAlign w:val="bottom"/>
            <w:shd w:val="clear" w:color="auto" w:fill="CFF0FC"/>
          </w:tcPr>
          <w:p>
            <w:pPr>
              <w:spacing w:after="0"/>
              <w:rPr>
                <w:sz w:val="18"/>
                <w:szCs w:val="18"/>
                <w:color w:val="auto"/>
              </w:rPr>
            </w:pPr>
          </w:p>
        </w:tc>
      </w:tr>
      <w:tr>
        <w:trPr>
          <w:trHeight w:val="205"/>
        </w:trPr>
        <w:tc>
          <w:tcPr>
            <w:tcW w:w="5800" w:type="dxa"/>
            <w:vAlign w:val="bottom"/>
            <w:gridSpan w:val="3"/>
          </w:tcPr>
          <w:p>
            <w:pPr>
              <w:ind w:left="2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7,319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9,031</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w:t>
            </w:r>
          </w:p>
        </w:tc>
        <w:tc>
          <w:tcPr>
            <w:tcW w:w="120" w:type="dxa"/>
            <w:vAlign w:val="bottom"/>
            <w:shd w:val="clear" w:color="auto" w:fill="CFF0FC"/>
          </w:tcPr>
          <w:p>
            <w:pPr>
              <w:spacing w:after="0"/>
              <w:rPr>
                <w:sz w:val="18"/>
                <w:szCs w:val="18"/>
                <w:color w:val="auto"/>
              </w:rPr>
            </w:pPr>
          </w:p>
        </w:tc>
      </w:tr>
      <w:tr>
        <w:trPr>
          <w:trHeight w:val="205"/>
        </w:trPr>
        <w:tc>
          <w:tcPr>
            <w:tcW w:w="5800" w:type="dxa"/>
            <w:vAlign w:val="bottom"/>
            <w:gridSpan w:val="3"/>
          </w:tcPr>
          <w:p>
            <w:pPr>
              <w:ind w:left="24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Current portion of long-term debt, net</w:t>
            </w:r>
          </w:p>
        </w:tc>
        <w:tc>
          <w:tcPr>
            <w:tcW w:w="200" w:type="dxa"/>
            <w:vAlign w:val="bottom"/>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11,250</w:t>
            </w:r>
          </w:p>
        </w:tc>
        <w:tc>
          <w:tcPr>
            <w:tcW w:w="120" w:type="dxa"/>
            <w:vAlign w:val="bottom"/>
            <w:shd w:val="clear" w:color="auto" w:fill="CFF0FC"/>
          </w:tcPr>
          <w:p>
            <w:pPr>
              <w:spacing w:after="0"/>
              <w:rPr>
                <w:sz w:val="18"/>
                <w:szCs w:val="18"/>
                <w:color w:val="auto"/>
              </w:rPr>
            </w:pPr>
          </w:p>
        </w:tc>
      </w:tr>
      <w:tr>
        <w:trPr>
          <w:trHeight w:val="198"/>
        </w:trPr>
        <w:tc>
          <w:tcPr>
            <w:tcW w:w="420" w:type="dxa"/>
            <w:vAlign w:val="bottom"/>
            <w:tcBorders>
              <w:bottom w:val="single" w:sz="8" w:color="CFF0FC"/>
            </w:tcBorders>
          </w:tcPr>
          <w:p>
            <w:pPr>
              <w:spacing w:after="0"/>
              <w:rPr>
                <w:sz w:val="17"/>
                <w:szCs w:val="17"/>
                <w:color w:val="auto"/>
              </w:rPr>
            </w:pPr>
          </w:p>
        </w:tc>
        <w:tc>
          <w:tcPr>
            <w:tcW w:w="5380" w:type="dxa"/>
            <w:vAlign w:val="bottom"/>
            <w:tcBorders>
              <w:bottom w:val="single" w:sz="8" w:color="CFF0FC"/>
            </w:tcBorders>
            <w:gridSpan w:val="2"/>
          </w:tcPr>
          <w:p>
            <w:pPr>
              <w:ind w:left="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FF0FC"/>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13,682</w:t>
            </w:r>
          </w:p>
        </w:tc>
        <w:tc>
          <w:tcPr>
            <w:tcW w:w="3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27,693</w:t>
            </w:r>
          </w:p>
        </w:tc>
        <w:tc>
          <w:tcPr>
            <w:tcW w:w="120" w:type="dxa"/>
            <w:vAlign w:val="bottom"/>
            <w:tcBorders>
              <w:bottom w:val="single" w:sz="8" w:color="CFF0FC"/>
            </w:tcBorders>
          </w:tcPr>
          <w:p>
            <w:pPr>
              <w:spacing w:after="0"/>
              <w:rPr>
                <w:sz w:val="17"/>
                <w:szCs w:val="17"/>
                <w:color w:val="auto"/>
              </w:rPr>
            </w:pPr>
          </w:p>
        </w:tc>
      </w:tr>
      <w:tr>
        <w:trPr>
          <w:trHeight w:val="204"/>
        </w:trPr>
        <w:tc>
          <w:tcPr>
            <w:tcW w:w="5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Long-term debt, net</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34,620</w:t>
            </w: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19,898</w:t>
            </w:r>
          </w:p>
        </w:tc>
        <w:tc>
          <w:tcPr>
            <w:tcW w:w="120" w:type="dxa"/>
            <w:vAlign w:val="bottom"/>
            <w:shd w:val="clear" w:color="auto" w:fill="CFF0FC"/>
          </w:tcPr>
          <w:p>
            <w:pPr>
              <w:spacing w:after="0"/>
              <w:rPr>
                <w:sz w:val="17"/>
                <w:szCs w:val="17"/>
                <w:color w:val="auto"/>
              </w:rPr>
            </w:pPr>
          </w:p>
        </w:tc>
      </w:tr>
      <w:tr>
        <w:trPr>
          <w:trHeight w:val="205"/>
        </w:trPr>
        <w:tc>
          <w:tcPr>
            <w:tcW w:w="58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3,121</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2,619</w:t>
            </w:r>
          </w:p>
        </w:tc>
        <w:tc>
          <w:tcPr>
            <w:tcW w:w="120" w:type="dxa"/>
            <w:vAlign w:val="bottom"/>
            <w:shd w:val="clear" w:color="auto" w:fill="CFF0FC"/>
          </w:tcPr>
          <w:p>
            <w:pPr>
              <w:spacing w:after="0"/>
              <w:rPr>
                <w:sz w:val="18"/>
                <w:szCs w:val="18"/>
                <w:color w:val="auto"/>
              </w:rPr>
            </w:pPr>
          </w:p>
        </w:tc>
      </w:tr>
      <w:tr>
        <w:trPr>
          <w:trHeight w:val="198"/>
        </w:trPr>
        <w:tc>
          <w:tcPr>
            <w:tcW w:w="420" w:type="dxa"/>
            <w:vAlign w:val="bottom"/>
            <w:tcBorders>
              <w:bottom w:val="single" w:sz="8" w:color="CFF0FC"/>
            </w:tcBorders>
          </w:tcPr>
          <w:p>
            <w:pPr>
              <w:spacing w:after="0"/>
              <w:rPr>
                <w:sz w:val="17"/>
                <w:szCs w:val="17"/>
                <w:color w:val="auto"/>
              </w:rPr>
            </w:pPr>
          </w:p>
        </w:tc>
        <w:tc>
          <w:tcPr>
            <w:tcW w:w="5380" w:type="dxa"/>
            <w:vAlign w:val="bottom"/>
            <w:tcBorders>
              <w:bottom w:val="single" w:sz="8" w:color="CFF0FC"/>
            </w:tcBorders>
            <w:gridSpan w:val="2"/>
          </w:tcPr>
          <w:p>
            <w:pPr>
              <w:ind w:left="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FF0FC"/>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53,164</w:t>
            </w:r>
          </w:p>
        </w:tc>
        <w:tc>
          <w:tcPr>
            <w:tcW w:w="3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52,316</w:t>
            </w:r>
          </w:p>
        </w:tc>
        <w:tc>
          <w:tcPr>
            <w:tcW w:w="120" w:type="dxa"/>
            <w:vAlign w:val="bottom"/>
            <w:tcBorders>
              <w:bottom w:val="single" w:sz="8" w:color="CFF0FC"/>
            </w:tcBorders>
          </w:tcPr>
          <w:p>
            <w:pPr>
              <w:spacing w:after="0"/>
              <w:rPr>
                <w:sz w:val="17"/>
                <w:szCs w:val="17"/>
                <w:color w:val="auto"/>
              </w:rPr>
            </w:pPr>
          </w:p>
        </w:tc>
      </w:tr>
      <w:tr>
        <w:trPr>
          <w:trHeight w:val="204"/>
        </w:trPr>
        <w:tc>
          <w:tcPr>
            <w:tcW w:w="5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Commitments and contingencies (Note 17)</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5"/>
        </w:trPr>
        <w:tc>
          <w:tcPr>
            <w:tcW w:w="58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w w:val="97"/>
              </w:rPr>
              <w:t>Preferred stock, $0.01 par value: 10,000 shares authorized; no shares issued or</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5"/>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outstanding at December 31, 2020 and 2019, respectively</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198"/>
        </w:trPr>
        <w:tc>
          <w:tcPr>
            <w:tcW w:w="5800" w:type="dxa"/>
            <w:vAlign w:val="bottom"/>
            <w:gridSpan w:val="3"/>
          </w:tcPr>
          <w:p>
            <w:pPr>
              <w:ind w:left="240"/>
              <w:spacing w:after="0"/>
              <w:rPr>
                <w:sz w:val="20"/>
                <w:szCs w:val="20"/>
                <w:color w:val="auto"/>
              </w:rPr>
            </w:pPr>
            <w:r>
              <w:rPr>
                <w:rFonts w:ascii="Arial" w:cs="Arial" w:eastAsia="Arial" w:hAnsi="Arial"/>
                <w:sz w:val="16"/>
                <w:szCs w:val="16"/>
                <w:color w:val="auto"/>
                <w:w w:val="89"/>
              </w:rPr>
              <w:t>Common stock, $0.01 par value: 200,000 shares authorized; 19,114 and 18,645 shares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5800" w:type="dxa"/>
            <w:vAlign w:val="bottom"/>
            <w:gridSpan w:val="3"/>
          </w:tcPr>
          <w:p>
            <w:pPr>
              <w:ind w:left="240"/>
              <w:spacing w:after="0"/>
              <w:rPr>
                <w:sz w:val="20"/>
                <w:szCs w:val="20"/>
                <w:color w:val="auto"/>
              </w:rPr>
            </w:pPr>
            <w:r>
              <w:rPr>
                <w:rFonts w:ascii="Arial" w:cs="Arial" w:eastAsia="Arial" w:hAnsi="Arial"/>
                <w:sz w:val="16"/>
                <w:szCs w:val="16"/>
                <w:color w:val="auto"/>
              </w:rPr>
              <w:t>issued and outstanding at December 31, 2020 and 2019, respectively</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7"/>
                <w:szCs w:val="17"/>
                <w:color w:val="auto"/>
              </w:rPr>
            </w:pPr>
          </w:p>
        </w:tc>
      </w:tr>
      <w:tr>
        <w:trPr>
          <w:trHeight w:val="211"/>
        </w:trPr>
        <w:tc>
          <w:tcPr>
            <w:tcW w:w="580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302,842</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297,753</w:t>
            </w:r>
          </w:p>
        </w:tc>
        <w:tc>
          <w:tcPr>
            <w:tcW w:w="120" w:type="dxa"/>
            <w:vAlign w:val="bottom"/>
            <w:shd w:val="clear" w:color="auto" w:fill="CFF0FC"/>
          </w:tcPr>
          <w:p>
            <w:pPr>
              <w:spacing w:after="0"/>
              <w:rPr>
                <w:sz w:val="18"/>
                <w:szCs w:val="18"/>
                <w:color w:val="auto"/>
              </w:rPr>
            </w:pPr>
          </w:p>
        </w:tc>
      </w:tr>
      <w:tr>
        <w:trPr>
          <w:trHeight w:val="205"/>
        </w:trPr>
        <w:tc>
          <w:tcPr>
            <w:tcW w:w="5800" w:type="dxa"/>
            <w:vAlign w:val="bottom"/>
            <w:gridSpan w:val="3"/>
          </w:tcPr>
          <w:p>
            <w:pPr>
              <w:ind w:left="24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(277,540)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6"/>
                <w:szCs w:val="16"/>
                <w:color w:val="auto"/>
              </w:rPr>
              <w:t>(250,087)</w:t>
            </w:r>
          </w:p>
        </w:tc>
      </w:tr>
      <w:tr>
        <w:trPr>
          <w:trHeight w:val="204"/>
        </w:trPr>
        <w:tc>
          <w:tcPr>
            <w:tcW w:w="420" w:type="dxa"/>
            <w:vAlign w:val="bottom"/>
            <w:tcBorders>
              <w:top w:val="single" w:sz="8" w:color="CFF0FC"/>
            </w:tcBorders>
            <w:shd w:val="clear" w:color="auto" w:fill="CFF0FC"/>
          </w:tcPr>
          <w:p>
            <w:pPr>
              <w:spacing w:after="0"/>
              <w:rPr>
                <w:sz w:val="17"/>
                <w:szCs w:val="17"/>
                <w:color w:val="auto"/>
              </w:rPr>
            </w:pPr>
          </w:p>
        </w:tc>
        <w:tc>
          <w:tcPr>
            <w:tcW w:w="5380" w:type="dxa"/>
            <w:vAlign w:val="bottom"/>
            <w:tcBorders>
              <w:top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25,493</w:t>
            </w:r>
          </w:p>
        </w:tc>
        <w:tc>
          <w:tcPr>
            <w:tcW w:w="3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47,852</w:t>
            </w:r>
          </w:p>
        </w:tc>
        <w:tc>
          <w:tcPr>
            <w:tcW w:w="120" w:type="dxa"/>
            <w:vAlign w:val="bottom"/>
            <w:tcBorders>
              <w:top w:val="single" w:sz="8" w:color="CFF0FC"/>
            </w:tcBorders>
            <w:shd w:val="clear" w:color="auto" w:fill="CFF0FC"/>
          </w:tcPr>
          <w:p>
            <w:pPr>
              <w:spacing w:after="0"/>
              <w:rPr>
                <w:sz w:val="17"/>
                <w:szCs w:val="17"/>
                <w:color w:val="auto"/>
              </w:rPr>
            </w:pPr>
          </w:p>
        </w:tc>
      </w:tr>
      <w:tr>
        <w:trPr>
          <w:trHeight w:val="198"/>
        </w:trPr>
        <w:tc>
          <w:tcPr>
            <w:tcW w:w="420" w:type="dxa"/>
            <w:vAlign w:val="bottom"/>
          </w:tcPr>
          <w:p>
            <w:pPr>
              <w:spacing w:after="0"/>
              <w:rPr>
                <w:sz w:val="17"/>
                <w:szCs w:val="17"/>
                <w:color w:val="auto"/>
              </w:rPr>
            </w:pPr>
          </w:p>
        </w:tc>
        <w:tc>
          <w:tcPr>
            <w:tcW w:w="5380" w:type="dxa"/>
            <w:vAlign w:val="bottom"/>
            <w:gridSpan w:val="2"/>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1720" w:type="dxa"/>
            <w:vAlign w:val="bottom"/>
            <w:gridSpan w:val="2"/>
          </w:tcPr>
          <w:p>
            <w:pPr>
              <w:jc w:val="right"/>
              <w:ind w:right="136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78,657</w:t>
            </w:r>
          </w:p>
        </w:tc>
        <w:tc>
          <w:tcPr>
            <w:tcW w:w="340" w:type="dxa"/>
            <w:vAlign w:val="bottom"/>
          </w:tcPr>
          <w:p>
            <w:pPr>
              <w:spacing w:after="0"/>
              <w:rPr>
                <w:sz w:val="17"/>
                <w:szCs w:val="17"/>
                <w:color w:val="auto"/>
              </w:rPr>
            </w:pPr>
          </w:p>
        </w:tc>
        <w:tc>
          <w:tcPr>
            <w:tcW w:w="640" w:type="dxa"/>
            <w:vAlign w:val="bottom"/>
            <w:gridSpan w:val="2"/>
          </w:tcPr>
          <w:p>
            <w:pPr>
              <w:jc w:val="right"/>
              <w:ind w:right="560"/>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100,168</w:t>
            </w:r>
          </w:p>
        </w:tc>
        <w:tc>
          <w:tcPr>
            <w:tcW w:w="12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81915</wp:posOffset>
            </wp:positionV>
            <wp:extent cx="713740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00"/>
          </w:cols>
          <w:pgMar w:left="400" w:top="538" w:right="399" w:bottom="1440" w:gutter="0" w:footer="0" w:header="0"/>
        </w:sectPr>
      </w:pPr>
    </w:p>
    <w:bookmarkStart w:id="88" w:name="page89"/>
    <w:bookmarkEnd w:id="88"/>
    <w:p>
      <w:pPr>
        <w:ind w:left="4760"/>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Years ended December 31,</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6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rPr>
                <w:sz w:val="20"/>
                <w:szCs w:val="20"/>
                <w:color w:val="auto"/>
              </w:rPr>
            </w:pPr>
            <w:r>
              <w:rPr>
                <w:rFonts w:ascii="Arial" w:cs="Arial" w:eastAsia="Arial" w:hAnsi="Arial"/>
                <w:sz w:val="16"/>
                <w:szCs w:val="16"/>
                <w:color w:val="auto"/>
              </w:rPr>
              <w:t>Revenues</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w w:val="93"/>
              </w:rPr>
              <w:t>49,244</w:t>
            </w:r>
          </w:p>
        </w:tc>
        <w:tc>
          <w:tcPr>
            <w:tcW w:w="46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62,656</w:t>
            </w:r>
          </w:p>
        </w:tc>
        <w:tc>
          <w:tcPr>
            <w:tcW w:w="260" w:type="dxa"/>
            <w:vAlign w:val="bottom"/>
          </w:tcPr>
          <w:p>
            <w:pPr>
              <w:spacing w:after="0"/>
              <w:rPr>
                <w:sz w:val="17"/>
                <w:szCs w:val="17"/>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52,776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8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3"/>
              </w:rPr>
              <w:t>11,554</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15,389</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Borders>
              <w:bottom w:val="single" w:sz="8" w:color="CFF0FC"/>
            </w:tcBorders>
          </w:tcPr>
          <w:p>
            <w:pPr>
              <w:ind w:left="720"/>
              <w:spacing w:after="0"/>
              <w:rPr>
                <w:sz w:val="20"/>
                <w:szCs w:val="20"/>
                <w:color w:val="auto"/>
              </w:rPr>
            </w:pPr>
            <w:r>
              <w:rPr>
                <w:rFonts w:ascii="Arial" w:cs="Arial" w:eastAsia="Arial" w:hAnsi="Arial"/>
                <w:sz w:val="16"/>
                <w:szCs w:val="16"/>
                <w:color w:val="auto"/>
              </w:rPr>
              <w:t>Gross Profit</w:t>
            </w: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93"/>
              </w:rPr>
              <w:t>37,690</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40,329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8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8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w w:val="93"/>
              </w:rPr>
              <w:t>32,562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42,993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General and administrative</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3"/>
              </w:rPr>
              <w:t>18,236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17,457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Research and development</w:t>
            </w: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9,201</w:t>
            </w: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3"/>
              </w:rPr>
              <w:t>59,999</w:t>
            </w:r>
          </w:p>
        </w:tc>
        <w:tc>
          <w:tcPr>
            <w:tcW w:w="1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74,197</w:t>
            </w:r>
          </w:p>
        </w:tc>
        <w:tc>
          <w:tcPr>
            <w:tcW w:w="2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720"/>
              <w:spacing w:after="0"/>
              <w:rPr>
                <w:sz w:val="20"/>
                <w:szCs w:val="20"/>
                <w:color w:val="auto"/>
              </w:rPr>
            </w:pPr>
            <w:r>
              <w:rPr>
                <w:rFonts w:ascii="Arial" w:cs="Arial" w:eastAsia="Arial" w:hAnsi="Arial"/>
                <w:sz w:val="16"/>
                <w:szCs w:val="16"/>
                <w:color w:val="auto"/>
              </w:rPr>
              <w:t>Loss from Operations</w:t>
            </w: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0"/>
              </w:rPr>
              <w:t>(22,309)</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(26,930)</w:t>
            </w:r>
          </w:p>
        </w:tc>
        <w:tc>
          <w:tcPr>
            <w:tcW w:w="28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(19,834)</w:t>
            </w:r>
          </w:p>
        </w:tc>
        <w:tc>
          <w:tcPr>
            <w:tcW w:w="0" w:type="dxa"/>
            <w:vAlign w:val="bottom"/>
          </w:tcPr>
          <w:p>
            <w:pPr>
              <w:spacing w:after="0"/>
              <w:rPr>
                <w:sz w:val="1"/>
                <w:szCs w:val="1"/>
                <w:color w:val="auto"/>
              </w:rPr>
            </w:pPr>
          </w:p>
        </w:tc>
      </w:tr>
      <w:tr>
        <w:trPr>
          <w:trHeight w:val="204"/>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8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82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4,522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on extinguishment of debt</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924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40" w:type="dxa"/>
            <w:vAlign w:val="bottom"/>
          </w:tcPr>
          <w:p>
            <w:pPr>
              <w:ind w:left="240"/>
              <w:spacing w:after="0"/>
              <w:rPr>
                <w:sz w:val="20"/>
                <w:szCs w:val="20"/>
                <w:color w:val="auto"/>
              </w:rPr>
            </w:pPr>
            <w:r>
              <w:rPr>
                <w:rFonts w:ascii="Arial" w:cs="Arial" w:eastAsia="Arial" w:hAnsi="Arial"/>
                <w:sz w:val="16"/>
                <w:szCs w:val="16"/>
                <w:color w:val="auto"/>
              </w:rPr>
              <w:t>Other (income) expense, net</w:t>
            </w: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(1,571)</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72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40" w:type="dxa"/>
            <w:vAlign w:val="bottom"/>
            <w:vMerge w:val="continue"/>
            <w:shd w:val="clear" w:color="auto" w:fill="CFF0FC"/>
          </w:tcPr>
          <w:p>
            <w:pPr>
              <w:spacing w:after="0"/>
              <w:rPr>
                <w:sz w:val="17"/>
                <w:szCs w:val="17"/>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(27,453)</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(29,044)</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(24,097)</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of common stock outstanding, basic and diluted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40" w:type="dxa"/>
            <w:vAlign w:val="bottom"/>
            <w:vMerge w:val="continue"/>
          </w:tcPr>
          <w:p>
            <w:pPr>
              <w:spacing w:after="0"/>
              <w:rPr>
                <w:sz w:val="19"/>
                <w:szCs w:val="19"/>
                <w:color w:val="auto"/>
              </w:rPr>
            </w:pP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87"/>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 outstanding, basic and diluted</w:t>
            </w:r>
          </w:p>
        </w:tc>
        <w:tc>
          <w:tcPr>
            <w:tcW w:w="820" w:type="dxa"/>
            <w:vAlign w:val="bottom"/>
            <w:tcBorders>
              <w:top w:val="single" w:sz="8" w:color="auto"/>
              <w:bottom w:val="single" w:sz="8" w:color="auto"/>
            </w:tcBorders>
            <w:shd w:val="clear" w:color="auto" w:fill="CFF0FC"/>
          </w:tcPr>
          <w:p>
            <w:pPr>
              <w:spacing w:after="0"/>
              <w:rPr>
                <w:sz w:val="16"/>
                <w:szCs w:val="16"/>
                <w:color w:val="auto"/>
              </w:rPr>
            </w:pPr>
          </w:p>
        </w:tc>
        <w:tc>
          <w:tcPr>
            <w:tcW w:w="6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93"/>
              </w:rPr>
              <w:t>18,835</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18,380</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8,948</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9" w:name="page90"/>
    <w:bookmarkEnd w:id="89"/>
    <w:p>
      <w:pPr>
        <w:ind w:left="4760"/>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Statements of Changes in Convertible Preferred Stock and Stockholders’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ectPr>
          <w:pgSz w:w="11900" w:h="16838" w:orient="portrait"/>
          <w:cols w:equalWidth="0" w:num="1">
            <w:col w:w="11240"/>
          </w:cols>
          <w:pgMar w:left="320" w:top="329" w:right="339" w:bottom="1440" w:gutter="0" w:footer="0" w:header="0"/>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Convertible</w:t>
            </w:r>
          </w:p>
        </w:tc>
      </w:tr>
      <w:tr>
        <w:trPr>
          <w:trHeight w:val="206"/>
        </w:trPr>
        <w:tc>
          <w:tcPr>
            <w:tcW w:w="2880" w:type="dxa"/>
            <w:vAlign w:val="bottom"/>
          </w:tcPr>
          <w:p>
            <w:pPr>
              <w:spacing w:after="0"/>
              <w:rPr>
                <w:sz w:val="17"/>
                <w:szCs w:val="17"/>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Preferred Stock</w:t>
            </w:r>
          </w:p>
        </w:tc>
      </w:tr>
      <w:tr>
        <w:trPr>
          <w:trHeight w:val="199"/>
        </w:trPr>
        <w:tc>
          <w:tcPr>
            <w:tcW w:w="2880" w:type="dxa"/>
            <w:vAlign w:val="bottom"/>
          </w:tcPr>
          <w:p>
            <w:pPr>
              <w:spacing w:after="0"/>
              <w:rPr>
                <w:sz w:val="17"/>
                <w:szCs w:val="17"/>
                <w:color w:val="auto"/>
              </w:rPr>
            </w:pPr>
          </w:p>
        </w:tc>
        <w:tc>
          <w:tcPr>
            <w:tcW w:w="11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Pr>
          <w:p>
            <w:pPr>
              <w:spacing w:after="0"/>
              <w:rPr>
                <w:sz w:val="17"/>
                <w:szCs w:val="17"/>
                <w:color w:val="auto"/>
              </w:rPr>
            </w:pPr>
          </w:p>
        </w:tc>
      </w:tr>
      <w:tr>
        <w:trPr>
          <w:trHeight w:val="200"/>
        </w:trPr>
        <w:tc>
          <w:tcPr>
            <w:tcW w:w="2880" w:type="dxa"/>
            <w:vAlign w:val="bottom"/>
          </w:tcPr>
          <w:p>
            <w:pPr>
              <w:spacing w:after="0"/>
              <w:rPr>
                <w:sz w:val="20"/>
                <w:szCs w:val="20"/>
                <w:color w:val="auto"/>
              </w:rPr>
            </w:pPr>
            <w:r>
              <w:rPr>
                <w:rFonts w:ascii="Arial" w:cs="Arial" w:eastAsia="Arial" w:hAnsi="Arial"/>
                <w:sz w:val="16"/>
                <w:szCs w:val="16"/>
                <w:color w:val="auto"/>
              </w:rPr>
              <w:t>Balance at December 31, 2017</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304,958</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187,136</w:t>
            </w:r>
          </w:p>
        </w:tc>
        <w:tc>
          <w:tcPr>
            <w:tcW w:w="40" w:type="dxa"/>
            <w:vAlign w:val="bottom"/>
          </w:tcPr>
          <w:p>
            <w:pPr>
              <w:spacing w:after="0"/>
              <w:rPr>
                <w:sz w:val="17"/>
                <w:szCs w:val="17"/>
                <w:color w:val="auto"/>
              </w:rPr>
            </w:pPr>
          </w:p>
        </w:tc>
      </w:tr>
      <w:tr>
        <w:trPr>
          <w:trHeight w:val="204"/>
        </w:trPr>
        <w:tc>
          <w:tcPr>
            <w:tcW w:w="2880" w:type="dxa"/>
            <w:vAlign w:val="bottom"/>
          </w:tcPr>
          <w:p>
            <w:pPr>
              <w:ind w:left="240"/>
              <w:spacing w:after="0"/>
              <w:rPr>
                <w:sz w:val="20"/>
                <w:szCs w:val="20"/>
                <w:color w:val="auto"/>
              </w:rPr>
            </w:pPr>
            <w:r>
              <w:rPr>
                <w:rFonts w:ascii="Arial" w:cs="Arial" w:eastAsia="Arial" w:hAnsi="Arial"/>
                <w:sz w:val="16"/>
                <w:szCs w:val="16"/>
                <w:color w:val="auto"/>
              </w:rPr>
              <w:t>Conversion of convertible preferred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2880" w:type="dxa"/>
            <w:vAlign w:val="bottom"/>
          </w:tcPr>
          <w:p>
            <w:pPr>
              <w:ind w:left="240"/>
              <w:spacing w:after="0"/>
              <w:rPr>
                <w:sz w:val="20"/>
                <w:szCs w:val="20"/>
                <w:color w:val="auto"/>
              </w:rPr>
            </w:pPr>
            <w:r>
              <w:rPr>
                <w:rFonts w:ascii="Arial" w:cs="Arial" w:eastAsia="Arial" w:hAnsi="Arial"/>
                <w:sz w:val="16"/>
                <w:szCs w:val="16"/>
                <w:color w:val="auto"/>
              </w:rPr>
              <w:t>stock into common stock</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(304,958)</w:t>
            </w: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(187,136)</w:t>
            </w:r>
          </w:p>
        </w:tc>
      </w:tr>
      <w:tr>
        <w:trPr>
          <w:trHeight w:val="204"/>
        </w:trPr>
        <w:tc>
          <w:tcPr>
            <w:tcW w:w="2880" w:type="dxa"/>
            <w:vAlign w:val="bottom"/>
          </w:tcPr>
          <w:p>
            <w:pPr>
              <w:ind w:left="240"/>
              <w:spacing w:after="0"/>
              <w:rPr>
                <w:sz w:val="20"/>
                <w:szCs w:val="20"/>
                <w:color w:val="auto"/>
              </w:rPr>
            </w:pPr>
            <w:r>
              <w:rPr>
                <w:rFonts w:ascii="Arial" w:cs="Arial" w:eastAsia="Arial" w:hAnsi="Arial"/>
                <w:sz w:val="16"/>
                <w:szCs w:val="16"/>
                <w:color w:val="auto"/>
              </w:rPr>
              <w:t>Conversion of convertible preferred</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2880" w:type="dxa"/>
            <w:vAlign w:val="bottom"/>
          </w:tcPr>
          <w:p>
            <w:pPr>
              <w:ind w:left="240"/>
              <w:spacing w:after="0"/>
              <w:rPr>
                <w:sz w:val="20"/>
                <w:szCs w:val="20"/>
                <w:color w:val="auto"/>
              </w:rPr>
            </w:pPr>
            <w:r>
              <w:rPr>
                <w:rFonts w:ascii="Arial" w:cs="Arial" w:eastAsia="Arial" w:hAnsi="Arial"/>
                <w:sz w:val="16"/>
                <w:szCs w:val="16"/>
                <w:color w:val="auto"/>
              </w:rPr>
              <w:t>stock warrants into common stock</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2880" w:type="dxa"/>
            <w:vAlign w:val="bottom"/>
          </w:tcPr>
          <w:p>
            <w:pPr>
              <w:ind w:left="240"/>
              <w:spacing w:after="0"/>
              <w:rPr>
                <w:sz w:val="20"/>
                <w:szCs w:val="20"/>
                <w:color w:val="auto"/>
              </w:rPr>
            </w:pPr>
            <w:r>
              <w:rPr>
                <w:rFonts w:ascii="Arial" w:cs="Arial" w:eastAsia="Arial" w:hAnsi="Arial"/>
                <w:sz w:val="16"/>
                <w:szCs w:val="16"/>
                <w:color w:val="auto"/>
              </w:rPr>
              <w:t>warrants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4"/>
        </w:trPr>
        <w:tc>
          <w:tcPr>
            <w:tcW w:w="2880" w:type="dxa"/>
            <w:vAlign w:val="bottom"/>
          </w:tcPr>
          <w:p>
            <w:pPr>
              <w:ind w:left="240"/>
              <w:spacing w:after="0"/>
              <w:rPr>
                <w:sz w:val="20"/>
                <w:szCs w:val="20"/>
                <w:color w:val="auto"/>
              </w:rPr>
            </w:pPr>
            <w:r>
              <w:rPr>
                <w:rFonts w:ascii="Arial" w:cs="Arial" w:eastAsia="Arial" w:hAnsi="Arial"/>
                <w:sz w:val="16"/>
                <w:szCs w:val="16"/>
                <w:color w:val="auto"/>
              </w:rPr>
              <w:t>Issuance of common stock in initial</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2880" w:type="dxa"/>
            <w:vAlign w:val="bottom"/>
          </w:tcPr>
          <w:p>
            <w:pPr>
              <w:ind w:left="240"/>
              <w:spacing w:after="0"/>
              <w:rPr>
                <w:sz w:val="20"/>
                <w:szCs w:val="20"/>
                <w:color w:val="auto"/>
              </w:rPr>
            </w:pPr>
            <w:r>
              <w:rPr>
                <w:rFonts w:ascii="Arial" w:cs="Arial" w:eastAsia="Arial" w:hAnsi="Arial"/>
                <w:sz w:val="16"/>
                <w:szCs w:val="16"/>
                <w:color w:val="auto"/>
                <w:w w:val="95"/>
              </w:rPr>
              <w:t>public offering, net of issuance costs of</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2880" w:type="dxa"/>
            <w:vAlign w:val="bottom"/>
          </w:tcPr>
          <w:p>
            <w:pPr>
              <w:ind w:left="240"/>
              <w:spacing w:after="0"/>
              <w:rPr>
                <w:sz w:val="20"/>
                <w:szCs w:val="20"/>
                <w:color w:val="auto"/>
              </w:rPr>
            </w:pPr>
            <w:r>
              <w:rPr>
                <w:rFonts w:ascii="Arial" w:cs="Arial" w:eastAsia="Arial" w:hAnsi="Arial"/>
                <w:sz w:val="16"/>
                <w:szCs w:val="16"/>
                <w:color w:val="auto"/>
              </w:rPr>
              <w:t>$3,463</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6"/>
                <w:szCs w:val="16"/>
                <w:color w:val="auto"/>
              </w:rPr>
              <w:t>Exercises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1"/>
        </w:trPr>
        <w:tc>
          <w:tcPr>
            <w:tcW w:w="288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198"/>
        </w:trPr>
        <w:tc>
          <w:tcPr>
            <w:tcW w:w="2880" w:type="dxa"/>
            <w:vAlign w:val="bottom"/>
          </w:tcPr>
          <w:p>
            <w:pPr>
              <w:ind w:left="240"/>
              <w:spacing w:after="0"/>
              <w:rPr>
                <w:sz w:val="20"/>
                <w:szCs w:val="20"/>
                <w:color w:val="auto"/>
              </w:rPr>
            </w:pPr>
            <w:r>
              <w:rPr>
                <w:rFonts w:ascii="Arial" w:cs="Arial" w:eastAsia="Arial" w:hAnsi="Arial"/>
                <w:sz w:val="16"/>
                <w:szCs w:val="16"/>
                <w:color w:val="auto"/>
              </w:rPr>
              <w:t>Share-based awards and options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2880" w:type="dxa"/>
            <w:vAlign w:val="bottom"/>
          </w:tcPr>
          <w:p>
            <w:pPr>
              <w:ind w:left="240"/>
              <w:spacing w:after="0"/>
              <w:rPr>
                <w:sz w:val="20"/>
                <w:szCs w:val="20"/>
                <w:color w:val="auto"/>
              </w:rPr>
            </w:pPr>
            <w:r>
              <w:rPr>
                <w:rFonts w:ascii="Arial" w:cs="Arial" w:eastAsia="Arial" w:hAnsi="Arial"/>
                <w:sz w:val="16"/>
                <w:szCs w:val="16"/>
                <w:color w:val="auto"/>
              </w:rPr>
              <w:t>exercises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1"/>
        </w:trPr>
        <w:tc>
          <w:tcPr>
            <w:tcW w:w="288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198"/>
        </w:trPr>
        <w:tc>
          <w:tcPr>
            <w:tcW w:w="2880" w:type="dxa"/>
            <w:vAlign w:val="bottom"/>
          </w:tcPr>
          <w:p>
            <w:pPr>
              <w:ind w:left="240"/>
              <w:spacing w:after="0"/>
              <w:rPr>
                <w:sz w:val="20"/>
                <w:szCs w:val="20"/>
                <w:color w:val="auto"/>
              </w:rPr>
            </w:pPr>
            <w:r>
              <w:rPr>
                <w:rFonts w:ascii="Arial" w:cs="Arial" w:eastAsia="Arial" w:hAnsi="Arial"/>
                <w:sz w:val="16"/>
                <w:szCs w:val="16"/>
                <w:color w:val="auto"/>
              </w:rPr>
              <w:t>Share-based awards and options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9"/>
        </w:trPr>
        <w:tc>
          <w:tcPr>
            <w:tcW w:w="2880" w:type="dxa"/>
            <w:vAlign w:val="bottom"/>
          </w:tcPr>
          <w:p>
            <w:pPr>
              <w:ind w:left="240"/>
              <w:spacing w:after="0"/>
              <w:rPr>
                <w:sz w:val="20"/>
                <w:szCs w:val="20"/>
                <w:color w:val="auto"/>
              </w:rPr>
            </w:pPr>
            <w:r>
              <w:rPr>
                <w:rFonts w:ascii="Arial" w:cs="Arial" w:eastAsia="Arial" w:hAnsi="Arial"/>
                <w:sz w:val="16"/>
                <w:szCs w:val="16"/>
                <w:color w:val="auto"/>
              </w:rPr>
              <w:t>exercises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6"/>
                <w:szCs w:val="16"/>
                <w:color w:val="auto"/>
              </w:rPr>
              <w:t>Share-based compensation expense</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8"/>
        </w:trPr>
        <w:tc>
          <w:tcPr>
            <w:tcW w:w="28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04"/>
        </w:trPr>
        <w:tc>
          <w:tcPr>
            <w:tcW w:w="2880" w:type="dxa"/>
            <w:vAlign w:val="bottom"/>
          </w:tcPr>
          <w:p>
            <w:pPr>
              <w:spacing w:after="0"/>
              <w:rPr>
                <w:sz w:val="20"/>
                <w:szCs w:val="20"/>
                <w:color w:val="auto"/>
              </w:rPr>
            </w:pPr>
            <w:r>
              <w:rPr>
                <w:rFonts w:ascii="Arial" w:cs="Arial" w:eastAsia="Arial" w:hAnsi="Arial"/>
                <w:sz w:val="16"/>
                <w:szCs w:val="16"/>
                <w:color w:val="auto"/>
              </w:rPr>
              <w:t>Balance at December 31, 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b w:val="1"/>
                <w:bCs w:val="1"/>
                <w:color w:val="auto"/>
                <w:w w:val="86"/>
              </w:rPr>
              <w:t>Additional</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203"/>
        </w:trPr>
        <w:tc>
          <w:tcPr>
            <w:tcW w:w="218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6"/>
                <w:szCs w:val="16"/>
                <w:b w:val="1"/>
                <w:bCs w:val="1"/>
                <w:color w:val="auto"/>
              </w:rPr>
              <w:t>Common Stock</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22"/>
              <w:spacing w:after="0"/>
              <w:rPr>
                <w:sz w:val="20"/>
                <w:szCs w:val="20"/>
                <w:color w:val="auto"/>
              </w:rPr>
            </w:pPr>
            <w:r>
              <w:rPr>
                <w:rFonts w:ascii="Arial" w:cs="Arial" w:eastAsia="Arial" w:hAnsi="Arial"/>
                <w:sz w:val="16"/>
                <w:szCs w:val="16"/>
                <w:b w:val="1"/>
                <w:bCs w:val="1"/>
                <w:color w:val="auto"/>
              </w:rPr>
              <w:t>Paid-in</w:t>
            </w:r>
          </w:p>
        </w:tc>
        <w:tc>
          <w:tcPr>
            <w:tcW w:w="42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0"/>
              </w:rPr>
              <w:t>Stockholders’</w:t>
            </w:r>
          </w:p>
        </w:tc>
      </w:tr>
      <w:tr>
        <w:trPr>
          <w:trHeight w:val="205"/>
        </w:trPr>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Shares</w:t>
            </w:r>
          </w:p>
        </w:tc>
        <w:tc>
          <w:tcPr>
            <w:tcW w:w="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95"/>
              </w:rPr>
              <w:t>Amount</w:t>
            </w: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Capital</w:t>
            </w:r>
          </w:p>
        </w:tc>
        <w:tc>
          <w:tcPr>
            <w:tcW w:w="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7"/>
                <w:szCs w:val="17"/>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0"/>
              </w:rPr>
              <w:t>Equity (Deficit)</w:t>
            </w:r>
          </w:p>
        </w:tc>
        <w:tc>
          <w:tcPr>
            <w:tcW w:w="60" w:type="dxa"/>
            <w:vAlign w:val="bottom"/>
          </w:tcPr>
          <w:p>
            <w:pPr>
              <w:spacing w:after="0"/>
              <w:rPr>
                <w:sz w:val="17"/>
                <w:szCs w:val="17"/>
                <w:color w:val="auto"/>
              </w:rPr>
            </w:pPr>
          </w:p>
        </w:tc>
      </w:tr>
      <w:tr>
        <w:trPr>
          <w:trHeight w:val="198"/>
        </w:trPr>
        <w:tc>
          <w:tcPr>
            <w:tcW w:w="860" w:type="dxa"/>
            <w:vAlign w:val="bottom"/>
          </w:tcPr>
          <w:p>
            <w:pPr>
              <w:jc w:val="right"/>
              <w:spacing w:after="0"/>
              <w:rPr>
                <w:sz w:val="20"/>
                <w:szCs w:val="20"/>
                <w:color w:val="auto"/>
              </w:rPr>
            </w:pPr>
            <w:r>
              <w:rPr>
                <w:rFonts w:ascii="Arial" w:cs="Arial" w:eastAsia="Arial" w:hAnsi="Arial"/>
                <w:sz w:val="16"/>
                <w:szCs w:val="16"/>
                <w:color w:val="auto"/>
              </w:rPr>
              <w:t>231</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4,292</w:t>
            </w:r>
          </w:p>
        </w:tc>
        <w:tc>
          <w:tcPr>
            <w:tcW w:w="58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(196,946)</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(192,652)</w:t>
            </w:r>
          </w:p>
        </w:tc>
      </w:tr>
      <w:tr>
        <w:trPr>
          <w:trHeight w:val="404"/>
        </w:trPr>
        <w:tc>
          <w:tcPr>
            <w:tcW w:w="860" w:type="dxa"/>
            <w:vAlign w:val="bottom"/>
          </w:tcPr>
          <w:p>
            <w:pPr>
              <w:jc w:val="right"/>
              <w:spacing w:after="0"/>
              <w:rPr>
                <w:sz w:val="20"/>
                <w:szCs w:val="20"/>
                <w:color w:val="auto"/>
              </w:rPr>
            </w:pPr>
            <w:r>
              <w:rPr>
                <w:rFonts w:ascii="Arial" w:cs="Arial" w:eastAsia="Arial" w:hAnsi="Arial"/>
                <w:sz w:val="16"/>
                <w:szCs w:val="16"/>
                <w:color w:val="auto"/>
              </w:rPr>
              <w:t>10,994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187,027</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187,136</w:t>
            </w:r>
          </w:p>
        </w:tc>
        <w:tc>
          <w:tcPr>
            <w:tcW w:w="60" w:type="dxa"/>
            <w:vAlign w:val="bottom"/>
          </w:tcPr>
          <w:p>
            <w:pPr>
              <w:spacing w:after="0"/>
              <w:rPr>
                <w:sz w:val="24"/>
                <w:szCs w:val="24"/>
                <w:color w:val="auto"/>
              </w:rPr>
            </w:pPr>
          </w:p>
        </w:tc>
      </w:tr>
      <w:tr>
        <w:trPr>
          <w:trHeight w:val="599"/>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1,874</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1,874</w:t>
            </w:r>
          </w:p>
        </w:tc>
        <w:tc>
          <w:tcPr>
            <w:tcW w:w="60" w:type="dxa"/>
            <w:vAlign w:val="bottom"/>
          </w:tcPr>
          <w:p>
            <w:pPr>
              <w:spacing w:after="0"/>
              <w:rPr>
                <w:sz w:val="24"/>
                <w:szCs w:val="24"/>
                <w:color w:val="auto"/>
              </w:rPr>
            </w:pPr>
          </w:p>
        </w:tc>
      </w:tr>
      <w:tr>
        <w:trPr>
          <w:trHeight w:val="599"/>
        </w:trPr>
        <w:tc>
          <w:tcPr>
            <w:tcW w:w="860" w:type="dxa"/>
            <w:vAlign w:val="bottom"/>
          </w:tcPr>
          <w:p>
            <w:pPr>
              <w:jc w:val="right"/>
              <w:spacing w:after="0"/>
              <w:rPr>
                <w:sz w:val="20"/>
                <w:szCs w:val="20"/>
                <w:color w:val="auto"/>
              </w:rPr>
            </w:pPr>
            <w:r>
              <w:rPr>
                <w:rFonts w:ascii="Arial" w:cs="Arial" w:eastAsia="Arial" w:hAnsi="Arial"/>
                <w:sz w:val="16"/>
                <w:szCs w:val="16"/>
                <w:color w:val="auto"/>
              </w:rPr>
              <w:t>6,325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96,471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96,535</w:t>
            </w:r>
          </w:p>
        </w:tc>
        <w:tc>
          <w:tcPr>
            <w:tcW w:w="60" w:type="dxa"/>
            <w:vAlign w:val="bottom"/>
          </w:tcPr>
          <w:p>
            <w:pPr>
              <w:spacing w:after="0"/>
              <w:rPr>
                <w:sz w:val="24"/>
                <w:szCs w:val="24"/>
                <w:color w:val="auto"/>
              </w:rPr>
            </w:pPr>
          </w:p>
        </w:tc>
      </w:tr>
      <w:tr>
        <w:trPr>
          <w:trHeight w:val="208"/>
        </w:trPr>
        <w:tc>
          <w:tcPr>
            <w:tcW w:w="860" w:type="dxa"/>
            <w:vAlign w:val="bottom"/>
          </w:tcPr>
          <w:p>
            <w:pPr>
              <w:jc w:val="right"/>
              <w:spacing w:after="0"/>
              <w:rPr>
                <w:sz w:val="20"/>
                <w:szCs w:val="20"/>
                <w:color w:val="auto"/>
              </w:rPr>
            </w:pPr>
            <w:r>
              <w:rPr>
                <w:rFonts w:ascii="Arial" w:cs="Arial" w:eastAsia="Arial" w:hAnsi="Arial"/>
                <w:sz w:val="16"/>
                <w:szCs w:val="16"/>
                <w:color w:val="auto"/>
              </w:rPr>
              <w:t>194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503</w:t>
            </w:r>
          </w:p>
        </w:tc>
        <w:tc>
          <w:tcPr>
            <w:tcW w:w="60" w:type="dxa"/>
            <w:vAlign w:val="bottom"/>
          </w:tcPr>
          <w:p>
            <w:pPr>
              <w:spacing w:after="0"/>
              <w:rPr>
                <w:sz w:val="18"/>
                <w:szCs w:val="18"/>
                <w:color w:val="auto"/>
              </w:rPr>
            </w:pPr>
          </w:p>
        </w:tc>
      </w:tr>
      <w:tr>
        <w:trPr>
          <w:trHeight w:val="208"/>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1,743</w:t>
            </w:r>
          </w:p>
        </w:tc>
        <w:tc>
          <w:tcPr>
            <w:tcW w:w="60" w:type="dxa"/>
            <w:vAlign w:val="bottom"/>
          </w:tcPr>
          <w:p>
            <w:pPr>
              <w:spacing w:after="0"/>
              <w:rPr>
                <w:sz w:val="18"/>
                <w:szCs w:val="18"/>
                <w:color w:val="auto"/>
              </w:rPr>
            </w:pPr>
          </w:p>
        </w:tc>
      </w:tr>
      <w:tr>
        <w:trPr>
          <w:trHeight w:val="211"/>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(24,097)</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(24,097)</w:t>
            </w: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860" w:type="dxa"/>
            <w:vAlign w:val="bottom"/>
          </w:tcPr>
          <w:p>
            <w:pPr>
              <w:jc w:val="right"/>
              <w:spacing w:after="0"/>
              <w:rPr>
                <w:sz w:val="20"/>
                <w:szCs w:val="20"/>
                <w:color w:val="auto"/>
              </w:rPr>
            </w:pPr>
            <w:r>
              <w:rPr>
                <w:rFonts w:ascii="Arial" w:cs="Arial" w:eastAsia="Arial" w:hAnsi="Arial"/>
                <w:sz w:val="16"/>
                <w:szCs w:val="16"/>
                <w:color w:val="auto"/>
              </w:rPr>
              <w:t>17,744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291,908</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(221,043)</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71,042</w:t>
            </w:r>
          </w:p>
        </w:tc>
        <w:tc>
          <w:tcPr>
            <w:tcW w:w="60" w:type="dxa"/>
            <w:vAlign w:val="bottom"/>
          </w:tcPr>
          <w:p>
            <w:pPr>
              <w:spacing w:after="0"/>
              <w:rPr>
                <w:sz w:val="17"/>
                <w:szCs w:val="17"/>
                <w:color w:val="auto"/>
              </w:rPr>
            </w:pPr>
          </w:p>
        </w:tc>
      </w:tr>
      <w:tr>
        <w:trPr>
          <w:trHeight w:val="394"/>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60" w:type="dxa"/>
            <w:vAlign w:val="bottom"/>
          </w:tcPr>
          <w:p>
            <w:pPr>
              <w:spacing w:after="0"/>
              <w:rPr>
                <w:sz w:val="24"/>
                <w:szCs w:val="24"/>
                <w:color w:val="auto"/>
              </w:rPr>
            </w:pPr>
          </w:p>
        </w:tc>
      </w:tr>
      <w:tr>
        <w:trPr>
          <w:trHeight w:val="208"/>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3,434</w:t>
            </w:r>
          </w:p>
        </w:tc>
        <w:tc>
          <w:tcPr>
            <w:tcW w:w="60" w:type="dxa"/>
            <w:vAlign w:val="bottom"/>
          </w:tcPr>
          <w:p>
            <w:pPr>
              <w:spacing w:after="0"/>
              <w:rPr>
                <w:sz w:val="18"/>
                <w:szCs w:val="18"/>
                <w:color w:val="auto"/>
              </w:rPr>
            </w:pPr>
          </w:p>
        </w:tc>
      </w:tr>
      <w:tr>
        <w:trPr>
          <w:trHeight w:val="211"/>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(29,044)</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(29,044)</w:t>
            </w: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860" w:type="dxa"/>
            <w:vAlign w:val="bottom"/>
          </w:tcPr>
          <w:p>
            <w:pPr>
              <w:jc w:val="right"/>
              <w:spacing w:after="0"/>
              <w:rPr>
                <w:sz w:val="20"/>
                <w:szCs w:val="20"/>
                <w:color w:val="auto"/>
              </w:rPr>
            </w:pPr>
            <w:r>
              <w:rPr>
                <w:rFonts w:ascii="Arial" w:cs="Arial" w:eastAsia="Arial" w:hAnsi="Arial"/>
                <w:sz w:val="16"/>
                <w:szCs w:val="16"/>
                <w:color w:val="auto"/>
              </w:rPr>
              <w:t>18,645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186</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297,753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(250,087)</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47,852</w:t>
            </w:r>
          </w:p>
        </w:tc>
        <w:tc>
          <w:tcPr>
            <w:tcW w:w="60" w:type="dxa"/>
            <w:vAlign w:val="bottom"/>
          </w:tcPr>
          <w:p>
            <w:pPr>
              <w:spacing w:after="0"/>
              <w:rPr>
                <w:sz w:val="17"/>
                <w:szCs w:val="17"/>
                <w:color w:val="auto"/>
              </w:rPr>
            </w:pPr>
          </w:p>
        </w:tc>
      </w:tr>
      <w:tr>
        <w:trPr>
          <w:trHeight w:val="394"/>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60" w:type="dxa"/>
            <w:vAlign w:val="bottom"/>
          </w:tcPr>
          <w:p>
            <w:pPr>
              <w:spacing w:after="0"/>
              <w:rPr>
                <w:sz w:val="24"/>
                <w:szCs w:val="24"/>
                <w:color w:val="auto"/>
              </w:rPr>
            </w:pPr>
          </w:p>
        </w:tc>
      </w:tr>
      <w:tr>
        <w:trPr>
          <w:trHeight w:val="208"/>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4,404</w:t>
            </w:r>
          </w:p>
        </w:tc>
        <w:tc>
          <w:tcPr>
            <w:tcW w:w="60" w:type="dxa"/>
            <w:vAlign w:val="bottom"/>
          </w:tcPr>
          <w:p>
            <w:pPr>
              <w:spacing w:after="0"/>
              <w:rPr>
                <w:sz w:val="18"/>
                <w:szCs w:val="18"/>
                <w:color w:val="auto"/>
              </w:rPr>
            </w:pPr>
          </w:p>
        </w:tc>
      </w:tr>
      <w:tr>
        <w:trPr>
          <w:trHeight w:val="211"/>
        </w:trPr>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(27,453)</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(27,453)</w:t>
            </w: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1"/>
        </w:trPr>
        <w:tc>
          <w:tcPr>
            <w:tcW w:w="860" w:type="dxa"/>
            <w:vAlign w:val="bottom"/>
          </w:tcPr>
          <w:p>
            <w:pPr>
              <w:jc w:val="right"/>
              <w:spacing w:after="0"/>
              <w:rPr>
                <w:sz w:val="20"/>
                <w:szCs w:val="20"/>
                <w:color w:val="auto"/>
              </w:rPr>
            </w:pPr>
            <w:r>
              <w:rPr>
                <w:rFonts w:ascii="Arial" w:cs="Arial" w:eastAsia="Arial" w:hAnsi="Arial"/>
                <w:sz w:val="16"/>
                <w:szCs w:val="16"/>
                <w:color w:val="auto"/>
              </w:rPr>
              <w:t>19,114</w:t>
            </w:r>
          </w:p>
        </w:tc>
        <w:tc>
          <w:tcPr>
            <w:tcW w:w="4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191</w:t>
            </w:r>
          </w:p>
        </w:tc>
        <w:tc>
          <w:tcPr>
            <w:tcW w:w="4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302,842</w:t>
            </w: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(277,540)</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25,493</w:t>
            </w:r>
          </w:p>
        </w:tc>
        <w:tc>
          <w:tcPr>
            <w:tcW w:w="60" w:type="dxa"/>
            <w:vAlign w:val="bottom"/>
          </w:tcPr>
          <w:p>
            <w:pPr>
              <w:spacing w:after="0"/>
              <w:rPr>
                <w:sz w:val="17"/>
                <w:szCs w:val="17"/>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-3456305</wp:posOffset>
            </wp:positionV>
            <wp:extent cx="7137400" cy="3456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137400" cy="3456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180"/>
            <w:col w:w="6140"/>
          </w:cols>
          <w:pgMar w:left="320" w:top="329" w:right="339" w:bottom="1440"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90" w:name="page91"/>
    <w:bookmarkEnd w:id="90"/>
    <w:p>
      <w:pPr>
        <w:ind w:left="4760"/>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Statements of Cash Flows</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9"/>
              </w:rPr>
              <w:t>Years ended December 31,</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342"/>
              <w:spacing w:after="0" w:line="149"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1"/>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8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820" w:type="dxa"/>
            <w:vAlign w:val="bottom"/>
          </w:tcPr>
          <w:p>
            <w:pPr>
              <w:jc w:val="right"/>
              <w:ind w:right="668"/>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(27,453)</w:t>
            </w:r>
          </w:p>
        </w:tc>
        <w:tc>
          <w:tcPr>
            <w:tcW w:w="96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(29,044)</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4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Share-based compensation</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5"/>
        </w:trPr>
        <w:tc>
          <w:tcPr>
            <w:tcW w:w="6940" w:type="dxa"/>
            <w:vAlign w:val="bottom"/>
          </w:tcPr>
          <w:p>
            <w:pPr>
              <w:ind w:left="480"/>
              <w:spacing w:after="0"/>
              <w:rPr>
                <w:sz w:val="20"/>
                <w:szCs w:val="20"/>
                <w:color w:val="auto"/>
              </w:rPr>
            </w:pPr>
            <w:r>
              <w:rPr>
                <w:rFonts w:ascii="Arial" w:cs="Arial" w:eastAsia="Arial" w:hAnsi="Arial"/>
                <w:sz w:val="16"/>
                <w:szCs w:val="16"/>
                <w:color w:val="auto"/>
              </w:rPr>
              <w:t>Non-cash interest expense</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Change in fair value of convertible preferred stock warrant liability</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5"/>
        </w:trPr>
        <w:tc>
          <w:tcPr>
            <w:tcW w:w="6940" w:type="dxa"/>
            <w:vAlign w:val="bottom"/>
          </w:tcPr>
          <w:p>
            <w:pPr>
              <w:ind w:left="480"/>
              <w:spacing w:after="0"/>
              <w:rPr>
                <w:sz w:val="20"/>
                <w:szCs w:val="20"/>
                <w:color w:val="auto"/>
              </w:rPr>
            </w:pPr>
            <w:r>
              <w:rPr>
                <w:rFonts w:ascii="Arial" w:cs="Arial" w:eastAsia="Arial" w:hAnsi="Arial"/>
                <w:sz w:val="16"/>
                <w:szCs w:val="16"/>
                <w:color w:val="auto"/>
              </w:rPr>
              <w:t>Cost of rental units purchased by customers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Loss on extinguishment of debt</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40" w:type="dxa"/>
            <w:vAlign w:val="bottom"/>
          </w:tcPr>
          <w:p>
            <w:pPr>
              <w:ind w:left="480"/>
              <w:spacing w:after="0"/>
              <w:rPr>
                <w:sz w:val="20"/>
                <w:szCs w:val="20"/>
                <w:color w:val="auto"/>
              </w:rPr>
            </w:pPr>
            <w:r>
              <w:rPr>
                <w:rFonts w:ascii="Arial" w:cs="Arial" w:eastAsia="Arial" w:hAnsi="Arial"/>
                <w:sz w:val="16"/>
                <w:szCs w:val="16"/>
                <w:color w:val="auto"/>
              </w:rPr>
              <w:t>Changes in certain assets and liabilities: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Accounts receivable, net</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(597)</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(950)</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5"/>
        </w:trPr>
        <w:tc>
          <w:tcPr>
            <w:tcW w:w="6940" w:type="dxa"/>
            <w:vAlign w:val="bottom"/>
          </w:tcPr>
          <w:p>
            <w:pPr>
              <w:ind w:left="720"/>
              <w:spacing w:after="0"/>
              <w:rPr>
                <w:sz w:val="20"/>
                <w:szCs w:val="20"/>
                <w:color w:val="auto"/>
              </w:rPr>
            </w:pPr>
            <w:r>
              <w:rPr>
                <w:rFonts w:ascii="Arial" w:cs="Arial" w:eastAsia="Arial" w:hAnsi="Arial"/>
                <w:sz w:val="16"/>
                <w:szCs w:val="16"/>
                <w:color w:val="auto"/>
              </w:rPr>
              <w:t>Inventory</w:t>
            </w:r>
          </w:p>
        </w:tc>
        <w:tc>
          <w:tcPr>
            <w:tcW w:w="8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(945)</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(306)</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investments in sales-type leases</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(1,609)</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(2,610)</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40" w:type="dxa"/>
            <w:vAlign w:val="bottom"/>
          </w:tcPr>
          <w:p>
            <w:pPr>
              <w:ind w:left="720"/>
              <w:spacing w:after="0"/>
              <w:rPr>
                <w:sz w:val="20"/>
                <w:szCs w:val="20"/>
                <w:color w:val="auto"/>
              </w:rPr>
            </w:pPr>
            <w:r>
              <w:rPr>
                <w:rFonts w:ascii="Arial" w:cs="Arial" w:eastAsia="Arial" w:hAnsi="Arial"/>
                <w:sz w:val="16"/>
                <w:szCs w:val="16"/>
                <w:color w:val="auto"/>
              </w:rPr>
              <w:t>Leasehold reimbursement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Prepaid commission expense</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(1,928)</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(4,468)</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40" w:type="dxa"/>
            <w:vAlign w:val="bottom"/>
          </w:tcPr>
          <w:p>
            <w:pPr>
              <w:ind w:left="720"/>
              <w:spacing w:after="0"/>
              <w:rPr>
                <w:sz w:val="20"/>
                <w:szCs w:val="20"/>
                <w:color w:val="auto"/>
              </w:rPr>
            </w:pPr>
            <w:r>
              <w:rPr>
                <w:rFonts w:ascii="Arial" w:cs="Arial" w:eastAsia="Arial" w:hAnsi="Arial"/>
                <w:sz w:val="16"/>
                <w:szCs w:val="16"/>
                <w:color w:val="auto"/>
              </w:rPr>
              <w:t>Prepaid expenses and other assets</w:t>
            </w:r>
          </w:p>
        </w:tc>
        <w:tc>
          <w:tcPr>
            <w:tcW w:w="8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(641)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(565)</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Accounts payable</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(1,085)</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5"/>
        </w:trPr>
        <w:tc>
          <w:tcPr>
            <w:tcW w:w="6940" w:type="dxa"/>
            <w:vAlign w:val="bottom"/>
          </w:tcPr>
          <w:p>
            <w:pPr>
              <w:ind w:left="720"/>
              <w:spacing w:after="0"/>
              <w:rPr>
                <w:sz w:val="20"/>
                <w:szCs w:val="20"/>
                <w:color w:val="auto"/>
              </w:rPr>
            </w:pPr>
            <w:r>
              <w:rPr>
                <w:rFonts w:ascii="Arial" w:cs="Arial" w:eastAsia="Arial" w:hAnsi="Arial"/>
                <w:sz w:val="16"/>
                <w:szCs w:val="16"/>
                <w:color w:val="auto"/>
              </w:rPr>
              <w:t>Accrued expenses</w:t>
            </w:r>
          </w:p>
        </w:tc>
        <w:tc>
          <w:tcPr>
            <w:tcW w:w="8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(1,733)</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1,549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Deferred revenue</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(573)</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5"/>
        </w:trPr>
        <w:tc>
          <w:tcPr>
            <w:tcW w:w="6940" w:type="dxa"/>
            <w:vAlign w:val="bottom"/>
            <w:tcBorders>
              <w:bottom w:val="single" w:sz="8" w:color="CFF0FC"/>
            </w:tcBorders>
          </w:tcPr>
          <w:p>
            <w:pPr>
              <w:ind w:left="720"/>
              <w:spacing w:after="0"/>
              <w:rPr>
                <w:sz w:val="20"/>
                <w:szCs w:val="20"/>
                <w:color w:val="auto"/>
              </w:rPr>
            </w:pPr>
            <w:r>
              <w:rPr>
                <w:rFonts w:ascii="Arial" w:cs="Arial" w:eastAsia="Arial" w:hAnsi="Arial"/>
                <w:sz w:val="16"/>
                <w:szCs w:val="16"/>
                <w:color w:val="auto"/>
              </w:rPr>
              <w:t>Deferred rent</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4"/>
        </w:trPr>
        <w:tc>
          <w:tcPr>
            <w:tcW w:w="69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Net Cash Used in Operating Activities</w:t>
            </w:r>
          </w:p>
        </w:tc>
        <w:tc>
          <w:tcPr>
            <w:tcW w:w="8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(28,390)</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3"/>
              </w:rPr>
              <w:t>(30,482)</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198"/>
        </w:trPr>
        <w:tc>
          <w:tcPr>
            <w:tcW w:w="69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Purchases of property and equipment and capitalized software</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(730)</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(813)</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960"/>
              <w:spacing w:after="0"/>
              <w:rPr>
                <w:sz w:val="20"/>
                <w:szCs w:val="20"/>
                <w:color w:val="auto"/>
              </w:rPr>
            </w:pPr>
            <w:r>
              <w:rPr>
                <w:rFonts w:ascii="Arial" w:cs="Arial" w:eastAsia="Arial" w:hAnsi="Arial"/>
                <w:sz w:val="16"/>
                <w:szCs w:val="16"/>
                <w:color w:val="auto"/>
              </w:rPr>
              <w:t>Net Cash Used in Investing Activities</w:t>
            </w: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(730)</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(813)</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4"/>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8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40" w:type="dxa"/>
            <w:vAlign w:val="bottom"/>
          </w:tcPr>
          <w:p>
            <w:pPr>
              <w:ind w:left="240"/>
              <w:spacing w:after="0"/>
              <w:rPr>
                <w:sz w:val="20"/>
                <w:szCs w:val="20"/>
                <w:color w:val="auto"/>
              </w:rPr>
            </w:pPr>
            <w:r>
              <w:rPr>
                <w:rFonts w:ascii="Arial" w:cs="Arial" w:eastAsia="Arial" w:hAnsi="Arial"/>
                <w:sz w:val="16"/>
                <w:szCs w:val="16"/>
                <w:color w:val="auto"/>
              </w:rPr>
              <w:t>Proceeds from issuance of long-term debt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41,360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Repayment of long-term debt</w:t>
            </w: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(38,860)</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40" w:type="dxa"/>
            <w:vAlign w:val="bottom"/>
          </w:tcPr>
          <w:p>
            <w:pPr>
              <w:ind w:left="240"/>
              <w:spacing w:after="0"/>
              <w:rPr>
                <w:sz w:val="20"/>
                <w:szCs w:val="20"/>
                <w:color w:val="auto"/>
              </w:rPr>
            </w:pPr>
            <w:r>
              <w:rPr>
                <w:rFonts w:ascii="Arial" w:cs="Arial" w:eastAsia="Arial" w:hAnsi="Arial"/>
                <w:sz w:val="16"/>
                <w:szCs w:val="16"/>
                <w:color w:val="auto"/>
              </w:rPr>
              <w:t>Payments of debt issuance costs</w:t>
            </w:r>
          </w:p>
        </w:tc>
        <w:tc>
          <w:tcPr>
            <w:tcW w:w="8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(821)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exercises of stock options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5"/>
        </w:trPr>
        <w:tc>
          <w:tcPr>
            <w:tcW w:w="69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in initial public offering</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99,99</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of public offering costs</w:t>
            </w:r>
          </w:p>
        </w:tc>
        <w:tc>
          <w:tcPr>
            <w:tcW w:w="8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98"/>
        </w:trPr>
        <w:tc>
          <w:tcPr>
            <w:tcW w:w="6940" w:type="dxa"/>
            <w:vAlign w:val="bottom"/>
            <w:tcBorders>
              <w:bottom w:val="single" w:sz="8" w:color="CFF0FC"/>
            </w:tcBorders>
          </w:tcPr>
          <w:p>
            <w:pPr>
              <w:ind w:left="960"/>
              <w:spacing w:after="0"/>
              <w:rPr>
                <w:sz w:val="20"/>
                <w:szCs w:val="20"/>
                <w:color w:val="auto"/>
              </w:rPr>
            </w:pPr>
            <w:r>
              <w:rPr>
                <w:rFonts w:ascii="Arial" w:cs="Arial" w:eastAsia="Arial" w:hAnsi="Arial"/>
                <w:sz w:val="16"/>
                <w:szCs w:val="16"/>
                <w:color w:val="auto"/>
              </w:rPr>
              <w:t>Net Cash Provided by Financing Activities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97,03</w:t>
            </w:r>
          </w:p>
        </w:tc>
        <w:tc>
          <w:tcPr>
            <w:tcW w:w="0" w:type="dxa"/>
            <w:vAlign w:val="bottom"/>
          </w:tcPr>
          <w:p>
            <w:pPr>
              <w:spacing w:after="0"/>
              <w:rPr>
                <w:sz w:val="1"/>
                <w:szCs w:val="1"/>
                <w:color w:val="auto"/>
              </w:rPr>
            </w:pPr>
          </w:p>
        </w:tc>
      </w:tr>
      <w:tr>
        <w:trPr>
          <w:trHeight w:val="204"/>
        </w:trPr>
        <w:tc>
          <w:tcPr>
            <w:tcW w:w="69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Net (Decrease) Increase in Cash and Cash Equivalents</w:t>
            </w:r>
          </w:p>
        </w:tc>
        <w:tc>
          <w:tcPr>
            <w:tcW w:w="8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(26,751)</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3"/>
              </w:rPr>
              <w:t>(28,875)</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75,43</w:t>
            </w:r>
          </w:p>
        </w:tc>
        <w:tc>
          <w:tcPr>
            <w:tcW w:w="0" w:type="dxa"/>
            <w:vAlign w:val="bottom"/>
          </w:tcPr>
          <w:p>
            <w:pPr>
              <w:spacing w:after="0"/>
              <w:rPr>
                <w:sz w:val="1"/>
                <w:szCs w:val="1"/>
                <w:color w:val="auto"/>
              </w:rPr>
            </w:pPr>
          </w:p>
        </w:tc>
      </w:tr>
      <w:tr>
        <w:trPr>
          <w:trHeight w:val="205"/>
        </w:trPr>
        <w:tc>
          <w:tcPr>
            <w:tcW w:w="6940" w:type="dxa"/>
            <w:vAlign w:val="bottom"/>
            <w:tcBorders>
              <w:bottom w:val="single" w:sz="8" w:color="CFF0FC"/>
            </w:tcBorders>
          </w:tcPr>
          <w:p>
            <w:pPr>
              <w:ind w:left="960"/>
              <w:spacing w:after="0"/>
              <w:rPr>
                <w:sz w:val="20"/>
                <w:szCs w:val="20"/>
                <w:color w:val="auto"/>
              </w:rPr>
            </w:pPr>
            <w:r>
              <w:rPr>
                <w:rFonts w:ascii="Arial" w:cs="Arial" w:eastAsia="Arial" w:hAnsi="Arial"/>
                <w:sz w:val="16"/>
                <w:szCs w:val="16"/>
                <w:color w:val="auto"/>
              </w:rPr>
              <w:t>Cash and Cash Equivalents, Beginning of Year</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75,708</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104,583</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w:t>
            </w:r>
          </w:p>
        </w:tc>
        <w:tc>
          <w:tcPr>
            <w:tcW w:w="0" w:type="dxa"/>
            <w:vAlign w:val="bottom"/>
          </w:tcPr>
          <w:p>
            <w:pPr>
              <w:spacing w:after="0"/>
              <w:rPr>
                <w:sz w:val="1"/>
                <w:szCs w:val="1"/>
                <w:color w:val="auto"/>
              </w:rPr>
            </w:pPr>
          </w:p>
        </w:tc>
      </w:tr>
      <w:tr>
        <w:trPr>
          <w:trHeight w:val="201"/>
        </w:trPr>
        <w:tc>
          <w:tcPr>
            <w:tcW w:w="69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Cash and Cash Equivalents, End of Year</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48,957</w:t>
            </w: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75,708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104,58</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paid for interest</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3,892</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5"/>
        </w:trPr>
        <w:tc>
          <w:tcPr>
            <w:tcW w:w="6940" w:type="dxa"/>
            <w:vAlign w:val="bottom"/>
          </w:tcPr>
          <w:p>
            <w:pPr>
              <w:ind w:left="240"/>
              <w:spacing w:after="0"/>
              <w:rPr>
                <w:sz w:val="20"/>
                <w:szCs w:val="20"/>
                <w:color w:val="auto"/>
              </w:rPr>
            </w:pPr>
            <w:r>
              <w:rPr>
                <w:rFonts w:ascii="Arial" w:cs="Arial" w:eastAsia="Arial" w:hAnsi="Arial"/>
                <w:sz w:val="16"/>
                <w:szCs w:val="16"/>
                <w:color w:val="auto"/>
              </w:rPr>
              <w:t>Transfer of inventory to property and equipment</w:t>
            </w:r>
          </w:p>
        </w:tc>
        <w:tc>
          <w:tcPr>
            <w:tcW w:w="820" w:type="dxa"/>
            <w:vAlign w:val="bottom"/>
          </w:tcPr>
          <w:p>
            <w:pPr>
              <w:jc w:val="right"/>
              <w:ind w:right="66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17"/>
                <w:szCs w:val="17"/>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240"/>
              <w:spacing w:after="0"/>
              <w:rPr>
                <w:sz w:val="20"/>
                <w:szCs w:val="20"/>
                <w:color w:val="auto"/>
              </w:rPr>
            </w:pPr>
            <w:r>
              <w:rPr>
                <w:rFonts w:ascii="Arial" w:cs="Arial" w:eastAsia="Arial" w:hAnsi="Arial"/>
                <w:sz w:val="16"/>
                <w:szCs w:val="16"/>
                <w:color w:val="auto"/>
                <w:w w:val="98"/>
              </w:rPr>
              <w:t>Purchases of property and equipment and capitalized software in accounts payable and accrued</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tcPr>
          <w:p>
            <w:pPr>
              <w:ind w:left="240"/>
              <w:spacing w:after="0"/>
              <w:rPr>
                <w:sz w:val="20"/>
                <w:szCs w:val="20"/>
                <w:color w:val="auto"/>
              </w:rPr>
            </w:pPr>
            <w:r>
              <w:rPr>
                <w:rFonts w:ascii="Arial" w:cs="Arial" w:eastAsia="Arial" w:hAnsi="Arial"/>
                <w:sz w:val="16"/>
                <w:szCs w:val="16"/>
                <w:color w:val="auto"/>
              </w:rPr>
              <w:t>expenses</w:t>
            </w:r>
          </w:p>
        </w:tc>
        <w:tc>
          <w:tcPr>
            <w:tcW w:w="820" w:type="dxa"/>
            <w:vAlign w:val="bottom"/>
          </w:tcPr>
          <w:p>
            <w:pPr>
              <w:jc w:val="right"/>
              <w:ind w:right="66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96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377</w:t>
            </w:r>
          </w:p>
        </w:tc>
        <w:tc>
          <w:tcPr>
            <w:tcW w:w="260" w:type="dxa"/>
            <w:vAlign w:val="bottom"/>
          </w:tcPr>
          <w:p>
            <w:pPr>
              <w:spacing w:after="0"/>
              <w:rPr>
                <w:sz w:val="17"/>
                <w:szCs w:val="17"/>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1"/>
        </w:trPr>
        <w:tc>
          <w:tcPr>
            <w:tcW w:w="6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Conversion of convertible preferred stock into common stock</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187,13</w:t>
            </w:r>
          </w:p>
        </w:tc>
        <w:tc>
          <w:tcPr>
            <w:tcW w:w="0" w:type="dxa"/>
            <w:vAlign w:val="bottom"/>
          </w:tcPr>
          <w:p>
            <w:pPr>
              <w:spacing w:after="0"/>
              <w:rPr>
                <w:sz w:val="1"/>
                <w:szCs w:val="1"/>
                <w:color w:val="auto"/>
              </w:rPr>
            </w:pPr>
          </w:p>
        </w:tc>
      </w:tr>
      <w:tr>
        <w:trPr>
          <w:trHeight w:val="202"/>
        </w:trPr>
        <w:tc>
          <w:tcPr>
            <w:tcW w:w="6940" w:type="dxa"/>
            <w:vAlign w:val="bottom"/>
          </w:tcPr>
          <w:p>
            <w:pPr>
              <w:ind w:left="240"/>
              <w:spacing w:after="0"/>
              <w:rPr>
                <w:sz w:val="20"/>
                <w:szCs w:val="20"/>
                <w:color w:val="auto"/>
              </w:rPr>
            </w:pPr>
            <w:r>
              <w:rPr>
                <w:rFonts w:ascii="Arial" w:cs="Arial" w:eastAsia="Arial" w:hAnsi="Arial"/>
                <w:sz w:val="16"/>
                <w:szCs w:val="16"/>
                <w:color w:val="auto"/>
              </w:rPr>
              <w:t>Conversion of convertible preferred stock warrants into common stock warrants</w:t>
            </w:r>
          </w:p>
        </w:tc>
        <w:tc>
          <w:tcPr>
            <w:tcW w:w="820" w:type="dxa"/>
            <w:vAlign w:val="bottom"/>
          </w:tcPr>
          <w:p>
            <w:pPr>
              <w:jc w:val="right"/>
              <w:ind w:right="66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340"/>
          </w:cols>
          <w:pgMar w:left="320" w:top="329"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221" w:lineRule="exact"/>
        <w:rPr>
          <w:sz w:val="20"/>
          <w:szCs w:val="20"/>
          <w:color w:val="auto"/>
        </w:rPr>
      </w:pPr>
    </w:p>
    <w:p>
      <w:pPr>
        <w:ind w:left="380" w:hanging="376"/>
        <w:spacing w:after="0"/>
        <w:tabs>
          <w:tab w:leader="none" w:pos="38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The Company intends to continue to pursue development of its NeuroStar Advanced Therapy System for additional indications.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3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Company is monitoring the impact of the COVID-19 pandemic on all aspects of its business and geographies, including how it will impact the Company’s customers, supply chain, employees and other business partners. While the Company experienced significant disruptions in March 2020 through the end of December 2020, from the COVID-19 pandemic, it is unable to predict the full impact that the COVID-19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to the Company, on May 7, 2020, the Company repaid the loan in full, including interest accrued to date.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of December 31, 2020, the Company had cash and cash equivalents of $49.0 million and an accumulated deficit of $277.5 million. The Company incurred negative cash flows from operating activities of $28.4 million, $30.5 million and $20.6 million for the years ended December 31, 2020, 2019, and 2018, respectively. The Company has incurred operating losses since its inception, and management anticipates that its operating losses will continue in the near term as the Company seeks to expand its sales and marketing initiatives to support its growth into existing and new markets and invest in additional research and development activities. The Company’s primary sources of capital to date have been from its IPO, private placements of its convertible preferred securities, borrowings under its credit facilities and revenues from sales of its products. As of December 31, 2020, the Company had $35.0 million of borrowings outstanding under its credit facility, which matures in February 2025. Management believes that the Company’s cash and cash equivalents as of December 31, 2020, in addition to the $80.6 million in net proceeds raised from our public offering and sale of our common stock (the “Offering”) completed in February 2021, and anticipated revenues from sales of our products are sufficient to fund the Company’s operations for at least the next 12 months from the issuance of these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 w:hanging="376"/>
        <w:spacing w:after="0"/>
        <w:tabs>
          <w:tab w:leader="none" w:pos="3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123" w:lineRule="exact"/>
        <w:rPr>
          <w:sz w:val="20"/>
          <w:szCs w:val="20"/>
          <w:color w:val="auto"/>
        </w:rPr>
      </w:pPr>
    </w:p>
    <w:p>
      <w:pPr>
        <w:jc w:val="both"/>
        <w:ind w:right="60"/>
        <w:spacing w:after="0" w:line="271"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3"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preparation of financial statements in accordance with GAAP and the rules and regulations of the United States Securities and Exchange Commission, or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w:t>
      </w:r>
    </w:p>
    <w:p>
      <w:pPr>
        <w:spacing w:after="0" w:line="271" w:lineRule="exact"/>
        <w:rPr>
          <w:sz w:val="20"/>
          <w:szCs w:val="20"/>
          <w:color w:val="auto"/>
        </w:rPr>
      </w:pPr>
    </w:p>
    <w:p>
      <w:pPr>
        <w:ind w:right="6340" w:firstLine="4"/>
        <w:spacing w:after="0" w:line="387" w:lineRule="auto"/>
        <w:tabs>
          <w:tab w:leader="none" w:pos="378"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Cash and Cash Equivalents</w:t>
      </w:r>
    </w:p>
    <w:p>
      <w:pPr>
        <w:spacing w:after="0" w:line="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Company considers all highly liquid investments purchased with an original maturity of three months or less to be cash equivalents. As of December 31, 2020 and 2019, cash equivalents consisted of money market funds.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 Risk</w:t>
      </w:r>
    </w:p>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Company’s cash is held on deposit in demand accounts at a large financial institution in amounts in excess of the Federal Deposit Insurance Corporation, or FDIC, insurance coverage limit of $250,000 per depositor, per FDIC-insured bank, per ownership category. Management has reviewed the financial statements of this institution and believes it has sufficient assets and liquidity to conduct its operations in the ordinary course of business with little or no credit risk to the Company.</w:t>
      </w:r>
    </w:p>
    <w:p>
      <w:pPr>
        <w:spacing w:after="0" w:line="175"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Doubtful Accounts</w:t>
      </w:r>
    </w:p>
    <w:p>
      <w:pPr>
        <w:spacing w:after="0" w:line="123" w:lineRule="exact"/>
        <w:rPr>
          <w:sz w:val="20"/>
          <w:szCs w:val="20"/>
          <w:color w:val="auto"/>
        </w:rPr>
      </w:pPr>
    </w:p>
    <w:p>
      <w:pPr>
        <w:ind w:right="360"/>
        <w:spacing w:after="0" w:line="319" w:lineRule="auto"/>
        <w:rPr>
          <w:sz w:val="20"/>
          <w:szCs w:val="20"/>
          <w:color w:val="auto"/>
        </w:rPr>
      </w:pPr>
      <w:r>
        <w:rPr>
          <w:rFonts w:ascii="Arial" w:cs="Arial" w:eastAsia="Arial" w:hAnsi="Arial"/>
          <w:sz w:val="16"/>
          <w:szCs w:val="16"/>
          <w:color w:val="auto"/>
        </w:rPr>
        <w:t>The Company maintains allowances for doubtful accounts for estimated losses resulting from amounts deemed to be uncollectible from its customers. These allowances are for specific amounts on certain customer accounts based on facts and circumstances determined on a case-by-case basis.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Adoption of ASC Topic 842, "Leases"</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of January 1, 2019, the Company accounts for leases in accordance with ASC Topic 842, Leases, (“Topic 842”). 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6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leases warehouse and office space, and office equipment pursuant to net operating leases. Operating leases where the Company is the lessor are included in revenue on the Statements of Operations.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From time to time the Company enters into sales-type lease arrangements that include a lessee obligation to purchase the leased equipment at the end of the lease term, automatic transfer of ownership of the leased equipment at the end of the lease, a lessee purchase option reasonably certain to be exercised, or provides for minimum lease payments with a present value equal to or exceeding substantially all of the fair value of the underlying leased equipment at the date of lease inception. Sales-type leases where the Company is the lessor are included in revenue on the Statements of Operations.</w:t>
      </w:r>
    </w:p>
    <w:p>
      <w:pPr>
        <w:spacing w:after="0" w:line="18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Operating leases where the Company is the lessee are included in operating lease right-of-use assets and operating lease liabilities on the Balance Sheets. The lease liabilities are initially measured at the present value of the unpaid lease payments at the lease commencement date.</w:t>
      </w:r>
    </w:p>
    <w:p>
      <w:pPr>
        <w:spacing w:after="0" w:line="18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uses the following inputs in its lease calculations under Topic 842: (1) the discount rate the Company uses to discount the unpaid lease payments to present value, (2) lease term, and (3) lease payments.</w:t>
      </w:r>
    </w:p>
    <w:p>
      <w:pPr>
        <w:spacing w:after="0" w:line="68" w:lineRule="exact"/>
        <w:rPr>
          <w:sz w:val="20"/>
          <w:szCs w:val="20"/>
          <w:color w:val="auto"/>
        </w:rPr>
      </w:pPr>
    </w:p>
    <w:p>
      <w:pPr>
        <w:ind w:left="1000" w:hanging="371"/>
        <w:spacing w:after="0" w:line="262"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Topic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most leases where the Company is the lessee do not provide an implicit rate, the Company uses the incremental borrowing rate based on the information available at commencement date in determining the present value of lease payments. The incremental borrowing rate for a lease is the rate of interest the Company would have to pay on a collateralized basis to borrow an amount equal to the lease payments under similar terms. The Company uses the implicit rate when readily determinable.</w:t>
      </w:r>
    </w:p>
    <w:p>
      <w:pPr>
        <w:spacing w:after="0" w:line="87" w:lineRule="exact"/>
        <w:rPr>
          <w:rFonts w:ascii="Arial" w:cs="Arial" w:eastAsia="Arial" w:hAnsi="Arial"/>
          <w:sz w:val="17"/>
          <w:szCs w:val="17"/>
          <w:color w:val="auto"/>
        </w:rPr>
      </w:pPr>
    </w:p>
    <w:p>
      <w:pPr>
        <w:ind w:left="1000" w:right="140" w:hanging="371"/>
        <w:spacing w:after="0" w:line="271"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lease term for all leases includes the noncancelable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80" w:lineRule="exact"/>
        <w:rPr>
          <w:rFonts w:ascii="Arial" w:cs="Arial" w:eastAsia="Arial" w:hAnsi="Arial"/>
          <w:sz w:val="17"/>
          <w:szCs w:val="17"/>
          <w:color w:val="auto"/>
        </w:rPr>
      </w:pPr>
    </w:p>
    <w:p>
      <w:pPr>
        <w:ind w:left="1000" w:right="220" w:hanging="371"/>
        <w:spacing w:after="0" w:line="319"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Lease payments included in the measurement of the lease asset or liability comprise the following: fixed payments (including in-substance fixed payments), and the exercise price of a lessee option to purchase the underlying asset if the lessee is reasonably certain to exercise.</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operating leases where the Company is the lessor, the Company continues recognizing the underlying asset and depreciating it over its estimated useful life. Lease income from lessees is recognized on a straight-line basis over the terms of the relevant lease agreement in revenue. Operating leases for equipment with fixed rentals and step rentals are recognized on a straight-line basis over the term of the lease, assuming no renewals, in revenue. Revenue is not recognized when collection is not reasonably assured. When collectability is not reasonably assured, the customer is placed on non-accrual status and revenue is recognized when cash payments are received.</w:t>
      </w:r>
    </w:p>
    <w:p>
      <w:pPr>
        <w:spacing w:after="0" w:line="20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lease asset for sales-type leases is initially measured as the total net investment in the lease, which comprises the initial amount of the lease receivable plus the deferred initial direct costs.</w:t>
      </w:r>
    </w:p>
    <w:p>
      <w:pPr>
        <w:spacing w:after="0" w:line="185"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lease asset for sales-type leases is subsequently measured throughout the lease term at the carrying amount of the net investment in the lease which is increased by interest income and reduced by lease payments collected. The lease payments are segregated into principal and interest components similar to a loan. Equipment leasing revenues are recognized on an effective interest method over the lease term. The principal component of the lease payment is reflected as a reduction to the net investment in the lease.</w:t>
      </w:r>
    </w:p>
    <w:p>
      <w:pPr>
        <w:spacing w:after="0" w:line="201"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For operating leases where the Company is the lessee, the right-of-use, or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ind w:right="-5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6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Lease assets for sales-type leases where the Company is the lessor and ROU assets for operating leases where the Company is the lessee are periodically reduced by impairment losses. The Company uses the loans impairment guidance in ASC Subtopic 330-10, Receivables, and the long-lived assets impairment guidance in ASC Subtopic 360-10, Property, Plant, and Equipment – Overall, to determine whether a lease asset or a ROU asset, respectively, is impaired, and if so, the amount of the impairment loss to recognize. For the years ended December 31, 2020 and 2019, the Company has not encountered any impairment losses.</w:t>
      </w:r>
    </w:p>
    <w:p>
      <w:pPr>
        <w:spacing w:after="0" w:line="17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20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Company has elected not to recognize ROU assets and lease liabilities for all short-term leases that have a lease term of 12 months or less. The Company recognizes the lease payments associated with the short-term leases as an expense on a straight-line basis over the lease term. Variable lease payments associated with these leases are recognized and presented in the same manner as for all other leases. The Company has elected to exclude sales and other similar taxes from lease payments in arrangements where the Company is a lessor.</w:t>
      </w:r>
    </w:p>
    <w:p>
      <w:pPr>
        <w:spacing w:after="0" w:line="20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Company adopted ASU 2016-02 using a modified retrospective transition approach as of the effective date as permitted by the amendments in ASU 2018-11, which provides an alternative modified retrospective transition method. As a result, the Company was not required to adjust comparative period financial information for effects of the standard or make the new required lease disclosures for periods before the date of adoption (i.e. January 1, 2019). The Company has elected to adopt the package of transition practical expedients and, therefore, has not reassessed (1) whether existing or expired contracts contain a lease, (2) lease classification for existing or expired leases or (3) the accounting for initial direct costs that were previously capitalized. The Company did not elect the practical expedient to use hindsight for leases existing at the adoption date. There was no effect of the adoption of Topic 842 on retained earnings and other components of equity as of December 31, 2018.</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Inventory is stated at the lower of cost and net realizable value, with cost being determined on a first in, first out basis. The Company’s inventory is primarily comprised of finished goods.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 and Capitalized Software</w:t>
      </w:r>
    </w:p>
    <w:p>
      <w:pPr>
        <w:spacing w:after="0" w:line="12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Property and equipment are recorded at cost. Maintenance and repairs are charged to expense as incurred and costs of improvements and renewals are capitalized. Depreciation and amortization are recognized using the straight-line method based on the estimated useful lives of the related assets. The Company uses an estimated useful life of three years for computers and software, five years for laboratory and office equipment, six years for devices in the rental agreement program and the lesser of five years or the remaining life of the underlying facility lease for leasehold improvements.</w:t>
      </w:r>
    </w:p>
    <w:p>
      <w:pPr>
        <w:spacing w:after="0" w:line="16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Software development costs relating to assets to be sold in the normal course of business are included in research and development and are expensed as incurred until technological feasibility is established. After technological feasibility is established, material software development costs are capitalized. The Company uses an estimated useful life of two years for capitalized software and amortizes these costs beginning at the product release.</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Long-lived assets, such as property and equipment, are tested for impairment when events or changes in circumstances indicate that the carrying value of the asset may not be recoverable. Impairment testing requires management to estimate the future net undiscounted cash flows of an asset using assumptions believed to be reasonable. Actual cash flows may differ from the estimates used in the impairment testing. If such assets are considered to be impaired, the Company recognizes an impairment loss when and to the extent that the estimated fair value of an asset is less than its carrying value. The Company has not recorded any impairment of its long-lived assets for the years ended December 31, 2020, 2019, and 2018.</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Debt Issuance Costs</w:t>
      </w:r>
    </w:p>
    <w:p>
      <w:pPr>
        <w:spacing w:after="0" w:line="123"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The Company capitalizes direct costs incurred to obtain debt financing and amortizes these costs to interest expense over the term of the debt using the effective interest method. These costs are recorded as a debt discount and are netted against the related debt on the Company’s balance sheet.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Adoption of ASC Topic 606, "Revenue from Contracts with Customers"</w:t>
      </w:r>
    </w:p>
    <w:p>
      <w:pPr>
        <w:spacing w:after="0" w:line="11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On January 1, 2019, the Company adopted Topic 606 using the modified retrospective method applying the open contract practical expedient and accounted for those contracts which were not completed as of January 1, 2019 under Topic 606. Results for reporting periods beginning after January 1, 2019 are presented under Topic 606, while prior period amounts are not adjusted and continue to be reported in accordance with the Company’s historic accounting under Topic 605.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Topic 606 on Financial Statement Line Items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ASC 606 had no impact to retained earnings or revenue as of January 1, 2019.</w:t>
      </w:r>
    </w:p>
    <w:p>
      <w:pPr>
        <w:spacing w:after="0" w:line="2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accordance with the new revenue standard requirements, the disclosure of the impact of adoption on prepaid commissions expense on the balance sheet as of December 31, 2019 and the statement of operation for the year ended December 31, 2019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As of December 31, 2019</w:t>
            </w:r>
          </w:p>
        </w:tc>
        <w:tc>
          <w:tcPr>
            <w:tcW w:w="1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gridSpan w:val="3"/>
          </w:tcPr>
          <w:p>
            <w:pPr>
              <w:jc w:val="center"/>
              <w:ind w:right="720"/>
              <w:spacing w:after="0" w:line="127" w:lineRule="exact"/>
              <w:rPr>
                <w:sz w:val="20"/>
                <w:szCs w:val="20"/>
                <w:color w:val="auto"/>
              </w:rPr>
            </w:pPr>
            <w:r>
              <w:rPr>
                <w:rFonts w:ascii="Arial" w:cs="Arial" w:eastAsia="Arial" w:hAnsi="Arial"/>
                <w:sz w:val="14"/>
                <w:szCs w:val="14"/>
                <w:b w:val="1"/>
                <w:bCs w:val="1"/>
                <w:color w:val="auto"/>
                <w:w w:val="91"/>
              </w:rPr>
              <w:t>Balance Without</w:t>
            </w:r>
          </w:p>
        </w:tc>
        <w:tc>
          <w:tcPr>
            <w:tcW w:w="1980" w:type="dxa"/>
            <w:vAlign w:val="bottom"/>
          </w:tcPr>
          <w:p>
            <w:pPr>
              <w:jc w:val="center"/>
              <w:ind w:right="411"/>
              <w:spacing w:after="0" w:line="127" w:lineRule="exact"/>
              <w:rPr>
                <w:sz w:val="20"/>
                <w:szCs w:val="20"/>
                <w:color w:val="auto"/>
              </w:rPr>
            </w:pPr>
            <w:r>
              <w:rPr>
                <w:rFonts w:ascii="Arial" w:cs="Arial" w:eastAsia="Arial" w:hAnsi="Arial"/>
                <w:sz w:val="14"/>
                <w:szCs w:val="14"/>
                <w:b w:val="1"/>
                <w:bCs w:val="1"/>
                <w:color w:val="auto"/>
                <w:w w:val="89"/>
              </w:rPr>
              <w:t>Effect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7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As Reported</w:t>
            </w:r>
          </w:p>
        </w:tc>
        <w:tc>
          <w:tcPr>
            <w:tcW w:w="2200" w:type="dxa"/>
            <w:vAlign w:val="bottom"/>
            <w:gridSpan w:val="3"/>
          </w:tcPr>
          <w:p>
            <w:pPr>
              <w:jc w:val="center"/>
              <w:ind w:right="740"/>
              <w:spacing w:after="0" w:line="143" w:lineRule="exact"/>
              <w:rPr>
                <w:sz w:val="20"/>
                <w:szCs w:val="20"/>
                <w:color w:val="auto"/>
              </w:rPr>
            </w:pPr>
            <w:r>
              <w:rPr>
                <w:rFonts w:ascii="Arial" w:cs="Arial" w:eastAsia="Arial" w:hAnsi="Arial"/>
                <w:sz w:val="14"/>
                <w:szCs w:val="14"/>
                <w:b w:val="1"/>
                <w:bCs w:val="1"/>
                <w:color w:val="auto"/>
                <w:w w:val="89"/>
              </w:rPr>
              <w:t>Adoption of</w:t>
            </w:r>
          </w:p>
        </w:tc>
        <w:tc>
          <w:tcPr>
            <w:tcW w:w="2060" w:type="dxa"/>
            <w:vAlign w:val="bottom"/>
            <w:gridSpan w:val="2"/>
          </w:tcPr>
          <w:p>
            <w:pPr>
              <w:jc w:val="center"/>
              <w:ind w:right="560"/>
              <w:spacing w:after="0" w:line="143"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2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ASC 606</w:t>
            </w:r>
          </w:p>
        </w:tc>
        <w:tc>
          <w:tcPr>
            <w:tcW w:w="2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Higher/(Lower)</w:t>
            </w:r>
          </w:p>
        </w:tc>
        <w:tc>
          <w:tcPr>
            <w:tcW w:w="0" w:type="dxa"/>
            <w:vAlign w:val="bottom"/>
          </w:tcPr>
          <w:p>
            <w:pPr>
              <w:spacing w:after="0"/>
              <w:rPr>
                <w:sz w:val="1"/>
                <w:szCs w:val="1"/>
                <w:color w:val="auto"/>
              </w:rPr>
            </w:pPr>
          </w:p>
        </w:tc>
      </w:tr>
      <w:tr>
        <w:trPr>
          <w:trHeight w:val="136"/>
        </w:trPr>
        <w:tc>
          <w:tcPr>
            <w:tcW w:w="4080" w:type="dxa"/>
            <w:vAlign w:val="bottom"/>
            <w:tcBorders>
              <w:top w:val="single" w:sz="8" w:color="CFF0FC"/>
            </w:tcBorders>
            <w:gridSpan w:val="2"/>
            <w:shd w:val="clear" w:color="auto" w:fill="CFF0FC"/>
          </w:tcPr>
          <w:p>
            <w:pPr>
              <w:spacing w:after="0" w:line="137" w:lineRule="exact"/>
              <w:rPr>
                <w:sz w:val="20"/>
                <w:szCs w:val="20"/>
                <w:color w:val="auto"/>
              </w:rPr>
            </w:pPr>
            <w:r>
              <w:rPr>
                <w:rFonts w:ascii="Arial" w:cs="Arial" w:eastAsia="Arial" w:hAnsi="Arial"/>
                <w:sz w:val="14"/>
                <w:szCs w:val="14"/>
                <w:b w:val="1"/>
                <w:bCs w:val="1"/>
                <w:color w:val="auto"/>
              </w:rPr>
              <w:t>Balance Sheet</w:t>
            </w:r>
          </w:p>
        </w:tc>
        <w:tc>
          <w:tcPr>
            <w:tcW w:w="15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5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98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20" w:type="dxa"/>
            <w:vAlign w:val="bottom"/>
            <w:tcBorders>
              <w:top w:val="single" w:sz="8" w:color="auto"/>
            </w:tcBorders>
            <w:shd w:val="clear" w:color="auto" w:fill="CFF0FC"/>
          </w:tcPr>
          <w:p>
            <w:pPr>
              <w:spacing w:after="0"/>
              <w:rPr>
                <w:sz w:val="5"/>
                <w:szCs w:val="5"/>
                <w:color w:val="auto"/>
              </w:rPr>
            </w:pPr>
          </w:p>
        </w:tc>
        <w:tc>
          <w:tcPr>
            <w:tcW w:w="3260" w:type="dxa"/>
            <w:vAlign w:val="bottom"/>
            <w:tcBorders>
              <w:top w:val="single" w:sz="8" w:color="CFF0FC"/>
            </w:tcBorders>
            <w:shd w:val="clear" w:color="auto" w:fill="CFF0FC"/>
          </w:tcPr>
          <w:p>
            <w:pPr>
              <w:spacing w:after="0"/>
              <w:rPr>
                <w:sz w:val="5"/>
                <w:szCs w:val="5"/>
                <w:color w:val="auto"/>
              </w:rPr>
            </w:pPr>
          </w:p>
        </w:tc>
        <w:tc>
          <w:tcPr>
            <w:tcW w:w="150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150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440" w:type="dxa"/>
            <w:vAlign w:val="bottom"/>
            <w:tcBorders>
              <w:top w:val="single" w:sz="8" w:color="CFF0FC"/>
            </w:tcBorders>
            <w:shd w:val="clear" w:color="auto" w:fill="CFF0FC"/>
          </w:tcPr>
          <w:p>
            <w:pPr>
              <w:spacing w:after="0"/>
              <w:rPr>
                <w:sz w:val="5"/>
                <w:szCs w:val="5"/>
                <w:color w:val="auto"/>
              </w:rPr>
            </w:pPr>
          </w:p>
        </w:tc>
        <w:tc>
          <w:tcPr>
            <w:tcW w:w="198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3680" w:type="dxa"/>
            <w:vAlign w:val="bottom"/>
            <w:gridSpan w:val="2"/>
          </w:tcPr>
          <w:p>
            <w:pPr>
              <w:spacing w:after="0"/>
              <w:rPr>
                <w:sz w:val="20"/>
                <w:szCs w:val="20"/>
                <w:color w:val="auto"/>
              </w:rPr>
            </w:pPr>
            <w:r>
              <w:rPr>
                <w:rFonts w:ascii="Arial" w:cs="Arial" w:eastAsia="Arial" w:hAnsi="Arial"/>
                <w:sz w:val="17"/>
                <w:szCs w:val="17"/>
                <w:color w:val="auto"/>
              </w:rPr>
              <w:t>Current portion of prepaid commission expense</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689</w:t>
            </w:r>
          </w:p>
        </w:tc>
        <w:tc>
          <w:tcPr>
            <w:tcW w:w="14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689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Prepaid commission expense</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3"/>
              </w:rPr>
              <w:t>Year ended December 31, 2019</w:t>
            </w:r>
          </w:p>
        </w:tc>
        <w:tc>
          <w:tcPr>
            <w:tcW w:w="1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0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340"/>
              <w:spacing w:after="0" w:line="127" w:lineRule="exact"/>
              <w:rPr>
                <w:sz w:val="20"/>
                <w:szCs w:val="20"/>
                <w:color w:val="auto"/>
              </w:rPr>
            </w:pPr>
            <w:r>
              <w:rPr>
                <w:rFonts w:ascii="Arial" w:cs="Arial" w:eastAsia="Arial" w:hAnsi="Arial"/>
                <w:sz w:val="14"/>
                <w:szCs w:val="14"/>
                <w:b w:val="1"/>
                <w:bCs w:val="1"/>
                <w:color w:val="auto"/>
                <w:w w:val="91"/>
              </w:rPr>
              <w:t>Balance Without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80" w:type="dxa"/>
            <w:vAlign w:val="bottom"/>
          </w:tcPr>
          <w:p>
            <w:pPr>
              <w:jc w:val="center"/>
              <w:ind w:right="501"/>
              <w:spacing w:after="0" w:line="127" w:lineRule="exact"/>
              <w:rPr>
                <w:sz w:val="20"/>
                <w:szCs w:val="20"/>
                <w:color w:val="auto"/>
              </w:rPr>
            </w:pPr>
            <w:r>
              <w:rPr>
                <w:rFonts w:ascii="Arial" w:cs="Arial" w:eastAsia="Arial" w:hAnsi="Arial"/>
                <w:sz w:val="14"/>
                <w:szCs w:val="14"/>
                <w:b w:val="1"/>
                <w:bCs w:val="1"/>
                <w:color w:val="auto"/>
                <w:w w:val="89"/>
              </w:rPr>
              <w:t>Effect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9"/>
              </w:rPr>
              <w:t>Adoption of</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60" w:type="dxa"/>
            <w:vAlign w:val="bottom"/>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6"/>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ASC 606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Higher/(Lower)</w:t>
            </w:r>
          </w:p>
        </w:tc>
        <w:tc>
          <w:tcPr>
            <w:tcW w:w="0" w:type="dxa"/>
            <w:vAlign w:val="bottom"/>
          </w:tcPr>
          <w:p>
            <w:pPr>
              <w:spacing w:after="0"/>
              <w:rPr>
                <w:sz w:val="1"/>
                <w:szCs w:val="1"/>
                <w:color w:val="auto"/>
              </w:rPr>
            </w:pPr>
          </w:p>
        </w:tc>
      </w:tr>
      <w:tr>
        <w:trPr>
          <w:trHeight w:val="136"/>
        </w:trPr>
        <w:tc>
          <w:tcPr>
            <w:tcW w:w="36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1060" w:type="dxa"/>
            <w:vAlign w:val="bottom"/>
            <w:tcBorders>
              <w:top w:val="single" w:sz="8" w:color="auto"/>
            </w:tcBorders>
          </w:tcPr>
          <w:p>
            <w:pPr>
              <w:spacing w:after="0"/>
              <w:rPr>
                <w:sz w:val="5"/>
                <w:szCs w:val="5"/>
                <w:color w:val="auto"/>
              </w:rPr>
            </w:pPr>
          </w:p>
        </w:tc>
        <w:tc>
          <w:tcPr>
            <w:tcW w:w="2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6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42,993</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47,461</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(4,468)</w:t>
            </w: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(29,044)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7"/>
                <w:szCs w:val="17"/>
                <w:color w:val="auto"/>
              </w:rPr>
              <w:t>(33,512)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4,468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Topic 606 is principles-based and provides a five-step model to determine when and how revenue is recognized. The core principle is that an entity should recognize revenue when it transfers promised goods or services to customers in an amount that reflects the consideration to which the entity expects to be entitled in exchange for those goods or services.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36"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Sales and usage-based taxes are excluded from revenues. Other than the revenue recognized under the distribution agreement disclosed below, all but an immaterial amount of the Company’s revenue is recognized at a point in time.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Formation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accounts for a contract with a customer when there is a legally enforceable contract between the Company and the customer, the rights of the parties are identified, the contract has commercial substance, and collectability of the contract consideration is probable. For all sales, the Company uses either a signed agreement or a binding purchase order as evidence of an arrangement.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Obligations</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unit of account for Topic 606 is the performance obligation. A performance obligation is a promise in a contract to transfer a distinct good or service to the customer or a series of distinct goods or services that are substantially the same and have the same pattern of transfer. A contract’s transaction price is allocated to each performance obligation and recognized as revenue when, or as, the performance obligation is satisfied. The majority of the Company’s contracts are comprised of the following performance obligations:</w:t>
      </w:r>
    </w:p>
    <w:p>
      <w:pPr>
        <w:spacing w:after="0" w:line="84" w:lineRule="exact"/>
        <w:rPr>
          <w:sz w:val="20"/>
          <w:szCs w:val="20"/>
          <w:color w:val="auto"/>
        </w:rPr>
      </w:pPr>
    </w:p>
    <w:p>
      <w:pPr>
        <w:ind w:left="1000" w:right="260" w:hanging="371"/>
        <w:spacing w:after="0" w:line="323" w:lineRule="auto"/>
        <w:tabs>
          <w:tab w:leader="none" w:pos="10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NeuroStar TMS Therapy System (the “System”) which includes a chair, an electromagnet coil, a monitoring console and accessories. The various components are inputs that function together to deliver a combined output and together form one performance obligation (a NeuroStar Advanced Therapy System). Revenues from the sale of the System are satisfied at the point-in-time when delivered to the customer’s premises.</w:t>
      </w:r>
    </w:p>
    <w:p>
      <w:pPr>
        <w:spacing w:after="0" w:line="45" w:lineRule="exact"/>
        <w:rPr>
          <w:rFonts w:ascii="Arial" w:cs="Arial" w:eastAsia="Arial" w:hAnsi="Arial"/>
          <w:sz w:val="15"/>
          <w:szCs w:val="15"/>
          <w:color w:val="auto"/>
        </w:rPr>
      </w:pPr>
    </w:p>
    <w:p>
      <w:pPr>
        <w:ind w:left="1000" w:right="40" w:hanging="371"/>
        <w:spacing w:after="0" w:line="266"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NeuroStar Treatment Session (the “Treatment Session”) is a single use consumable that is delivered via an encrypted activation code and is required in order for a clinician to perform trans-cranial magnetic stimulation (“TMS”) therapy. Revenues from the sale of the Treatment Sessions are satisfied at the point-in-time when delivered to the customer. The Company determined that sales of Treatment Sessions are not part of the enforceable rights and obligations of the System sales, except when sold with System sales.</w:t>
      </w:r>
    </w:p>
    <w:p>
      <w:pPr>
        <w:spacing w:after="0" w:line="84" w:lineRule="exact"/>
        <w:rPr>
          <w:rFonts w:ascii="Arial" w:cs="Arial" w:eastAsia="Arial" w:hAnsi="Arial"/>
          <w:sz w:val="17"/>
          <w:szCs w:val="17"/>
          <w:color w:val="auto"/>
        </w:rPr>
      </w:pPr>
    </w:p>
    <w:p>
      <w:pPr>
        <w:ind w:left="1000" w:right="360" w:hanging="371"/>
        <w:spacing w:after="0" w:line="357" w:lineRule="auto"/>
        <w:tabs>
          <w:tab w:leader="none" w:pos="10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Separately priced extended warranties and when-and-if-available upgrade rights are considered service-type warranties. Warranty services are considered stand-ready obligations satisfied over-time and recognized using a straight-line time-based measurement toward completion.</w:t>
      </w:r>
    </w:p>
    <w:p>
      <w:pPr>
        <w:spacing w:after="0" w:line="20" w:lineRule="exact"/>
        <w:rPr>
          <w:rFonts w:ascii="Arial" w:cs="Arial" w:eastAsia="Arial" w:hAnsi="Arial"/>
          <w:sz w:val="15"/>
          <w:szCs w:val="15"/>
          <w:color w:val="auto"/>
        </w:rPr>
      </w:pPr>
    </w:p>
    <w:p>
      <w:pPr>
        <w:ind w:left="1000" w:hanging="371"/>
        <w:spacing w:after="0" w:line="266"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System clinical and reimbursement training enable the clinician to provide patient treatment. The trainings are not required in order to operate the System but are required in order to receive a certification from the Company and accordingly are not essential to the functionality of other performance obligations. Training services are recognized at a point-in-time when training is complete, typically simultaneous to or near the time of delivery of the System.</w:t>
      </w:r>
    </w:p>
    <w:p>
      <w:pPr>
        <w:spacing w:after="0" w:line="20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the Company has determined that there are various perfunctory deliverables such as installation of the System, the technical support hotline and marketing materials which the Company does not separately recognize as revenue nor does the Company accrue the estimated cost of providing these goods and services because they are not material. The Company provides a two-year warranty on all new System sales which were determined to be assurance-type warranties and thus not considered a separate performance obligation. The Company accrues the cost of providing these warranties.</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There is no right of return or refund for any of the Company’s products or services and the Company has elected to treat shipping and handling as a fulfillment activity and expenses the costs as incurred.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Rent-to-Own</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The System is typically purchased but the Company does offer certain customers the option to lease instead. The Company accounts for these leases under Topic 842, </w:t>
      </w:r>
      <w:r>
        <w:rPr>
          <w:rFonts w:ascii="Arial" w:cs="Arial" w:eastAsia="Arial" w:hAnsi="Arial"/>
          <w:sz w:val="17"/>
          <w:szCs w:val="17"/>
          <w:i w:val="1"/>
          <w:iCs w:val="1"/>
          <w:color w:val="auto"/>
        </w:rPr>
        <w:t>Leases</w:t>
      </w:r>
      <w:r>
        <w:rPr>
          <w:rFonts w:ascii="Arial" w:cs="Arial" w:eastAsia="Arial" w:hAnsi="Arial"/>
          <w:sz w:val="17"/>
          <w:szCs w:val="17"/>
          <w:color w:val="auto"/>
        </w:rPr>
        <w:t>. Under Topic 842 the leases are typically accounted for as a sales-type lease which results in the derecognition of the underlying asset, the recognition of profit or loss on the sale, and the recognition of an investment in sales-type lease. The investment is periodically increased for interest earned and reduced as lease payments are received.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 Agreement</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has an exclusive distribution agreement that began in October 2017 with a foreign entity for a period of 7 ½ years with two 2 year renewal options. As consideration for the right to be the sole distributor of the Company’s products and use of the Company’s intellectual property in the foreign territory, the distributor is required to make certain fixed milestone payments upon contract execution and regulatory approval. In addition, the distributor is required to make variable milestone payments depending upon regulatory reimbursement rates. Furthermore, the distributor is required to make certain minimum purchases based upon sales history and forecasts subject to a ceiling and floor. The Company assessed the potential performance obligations in this contract and concluded that the contract contained the following performance obligations:</w:t>
      </w:r>
    </w:p>
    <w:p>
      <w:pPr>
        <w:spacing w:after="0" w:line="87" w:lineRule="exact"/>
        <w:rPr>
          <w:sz w:val="20"/>
          <w:szCs w:val="20"/>
          <w:color w:val="auto"/>
        </w:rPr>
      </w:pPr>
    </w:p>
    <w:p>
      <w:pPr>
        <w:ind w:left="1000" w:hanging="371"/>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Exclusive distribution and intellectual property license</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NeuroStar TMS Therapy System (the “System”)</w:t>
      </w:r>
    </w:p>
    <w:p>
      <w:pPr>
        <w:spacing w:after="0" w:line="117" w:lineRule="exact"/>
        <w:rPr>
          <w:rFonts w:ascii="Arial" w:cs="Arial" w:eastAsia="Arial" w:hAnsi="Arial"/>
          <w:sz w:val="17"/>
          <w:szCs w:val="17"/>
          <w:color w:val="auto"/>
        </w:rPr>
      </w:pPr>
    </w:p>
    <w:p>
      <w:pPr>
        <w:ind w:left="1000" w:hanging="371"/>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NeuroStar Treatment Session (the “Treatment Session”)</w:t>
      </w:r>
    </w:p>
    <w:p>
      <w:pPr>
        <w:spacing w:after="0" w:line="24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distribution agreement contains pricing for the Company’s products and services. The contractual purchase prices were determined to be at the standalone selling prices based on the expected sales volumes of this customer type and thus the Company concluded that this agreement did not contain a separate performance obligation for the material right to discounted Systems and Treatments Sessions. The Company allocated the transaction price through a combination of the cost plus a margin approach and the residual method. For the System and Treatment Sessions the Company maximized the use of observable inputs by beginning with average historical contractual selling prices and adjusting on a consistent and rational basis for pricing trends, the customer type and expected sales volumes and the Company’s changing cost and margins. Since it was determined that the contractual selling prices for the Company’s products and services in the distribution agreement were at the standalone selling prices, the residual consideration which is made up of the fixed and variable milestone payments was allocated to the exclusive distribution and intellectual property license. The exclusive distribution and intellectual property rights were determined to be symbolic IP and thus recognized over time. The System and Treatment Sessions were determined to be performance obligations recognized at a point in time when delivered to the distributor.</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Estimates</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Payment terms typically require payment upon shipment of the System and additional payments as access codes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contract liabilities. Changes in the contract asset and liability balances during the years ended December 31, 2020 and 2019 were not materially impacted by any other factors.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jc w:val="center"/>
        <w:ind w:right="-13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expects to recognize approximately the following percentages of deferred revenue by year:</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vMerge w:val="restart"/>
          </w:tcPr>
          <w:p>
            <w:pPr>
              <w:spacing w:after="0"/>
              <w:rPr>
                <w:sz w:val="14"/>
                <w:szCs w:val="14"/>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66"/>
        </w:trPr>
        <w:tc>
          <w:tcPr>
            <w:tcW w:w="80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Recognition</w:t>
            </w: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06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1"/>
        </w:trPr>
        <w:tc>
          <w:tcPr>
            <w:tcW w:w="8060" w:type="dxa"/>
            <w:vAlign w:val="bottom"/>
          </w:tcPr>
          <w:p>
            <w:pPr>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1"/>
        </w:trPr>
        <w:tc>
          <w:tcPr>
            <w:tcW w:w="806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1"/>
        </w:trPr>
        <w:tc>
          <w:tcPr>
            <w:tcW w:w="8060" w:type="dxa"/>
            <w:vAlign w:val="bottom"/>
          </w:tcPr>
          <w:p>
            <w:pPr>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1"/>
        </w:trPr>
        <w:tc>
          <w:tcPr>
            <w:tcW w:w="806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Thereafter</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6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Total</w:t>
            </w: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80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color w:val="auto"/>
        </w:rPr>
        <w:t>Revenue recognized for the years ended December 31, 2020 and 2019 that was included in the contract liability balance at the beginning of the year was $2.0 million and $2.2 million, respectively, and primarily represented revenue earned from separately priced extended warranties, rent-to-own revenue, milestone revenue, and clinical training.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Customers</w:t>
      </w:r>
    </w:p>
    <w:p>
      <w:pPr>
        <w:spacing w:after="0" w:line="11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One customer accounted for more than 10% of our revenues for the year ended December 31, 2020 and no customer accounted for more than 10% of our revenues for the year ended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123"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Research and development activities are expensed as incurred. Costs incurred in obtaining technology licenses are charged immediately to research and development expense if the technology licensed has not reached technological feasibility and has no alternative future uses.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recognizes the grant-date fair value of share-based awards issued as compensation as expense on a straight-line basis over the requisite service period, which is generally the vesting period of the award. The fair value of restricted stock awards and restricted stock units is estimated at the time of grant, based on the grant date fair value of the Company’s common stock. The fair value of stock options is estimated at the time of grant using the Black-Scholes option pricing model, which requires the use of inputs and assumptions such as the fair value of the underlying common stock, exercise price of the option, expected term, risk-free interest rate, expected volatility and dividend yield, the most critical of which is the fair value of the Company’s common stock prior to the IPO.</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fair value of each grant of stock options awarded during the years ended December 31, 2020, 2019, and 2018 was determined using the following methods and assumptions:</w:t>
      </w:r>
    </w:p>
    <w:p>
      <w:pPr>
        <w:spacing w:after="0" w:line="55" w:lineRule="exact"/>
        <w:rPr>
          <w:sz w:val="20"/>
          <w:szCs w:val="20"/>
          <w:color w:val="auto"/>
        </w:rPr>
      </w:pPr>
    </w:p>
    <w:p>
      <w:pPr>
        <w:ind w:left="1000" w:right="120" w:hanging="371"/>
        <w:spacing w:after="0" w:line="306" w:lineRule="auto"/>
        <w:tabs>
          <w:tab w:leader="none" w:pos="1000" w:val="left"/>
        </w:tabs>
        <w:numPr>
          <w:ilvl w:val="0"/>
          <w:numId w:val="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Fair Value of Common Stock. </w:t>
      </w:r>
      <w:r>
        <w:rPr>
          <w:rFonts w:ascii="Arial" w:cs="Arial" w:eastAsia="Arial" w:hAnsi="Arial"/>
          <w:sz w:val="15"/>
          <w:szCs w:val="15"/>
          <w:color w:val="auto"/>
        </w:rPr>
        <w:t>Prior to the IPO, its board of directors periodically estimated the fair value of the Company’s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considering, among other things, contemporaneous valuations of its preferred and common stock prepared by an unrelated third-party valuation firm in accordance with the guidance provided by the American Institute of Certified Public Accountants 2013 Practice Aid, </w:t>
      </w:r>
      <w:r>
        <w:rPr>
          <w:rFonts w:ascii="Arial" w:cs="Arial" w:eastAsia="Arial" w:hAnsi="Arial"/>
          <w:sz w:val="15"/>
          <w:szCs w:val="15"/>
          <w:i w:val="1"/>
          <w:iCs w:val="1"/>
          <w:color w:val="auto"/>
        </w:rPr>
        <w:t>Valuation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Privately-Held-Company Equity Securities Issued as Compensation</w:t>
      </w:r>
      <w:r>
        <w:rPr>
          <w:rFonts w:ascii="Arial" w:cs="Arial" w:eastAsia="Arial" w:hAnsi="Arial"/>
          <w:sz w:val="15"/>
          <w:szCs w:val="15"/>
          <w:color w:val="auto"/>
        </w:rPr>
        <w:t>. Since the closing of the IPO, its board of directors has determined the per</w:t>
      </w:r>
      <w:r>
        <w:rPr>
          <w:rFonts w:ascii="Arial" w:cs="Arial" w:eastAsia="Arial" w:hAnsi="Arial"/>
          <w:sz w:val="15"/>
          <w:szCs w:val="15"/>
          <w:i w:val="1"/>
          <w:iCs w:val="1"/>
          <w:color w:val="auto"/>
        </w:rPr>
        <w:t xml:space="preserve"> </w:t>
      </w:r>
      <w:r>
        <w:rPr>
          <w:rFonts w:ascii="Arial" w:cs="Arial" w:eastAsia="Arial" w:hAnsi="Arial"/>
          <w:sz w:val="15"/>
          <w:szCs w:val="15"/>
          <w:color w:val="auto"/>
        </w:rPr>
        <w:t>share fair value of the Company’s common stock based on the closing price as reported by the Nasdaq Global Market on the date of grant.</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331" w:lineRule="exact"/>
        <w:rPr>
          <w:sz w:val="20"/>
          <w:szCs w:val="20"/>
          <w:color w:val="auto"/>
        </w:rPr>
      </w:pPr>
    </w:p>
    <w:p>
      <w:pPr>
        <w:ind w:left="1000" w:right="20" w:hanging="371"/>
        <w:spacing w:after="0" w:line="287"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Due to the historical lack of a public market for the trading of the Company’s common stock and the lack of sufficient company-specific historical data, the expected term of employee stock options is determined using the “simplified” method, as prescribed in SEC Staff Accounting Bulletin (SAB) No. 107 (SAB 107), whereby the expected life equals the arithmetic average of the vesting term and the original contractual term of the option. The expected term of nonemployee stock options is equal to the contractual term.</w:t>
      </w:r>
    </w:p>
    <w:p>
      <w:pPr>
        <w:spacing w:after="0" w:line="57" w:lineRule="exact"/>
        <w:rPr>
          <w:rFonts w:ascii="Arial" w:cs="Arial" w:eastAsia="Arial" w:hAnsi="Arial"/>
          <w:sz w:val="16"/>
          <w:szCs w:val="16"/>
          <w:color w:val="auto"/>
        </w:rPr>
      </w:pPr>
    </w:p>
    <w:p>
      <w:pPr>
        <w:ind w:left="1000" w:hanging="371"/>
        <w:spacing w:after="0" w:line="286"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The risk-free interest rate is based on the interest rate payable on United States Treasury securities in effect at the time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 for a period that is commensurate with the assumed expected term.</w:t>
      </w:r>
    </w:p>
    <w:p>
      <w:pPr>
        <w:spacing w:after="0" w:line="55" w:lineRule="exact"/>
        <w:rPr>
          <w:rFonts w:ascii="Arial" w:cs="Arial" w:eastAsia="Arial" w:hAnsi="Arial"/>
          <w:sz w:val="17"/>
          <w:szCs w:val="17"/>
          <w:color w:val="auto"/>
        </w:rPr>
      </w:pPr>
    </w:p>
    <w:p>
      <w:pPr>
        <w:ind w:left="1000" w:right="460" w:hanging="371"/>
        <w:spacing w:after="0" w:line="286"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The expected volatility is based on historical volatilities of peer companies within the Company’s industry which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commensurate with the expected term assumption, as described in SAB 107.</w:t>
      </w:r>
    </w:p>
    <w:p>
      <w:pPr>
        <w:spacing w:after="0" w:line="55" w:lineRule="exact"/>
        <w:rPr>
          <w:rFonts w:ascii="Arial" w:cs="Arial" w:eastAsia="Arial" w:hAnsi="Arial"/>
          <w:sz w:val="17"/>
          <w:szCs w:val="17"/>
          <w:color w:val="auto"/>
        </w:rPr>
      </w:pPr>
    </w:p>
    <w:p>
      <w:pPr>
        <w:ind w:left="1000" w:right="80" w:hanging="371"/>
        <w:spacing w:after="0" w:line="286"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Dividend Yield. </w:t>
      </w:r>
      <w:r>
        <w:rPr>
          <w:rFonts w:ascii="Arial" w:cs="Arial" w:eastAsia="Arial" w:hAnsi="Arial"/>
          <w:sz w:val="17"/>
          <w:szCs w:val="17"/>
          <w:color w:val="auto"/>
        </w:rPr>
        <w:t>The dividend yield is 0% because the Company has never paid, and for the foreseeable future does not expect to pay, a dividend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its common stock.</w:t>
      </w:r>
    </w:p>
    <w:p>
      <w:pPr>
        <w:spacing w:after="0" w:line="159" w:lineRule="exact"/>
        <w:rPr>
          <w:sz w:val="20"/>
          <w:szCs w:val="20"/>
          <w:color w:val="auto"/>
        </w:rPr>
      </w:pPr>
    </w:p>
    <w:p>
      <w:pPr>
        <w:jc w:val="both"/>
        <w:ind w:right="740"/>
        <w:spacing w:after="0" w:line="271" w:lineRule="auto"/>
        <w:rPr>
          <w:sz w:val="20"/>
          <w:szCs w:val="20"/>
          <w:color w:val="auto"/>
        </w:rPr>
      </w:pPr>
      <w:r>
        <w:rPr>
          <w:rFonts w:ascii="Arial" w:cs="Arial" w:eastAsia="Arial" w:hAnsi="Arial"/>
          <w:sz w:val="17"/>
          <w:szCs w:val="17"/>
          <w:color w:val="auto"/>
        </w:rPr>
        <w:t>The inputs and assumptions used to estimate the fair value of share-based payment awards represent management’s best estimates and involve inherent uncertainties and the application of management’s judgment. As a result, if factors change and management uses different inputs and assumptions, the Company’s share-based compensation expense could be materially different for future awards.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A valuation allowance is recorded to the extent it is more likely than not that some portion or all of the deferred tax assets will not be realized.</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Unrecognized income tax benefits represent income tax positions taken on income tax returns that have not been recognized in the financial statements. The Company recognizes the benefit of an income tax position only if it is more likely than not (greater than 50%) that the tax position will be sustained upon tax examination, based solely on the technical merits of the tax position. Otherwise, no benefit is recognized. The tax benefits recognized are measured based on the largest benefit that has a greater than 50% likelihood of being realized upon ultimate settlement. The Company accrues interest and related penalties are classified as income tax expense in the statements of operations. The Company does not anticipate significant changes in the amount of unrecognized income tax benefits over the next year.</w:t>
      </w:r>
    </w:p>
    <w:p>
      <w:pPr>
        <w:spacing w:after="0" w:line="273" w:lineRule="exact"/>
        <w:rPr>
          <w:sz w:val="20"/>
          <w:szCs w:val="20"/>
          <w:color w:val="auto"/>
        </w:rPr>
      </w:pPr>
    </w:p>
    <w:p>
      <w:pPr>
        <w:ind w:left="380" w:hanging="376"/>
        <w:spacing w:after="0"/>
        <w:tabs>
          <w:tab w:leader="none" w:pos="38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RECENT ACCOUNTING PRONOUNCEMENTS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 Recently Adopted by the Company</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2018-15, 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(and hosting arrangements that include an internal use software license).</w:t>
      </w:r>
    </w:p>
    <w:p>
      <w:pPr>
        <w:spacing w:after="0" w:line="17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ASU 2018-15 is effective for fiscal years beginning after December 15, 2019 and interim periods within those fiscal years. The amendments in ASU 2018-15 should be applied either retrospectively or prospectively to all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implementation costs incurred after the date of adoption. The Company adopted this standard on a prospective basis, effective January 1, 2020.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 Not Yet Adopted by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June 2016, the FASB issued </w:t>
      </w:r>
      <w:r>
        <w:rPr>
          <w:rFonts w:ascii="Arial" w:cs="Arial" w:eastAsia="Arial" w:hAnsi="Arial"/>
          <w:sz w:val="16"/>
          <w:szCs w:val="16"/>
          <w:i w:val="1"/>
          <w:iCs w:val="1"/>
          <w:color w:val="auto"/>
        </w:rPr>
        <w:t>ASU 2016-13, Financial Instruments - Credit Losses (Topic 326): Measurement of Credit Losses on Financial Instruments</w:t>
      </w:r>
    </w:p>
    <w:p>
      <w:pPr>
        <w:spacing w:after="0" w:line="3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“Topic 326”</w:t>
      </w:r>
      <w:r>
        <w:rPr>
          <w:rFonts w:ascii="Arial" w:cs="Arial" w:eastAsia="Arial" w:hAnsi="Arial"/>
          <w:sz w:val="17"/>
          <w:szCs w:val="17"/>
          <w:color w:val="auto"/>
        </w:rPr>
        <w:t xml:space="preserve">). This ASU provides guidance for recognizing credit losses on financial instruments based on an estimate of current expected credit losses model. The FASB subsequently issued </w:t>
      </w:r>
      <w:r>
        <w:rPr>
          <w:rFonts w:ascii="Arial" w:cs="Arial" w:eastAsia="Arial" w:hAnsi="Arial"/>
          <w:sz w:val="17"/>
          <w:szCs w:val="17"/>
          <w:i w:val="1"/>
          <w:iCs w:val="1"/>
          <w:color w:val="auto"/>
        </w:rPr>
        <w:t>ASU 2019-04, Codification Improvements to Topic 326, Financial Instruments - Credit Losses, Topic 815,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w:t>
      </w:r>
      <w:r>
        <w:rPr>
          <w:rFonts w:ascii="Arial" w:cs="Arial" w:eastAsia="Arial" w:hAnsi="Arial"/>
          <w:sz w:val="17"/>
          <w:szCs w:val="17"/>
          <w:color w:val="auto"/>
        </w:rPr>
        <w:t>, and</w:t>
      </w:r>
      <w:r>
        <w:rPr>
          <w:rFonts w:ascii="Arial" w:cs="Arial" w:eastAsia="Arial" w:hAnsi="Arial"/>
          <w:sz w:val="17"/>
          <w:szCs w:val="17"/>
          <w:i w:val="1"/>
          <w:iCs w:val="1"/>
          <w:color w:val="auto"/>
        </w:rPr>
        <w:t xml:space="preserve"> Topic 825, Financial Instruments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ASU 2019-11</w:t>
      </w:r>
      <w:r>
        <w:rPr>
          <w:rFonts w:ascii="Arial" w:cs="Arial" w:eastAsia="Arial" w:hAnsi="Arial"/>
          <w:sz w:val="17"/>
          <w:szCs w:val="17"/>
          <w:color w:val="auto"/>
        </w:rPr>
        <w:t>,</w:t>
      </w:r>
      <w:r>
        <w:rPr>
          <w:rFonts w:ascii="Arial" w:cs="Arial" w:eastAsia="Arial" w:hAnsi="Arial"/>
          <w:sz w:val="17"/>
          <w:szCs w:val="17"/>
          <w:i w:val="1"/>
          <w:iCs w:val="1"/>
          <w:color w:val="auto"/>
        </w:rPr>
        <w:t xml:space="preserve"> Codification Improvements to Topic 326</w:t>
      </w:r>
      <w:r>
        <w:rPr>
          <w:rFonts w:ascii="Arial" w:cs="Arial" w:eastAsia="Arial" w:hAnsi="Arial"/>
          <w:sz w:val="17"/>
          <w:szCs w:val="17"/>
          <w:color w:val="auto"/>
        </w:rPr>
        <w:t>,</w:t>
      </w:r>
      <w:r>
        <w:rPr>
          <w:rFonts w:ascii="Arial" w:cs="Arial" w:eastAsia="Arial" w:hAnsi="Arial"/>
          <w:sz w:val="17"/>
          <w:szCs w:val="17"/>
          <w:i w:val="1"/>
          <w:iCs w:val="1"/>
          <w:color w:val="auto"/>
        </w:rPr>
        <w:t xml:space="preserve"> Financial Instruments - Credit Losses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clarify and address certain items related to the amendments in Topic 326.</w:t>
      </w:r>
    </w:p>
    <w:p>
      <w:pPr>
        <w:spacing w:after="0" w:line="179" w:lineRule="exact"/>
        <w:rPr>
          <w:sz w:val="20"/>
          <w:szCs w:val="20"/>
          <w:color w:val="auto"/>
        </w:rPr>
      </w:pPr>
    </w:p>
    <w:p>
      <w:pPr>
        <w:jc w:val="both"/>
        <w:ind w:right="120"/>
        <w:spacing w:after="0" w:line="323" w:lineRule="auto"/>
        <w:rPr>
          <w:sz w:val="20"/>
          <w:szCs w:val="20"/>
          <w:color w:val="auto"/>
        </w:rPr>
      </w:pPr>
      <w:r>
        <w:rPr>
          <w:rFonts w:ascii="Arial" w:cs="Arial" w:eastAsia="Arial" w:hAnsi="Arial"/>
          <w:sz w:val="15"/>
          <w:szCs w:val="15"/>
          <w:i w:val="1"/>
          <w:iCs w:val="1"/>
          <w:color w:val="auto"/>
        </w:rPr>
        <w:t>ASU 2019-05, Financial Instruments - Credit Losses (Topic 326)</w:t>
      </w:r>
      <w:r>
        <w:rPr>
          <w:rFonts w:ascii="Arial" w:cs="Arial" w:eastAsia="Arial" w:hAnsi="Arial"/>
          <w:sz w:val="15"/>
          <w:szCs w:val="15"/>
          <w:color w:val="auto"/>
        </w:rPr>
        <w:t>:</w:t>
      </w:r>
      <w:r>
        <w:rPr>
          <w:rFonts w:ascii="Arial" w:cs="Arial" w:eastAsia="Arial" w:hAnsi="Arial"/>
          <w:sz w:val="15"/>
          <w:szCs w:val="15"/>
          <w:i w:val="1"/>
          <w:iCs w:val="1"/>
          <w:color w:val="auto"/>
        </w:rPr>
        <w:t xml:space="preserve"> Targeted Transition Relief</w:t>
      </w:r>
      <w:r>
        <w:rPr>
          <w:rFonts w:ascii="Arial" w:cs="Arial" w:eastAsia="Arial" w:hAnsi="Arial"/>
          <w:sz w:val="15"/>
          <w:szCs w:val="15"/>
          <w:color w:val="auto"/>
        </w:rPr>
        <w:t>, was issued to provide entities that have certain instruments within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scope of ASC 326 with an option to irrevocably elect the fair value option under </w:t>
      </w:r>
      <w:r>
        <w:rPr>
          <w:rFonts w:ascii="Arial" w:cs="Arial" w:eastAsia="Arial" w:hAnsi="Arial"/>
          <w:sz w:val="15"/>
          <w:szCs w:val="15"/>
          <w:i w:val="1"/>
          <w:iCs w:val="1"/>
          <w:color w:val="auto"/>
        </w:rPr>
        <w:t>ASC 825-10, Financial Instruments - Overall</w:t>
      </w:r>
      <w:r>
        <w:rPr>
          <w:rFonts w:ascii="Arial" w:cs="Arial" w:eastAsia="Arial" w:hAnsi="Arial"/>
          <w:sz w:val="15"/>
          <w:szCs w:val="15"/>
          <w:color w:val="auto"/>
        </w:rPr>
        <w:t>, applied on an instrument-by-instrument basis for eligible instruments. ASU 2019-10, Topic 326, Topic 815, and Topic 842 amends the mandatory effective date for Topic 326.</w:t>
      </w:r>
    </w:p>
    <w:p>
      <w:pPr>
        <w:spacing w:after="0" w:line="13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i w:val="1"/>
          <w:iCs w:val="1"/>
          <w:color w:val="auto"/>
        </w:rPr>
        <w:t xml:space="preserve">ASU 2019-05 </w:t>
      </w:r>
      <w:r>
        <w:rPr>
          <w:rFonts w:ascii="Arial" w:cs="Arial" w:eastAsia="Arial" w:hAnsi="Arial"/>
          <w:sz w:val="17"/>
          <w:szCs w:val="17"/>
          <w:color w:val="auto"/>
        </w:rPr>
        <w:t>is effective for fiscal years beginning after December 15, 2022 for entities that are eligible to be defined by the SEC as a smaller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The Company is a smaller reporting company. Although the impact upon adoption will depend on the financial instruments held by the Company at that time, the Company does not anticipate a significant impact on its financial statements based on the instruments currently held and its historical trend of bad debt expense relating to trade accounts receivable.</w:t>
      </w:r>
    </w:p>
    <w:p>
      <w:pPr>
        <w:spacing w:after="0" w:line="274" w:lineRule="exact"/>
        <w:rPr>
          <w:sz w:val="20"/>
          <w:szCs w:val="20"/>
          <w:color w:val="auto"/>
        </w:rPr>
      </w:pPr>
    </w:p>
    <w:p>
      <w:pPr>
        <w:ind w:left="380" w:hanging="376"/>
        <w:spacing w:after="0"/>
        <w:tabs>
          <w:tab w:leader="none" w:pos="38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AND FINANCIAL INSTRUMENTS</w:t>
      </w:r>
    </w:p>
    <w:p>
      <w:pPr>
        <w:spacing w:after="0" w:line="123"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color w:val="auto"/>
        </w:rPr>
        <w:t>The carrying values of cash equivalents, accounts receivable, prepaids and other current assets, and accounts payable on the Company’s balance sheets approximated their fair values as of December 31, 2020 and 2019 due to their short-term nature. The carrying values of the Company’s current credit facility approximated its fair value as of December 31, 2020 and 2019 due to its variable interest rate.</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Inputs are quoted prices for identical instruments in active markets.</w:t>
      </w:r>
    </w:p>
    <w:p>
      <w:pPr>
        <w:spacing w:after="0" w:line="130" w:lineRule="exact"/>
        <w:rPr>
          <w:sz w:val="20"/>
          <w:szCs w:val="20"/>
          <w:color w:val="auto"/>
        </w:rPr>
      </w:pPr>
    </w:p>
    <w:p>
      <w:pPr>
        <w:ind w:left="920" w:right="40" w:hanging="911"/>
        <w:spacing w:after="0" w:line="286" w:lineRule="auto"/>
        <w:tabs>
          <w:tab w:leader="none" w:pos="900" w:val="left"/>
        </w:tabs>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6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Inputs are unobservable and reflect the Company’s own assumptions, based on the best information available, including the Company’s own data.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carrying amounts and fair values of the Company’s financial instruments as December 31, 2020 and 2019 of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26"/>
              <w:spacing w:after="0"/>
              <w:rPr>
                <w:sz w:val="20"/>
                <w:szCs w:val="20"/>
                <w:color w:val="auto"/>
              </w:rPr>
            </w:pPr>
            <w:r>
              <w:rPr>
                <w:rFonts w:ascii="Arial" w:cs="Arial" w:eastAsia="Arial" w:hAnsi="Arial"/>
                <w:sz w:val="14"/>
                <w:szCs w:val="14"/>
                <w:b w:val="1"/>
                <w:bCs w:val="1"/>
                <w:color w:val="auto"/>
                <w:w w:val="87"/>
              </w:rPr>
              <w:t>December 31,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8"/>
          </w:tcPr>
          <w:p>
            <w:pPr>
              <w:jc w:val="center"/>
              <w:ind w:right="89"/>
              <w:spacing w:after="0" w:line="149" w:lineRule="exact"/>
              <w:rPr>
                <w:sz w:val="20"/>
                <w:szCs w:val="20"/>
                <w:color w:val="auto"/>
              </w:rPr>
            </w:pPr>
            <w:r>
              <w:rPr>
                <w:rFonts w:ascii="Arial" w:cs="Arial" w:eastAsia="Arial" w:hAnsi="Arial"/>
                <w:sz w:val="14"/>
                <w:szCs w:val="14"/>
                <w:b w:val="1"/>
                <w:bCs w:val="1"/>
                <w:color w:val="auto"/>
                <w:w w:val="89"/>
              </w:rPr>
              <w:t>Fair Value Measurement Based 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89"/>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89"/>
              </w:rPr>
              <w:t>Significant</w:t>
            </w:r>
          </w:p>
        </w:tc>
        <w:tc>
          <w:tcPr>
            <w:tcW w:w="8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9"/>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4"/>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62"/>
        </w:trPr>
        <w:tc>
          <w:tcPr>
            <w:tcW w:w="5220" w:type="dxa"/>
            <w:vAlign w:val="bottom"/>
            <w:tcBorders>
              <w:top w:val="single" w:sz="8" w:color="CFF0FC"/>
            </w:tcBorders>
            <w:gridSpan w:val="2"/>
            <w:shd w:val="clear" w:color="auto" w:fill="CFF0FC"/>
          </w:tcPr>
          <w:p>
            <w:pPr>
              <w:spacing w:after="0" w:line="162"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20" w:type="dxa"/>
            <w:vAlign w:val="bottom"/>
            <w:shd w:val="clear" w:color="auto" w:fill="000000"/>
          </w:tcPr>
          <w:p>
            <w:pPr>
              <w:spacing w:after="0"/>
              <w:rPr>
                <w:sz w:val="3"/>
                <w:szCs w:val="3"/>
                <w:color w:val="auto"/>
              </w:rPr>
            </w:pPr>
          </w:p>
        </w:tc>
        <w:tc>
          <w:tcPr>
            <w:tcW w:w="48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5220" w:type="dxa"/>
            <w:vAlign w:val="bottom"/>
            <w:gridSpan w:val="2"/>
          </w:tcPr>
          <w:p>
            <w:pPr>
              <w:spacing w:after="0"/>
              <w:rPr>
                <w:sz w:val="20"/>
                <w:szCs w:val="20"/>
                <w:color w:val="auto"/>
              </w:rPr>
            </w:pPr>
            <w:r>
              <w:rPr>
                <w:rFonts w:ascii="Arial" w:cs="Arial" w:eastAsia="Arial" w:hAnsi="Arial"/>
                <w:sz w:val="16"/>
                <w:szCs w:val="16"/>
                <w:color w:val="auto"/>
              </w:rPr>
              <w:t>Money market funds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8"/>
              <w:spacing w:after="0"/>
              <w:rPr>
                <w:sz w:val="20"/>
                <w:szCs w:val="20"/>
                <w:color w:val="auto"/>
              </w:rPr>
            </w:pPr>
            <w:r>
              <w:rPr>
                <w:rFonts w:ascii="Arial" w:cs="Arial" w:eastAsia="Arial" w:hAnsi="Arial"/>
                <w:sz w:val="16"/>
                <w:szCs w:val="16"/>
                <w:color w:val="auto"/>
              </w:rPr>
              <w:t>47,117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47,117</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47,117</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26"/>
              <w:spacing w:after="0"/>
              <w:rPr>
                <w:sz w:val="20"/>
                <w:szCs w:val="20"/>
                <w:color w:val="auto"/>
              </w:rPr>
            </w:pPr>
            <w:r>
              <w:rPr>
                <w:rFonts w:ascii="Arial" w:cs="Arial" w:eastAsia="Arial" w:hAnsi="Arial"/>
                <w:sz w:val="14"/>
                <w:szCs w:val="14"/>
                <w:b w:val="1"/>
                <w:bCs w:val="1"/>
                <w:color w:val="auto"/>
                <w:w w:val="87"/>
              </w:rPr>
              <w:t>December 31,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8"/>
          </w:tcPr>
          <w:p>
            <w:pPr>
              <w:jc w:val="center"/>
              <w:ind w:right="89"/>
              <w:spacing w:after="0" w:line="149" w:lineRule="exact"/>
              <w:rPr>
                <w:sz w:val="20"/>
                <w:szCs w:val="20"/>
                <w:color w:val="auto"/>
              </w:rPr>
            </w:pPr>
            <w:r>
              <w:rPr>
                <w:rFonts w:ascii="Arial" w:cs="Arial" w:eastAsia="Arial" w:hAnsi="Arial"/>
                <w:sz w:val="14"/>
                <w:szCs w:val="14"/>
                <w:b w:val="1"/>
                <w:bCs w:val="1"/>
                <w:color w:val="auto"/>
                <w:w w:val="89"/>
              </w:rPr>
              <w:t>Fair Value Measurement Based 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89"/>
              </w:rPr>
              <w:t>Quoted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89"/>
              </w:rPr>
              <w:t>Significant</w:t>
            </w:r>
          </w:p>
        </w:tc>
        <w:tc>
          <w:tcPr>
            <w:tcW w:w="80" w:type="dxa"/>
            <w:vAlign w:val="bottom"/>
          </w:tcPr>
          <w:p>
            <w:pPr>
              <w:spacing w:after="0"/>
              <w:rPr>
                <w:sz w:val="11"/>
                <w:szCs w:val="11"/>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9"/>
              </w:rPr>
              <w:t>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Carrying</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0"/>
              </w:rPr>
              <w:t>Active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4"/>
              </w:rPr>
              <w:t>Markets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6"/>
        </w:trPr>
        <w:tc>
          <w:tcPr>
            <w:tcW w:w="4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62"/>
        </w:trPr>
        <w:tc>
          <w:tcPr>
            <w:tcW w:w="5220" w:type="dxa"/>
            <w:vAlign w:val="bottom"/>
            <w:tcBorders>
              <w:top w:val="single" w:sz="8" w:color="CFF0FC"/>
            </w:tcBorders>
            <w:gridSpan w:val="2"/>
            <w:shd w:val="clear" w:color="auto" w:fill="CFF0FC"/>
          </w:tcPr>
          <w:p>
            <w:pPr>
              <w:spacing w:after="0" w:line="162"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20" w:type="dxa"/>
            <w:vAlign w:val="bottom"/>
            <w:shd w:val="clear" w:color="auto" w:fill="000000"/>
          </w:tcPr>
          <w:p>
            <w:pPr>
              <w:spacing w:after="0"/>
              <w:rPr>
                <w:sz w:val="3"/>
                <w:szCs w:val="3"/>
                <w:color w:val="auto"/>
              </w:rPr>
            </w:pPr>
          </w:p>
        </w:tc>
        <w:tc>
          <w:tcPr>
            <w:tcW w:w="48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5220" w:type="dxa"/>
            <w:vAlign w:val="bottom"/>
            <w:gridSpan w:val="2"/>
          </w:tcPr>
          <w:p>
            <w:pPr>
              <w:spacing w:after="0"/>
              <w:rPr>
                <w:sz w:val="20"/>
                <w:szCs w:val="20"/>
                <w:color w:val="auto"/>
              </w:rPr>
            </w:pPr>
            <w:r>
              <w:rPr>
                <w:rFonts w:ascii="Arial" w:cs="Arial" w:eastAsia="Arial" w:hAnsi="Arial"/>
                <w:sz w:val="16"/>
                <w:szCs w:val="16"/>
                <w:color w:val="auto"/>
              </w:rPr>
              <w:t>Money market funds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67,650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67,650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67,650</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Pr>
          <w:p>
            <w:pPr>
              <w:spacing w:after="0"/>
              <w:rPr>
                <w:sz w:val="20"/>
                <w:szCs w:val="20"/>
                <w:color w:val="auto"/>
              </w:rPr>
            </w:pPr>
            <w:r>
              <w:rPr>
                <w:rFonts w:ascii="Arial" w:cs="Arial" w:eastAsia="Arial" w:hAnsi="Arial"/>
                <w:sz w:val="17"/>
                <w:szCs w:val="17"/>
                <w:b w:val="1"/>
                <w:bCs w:val="1"/>
                <w:color w:val="auto"/>
              </w:rPr>
              <w:t>6.</w:t>
            </w:r>
          </w:p>
        </w:tc>
        <w:tc>
          <w:tcPr>
            <w:tcW w:w="4740" w:type="dxa"/>
            <w:vAlign w:val="bottom"/>
            <w:gridSpan w:val="3"/>
          </w:tcPr>
          <w:p>
            <w:pPr>
              <w:jc w:val="right"/>
              <w:ind w:right="2402"/>
              <w:spacing w:after="0"/>
              <w:rPr>
                <w:sz w:val="20"/>
                <w:szCs w:val="20"/>
                <w:color w:val="auto"/>
              </w:rPr>
            </w:pPr>
            <w:r>
              <w:rPr>
                <w:rFonts w:ascii="Arial" w:cs="Arial" w:eastAsia="Arial" w:hAnsi="Arial"/>
                <w:sz w:val="17"/>
                <w:szCs w:val="17"/>
                <w:b w:val="1"/>
                <w:bCs w:val="1"/>
                <w:color w:val="auto"/>
              </w:rPr>
              <w:t>ACCOUNTS RECEIVABLE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9060" w:type="dxa"/>
            <w:vAlign w:val="bottom"/>
            <w:gridSpan w:val="14"/>
          </w:tcPr>
          <w:p>
            <w:pPr>
              <w:spacing w:after="0"/>
              <w:rPr>
                <w:sz w:val="20"/>
                <w:szCs w:val="20"/>
                <w:color w:val="auto"/>
              </w:rPr>
            </w:pPr>
            <w:r>
              <w:rPr>
                <w:rFonts w:ascii="Arial" w:cs="Arial" w:eastAsia="Arial" w:hAnsi="Arial"/>
                <w:sz w:val="17"/>
                <w:szCs w:val="17"/>
                <w:color w:val="auto"/>
                <w:w w:val="97"/>
              </w:rPr>
              <w:t>The following table presents the composition of accounts receivable, net as of December 31, 2020 and 2019 (in thousands):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30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9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6"/>
              <w:spacing w:after="0" w:line="149"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00" w:type="dxa"/>
            <w:vAlign w:val="bottom"/>
            <w:shd w:val="clear" w:color="auto" w:fill="CFF0FC"/>
          </w:tcPr>
          <w:p>
            <w:pPr>
              <w:jc w:val="right"/>
              <w:ind w:right="1162"/>
              <w:spacing w:after="0"/>
              <w:rPr>
                <w:sz w:val="20"/>
                <w:szCs w:val="20"/>
                <w:color w:val="auto"/>
              </w:rPr>
            </w:pPr>
            <w:r>
              <w:rPr>
                <w:rFonts w:ascii="Arial" w:cs="Arial" w:eastAsia="Arial" w:hAnsi="Arial"/>
                <w:sz w:val="16"/>
                <w:szCs w:val="16"/>
                <w:color w:val="auto"/>
                <w:w w:val="85"/>
              </w:rPr>
              <w:t>Gross accounts receivable - trade</w:t>
            </w: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8,178</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531"/>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4"/>
              </w:rPr>
              <w:t>7,117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
          </w:tcPr>
          <w:p>
            <w:pPr>
              <w:jc w:val="right"/>
              <w:ind w:right="742"/>
              <w:spacing w:after="0"/>
              <w:rPr>
                <w:sz w:val="20"/>
                <w:szCs w:val="20"/>
                <w:color w:val="auto"/>
              </w:rPr>
            </w:pPr>
            <w:r>
              <w:rPr>
                <w:rFonts w:ascii="Arial" w:cs="Arial" w:eastAsia="Arial" w:hAnsi="Arial"/>
                <w:sz w:val="16"/>
                <w:szCs w:val="16"/>
                <w:color w:val="auto"/>
              </w:rPr>
              <w:t>Less: Allowances for doubtful accounts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vMerge w:val="restart"/>
            <w:shd w:val="clear" w:color="auto" w:fill="CFF0FC"/>
          </w:tcPr>
          <w:p>
            <w:pPr>
              <w:jc w:val="right"/>
              <w:ind w:right="1462"/>
              <w:spacing w:after="0"/>
              <w:rPr>
                <w:sz w:val="20"/>
                <w:szCs w:val="20"/>
                <w:color w:val="auto"/>
              </w:rPr>
            </w:pPr>
            <w:r>
              <w:rPr>
                <w:rFonts w:ascii="Arial" w:cs="Arial" w:eastAsia="Arial" w:hAnsi="Arial"/>
                <w:sz w:val="16"/>
                <w:szCs w:val="16"/>
                <w:color w:val="auto"/>
                <w:w w:val="99"/>
              </w:rPr>
              <w:t>Accounts receivable, net</w:t>
            </w: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300" w:type="dxa"/>
            <w:vAlign w:val="bottom"/>
            <w:vMerge w:val="continue"/>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7,166</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531"/>
              <w:spacing w:after="0"/>
              <w:rPr>
                <w:sz w:val="20"/>
                <w:szCs w:val="20"/>
                <w:color w:val="auto"/>
              </w:rPr>
            </w:pPr>
            <w:r>
              <w:rPr>
                <w:rFonts w:ascii="Arial" w:cs="Arial" w:eastAsia="Arial" w:hAnsi="Arial"/>
                <w:sz w:val="16"/>
                <w:szCs w:val="16"/>
                <w:color w:val="auto"/>
              </w:rPr>
              <w:t>$</w:t>
            </w:r>
          </w:p>
        </w:tc>
        <w:tc>
          <w:tcPr>
            <w:tcW w:w="5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4"/>
              </w:rPr>
              <w:t>6,569</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80" w:type="dxa"/>
            <w:vAlign w:val="bottom"/>
            <w:gridSpan w:val="8"/>
            <w:vMerge w:val="restart"/>
          </w:tcPr>
          <w:p>
            <w:pPr>
              <w:spacing w:after="0"/>
              <w:rPr>
                <w:sz w:val="20"/>
                <w:szCs w:val="20"/>
                <w:color w:val="auto"/>
              </w:rPr>
            </w:pPr>
            <w:r>
              <w:rPr>
                <w:rFonts w:ascii="Arial" w:cs="Arial" w:eastAsia="Arial" w:hAnsi="Arial"/>
                <w:sz w:val="17"/>
                <w:szCs w:val="17"/>
                <w:color w:val="auto"/>
                <w:w w:val="98"/>
              </w:rPr>
              <w:t>The following table presents a rollforward of the allowance for doubtful accounts (in thousands):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708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Balance at</w:t>
            </w:r>
          </w:p>
        </w:tc>
        <w:tc>
          <w:tcPr>
            <w:tcW w:w="120" w:type="dxa"/>
            <w:vAlign w:val="bottom"/>
          </w:tcPr>
          <w:p>
            <w:pPr>
              <w:spacing w:after="0"/>
              <w:rPr>
                <w:sz w:val="24"/>
                <w:szCs w:val="2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Bad Debt</w:t>
            </w:r>
          </w:p>
        </w:tc>
        <w:tc>
          <w:tcPr>
            <w:tcW w:w="100" w:type="dxa"/>
            <w:vAlign w:val="bottom"/>
          </w:tcPr>
          <w:p>
            <w:pPr>
              <w:spacing w:after="0"/>
              <w:rPr>
                <w:sz w:val="24"/>
                <w:szCs w:val="24"/>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Write-offs of</w:t>
            </w:r>
          </w:p>
        </w:tc>
        <w:tc>
          <w:tcPr>
            <w:tcW w:w="1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3"/>
        </w:trPr>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6"/>
              </w:rPr>
              <w:t>Beginning of</w:t>
            </w:r>
          </w:p>
        </w:tc>
        <w:tc>
          <w:tcPr>
            <w:tcW w:w="120" w:type="dxa"/>
            <w:vAlign w:val="bottom"/>
          </w:tcPr>
          <w:p>
            <w:pPr>
              <w:spacing w:after="0"/>
              <w:rPr>
                <w:sz w:val="12"/>
                <w:szCs w:val="12"/>
                <w:color w:val="auto"/>
              </w:rPr>
            </w:pPr>
          </w:p>
        </w:tc>
        <w:tc>
          <w:tcPr>
            <w:tcW w:w="1100" w:type="dxa"/>
            <w:vAlign w:val="bottom"/>
            <w:gridSpan w:val="3"/>
          </w:tcPr>
          <w:p>
            <w:pPr>
              <w:jc w:val="center"/>
              <w:ind w:right="360"/>
              <w:spacing w:after="0" w:line="143" w:lineRule="exact"/>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2"/>
                <w:szCs w:val="12"/>
                <w:color w:val="auto"/>
              </w:rPr>
            </w:pPr>
          </w:p>
        </w:tc>
        <w:tc>
          <w:tcPr>
            <w:tcW w:w="1160" w:type="dxa"/>
            <w:vAlign w:val="bottom"/>
            <w:gridSpan w:val="3"/>
          </w:tcPr>
          <w:p>
            <w:pPr>
              <w:jc w:val="center"/>
              <w:ind w:right="360"/>
              <w:spacing w:after="0" w:line="143" w:lineRule="exact"/>
              <w:rPr>
                <w:sz w:val="20"/>
                <w:szCs w:val="20"/>
                <w:color w:val="auto"/>
              </w:rPr>
            </w:pPr>
            <w:r>
              <w:rPr>
                <w:rFonts w:ascii="Arial" w:cs="Arial" w:eastAsia="Arial" w:hAnsi="Arial"/>
                <w:sz w:val="14"/>
                <w:szCs w:val="14"/>
                <w:b w:val="1"/>
                <w:bCs w:val="1"/>
                <w:color w:val="auto"/>
                <w:w w:val="87"/>
              </w:rPr>
              <w:t>Uncollectible</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3"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330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7"/>
              </w:rPr>
              <w:t>Period</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6"/>
              </w:rPr>
              <w:t>Recognized</w:t>
            </w:r>
          </w:p>
        </w:tc>
        <w:tc>
          <w:tcPr>
            <w:tcW w:w="200" w:type="dxa"/>
            <w:vAlign w:val="bottom"/>
            <w:tcBorders>
              <w:bottom w:val="single" w:sz="8" w:color="CFF0FC"/>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b w:val="1"/>
                <w:bCs w:val="1"/>
                <w:color w:val="auto"/>
                <w:w w:val="84"/>
              </w:rPr>
              <w:t>Balances</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
            <w:shd w:val="clear" w:color="auto" w:fill="CFF0FC"/>
          </w:tcPr>
          <w:p>
            <w:pPr>
              <w:jc w:val="right"/>
              <w:ind w:right="2382"/>
              <w:spacing w:after="0"/>
              <w:rPr>
                <w:sz w:val="20"/>
                <w:szCs w:val="20"/>
                <w:color w:val="auto"/>
              </w:rPr>
            </w:pPr>
            <w:r>
              <w:rPr>
                <w:rFonts w:ascii="Arial" w:cs="Arial" w:eastAsia="Arial" w:hAnsi="Arial"/>
                <w:sz w:val="16"/>
                <w:szCs w:val="16"/>
                <w:color w:val="auto"/>
                <w:w w:val="85"/>
              </w:rPr>
              <w:t>Year ended December 31, 2018</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ind w:right="58"/>
              <w:spacing w:after="0"/>
              <w:rPr>
                <w:sz w:val="20"/>
                <w:szCs w:val="20"/>
                <w:color w:val="auto"/>
              </w:rPr>
            </w:pPr>
            <w:r>
              <w:rPr>
                <w:rFonts w:ascii="Arial" w:cs="Arial" w:eastAsia="Arial" w:hAnsi="Arial"/>
                <w:sz w:val="4"/>
                <w:szCs w:val="4"/>
                <w:color w:val="auto"/>
                <w:w w:val="87"/>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4740" w:type="dxa"/>
            <w:vAlign w:val="bottom"/>
            <w:gridSpan w:val="3"/>
          </w:tcPr>
          <w:p>
            <w:pPr>
              <w:jc w:val="right"/>
              <w:ind w:right="2382"/>
              <w:spacing w:after="0"/>
              <w:rPr>
                <w:sz w:val="20"/>
                <w:szCs w:val="20"/>
                <w:color w:val="auto"/>
              </w:rPr>
            </w:pPr>
            <w:r>
              <w:rPr>
                <w:rFonts w:ascii="Arial" w:cs="Arial" w:eastAsia="Arial" w:hAnsi="Arial"/>
                <w:sz w:val="16"/>
                <w:szCs w:val="16"/>
                <w:color w:val="auto"/>
                <w:w w:val="99"/>
              </w:rPr>
              <w:t>Year ended December 31, 2019</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2"/>
              </w:rPr>
              <w:t>305</w:t>
            </w:r>
          </w:p>
        </w:tc>
        <w:tc>
          <w:tcPr>
            <w:tcW w:w="240" w:type="dxa"/>
            <w:vAlign w:val="bottom"/>
          </w:tcPr>
          <w:p>
            <w:pPr>
              <w:spacing w:after="0"/>
              <w:rPr>
                <w:sz w:val="17"/>
                <w:szCs w:val="17"/>
                <w:color w:val="auto"/>
              </w:rPr>
            </w:pPr>
          </w:p>
        </w:tc>
        <w:tc>
          <w:tcPr>
            <w:tcW w:w="120" w:type="dxa"/>
            <w:vAlign w:val="bottom"/>
          </w:tcPr>
          <w:p>
            <w:pPr>
              <w:jc w:val="right"/>
              <w:ind w:right="58"/>
              <w:spacing w:after="0"/>
              <w:rPr>
                <w:sz w:val="20"/>
                <w:szCs w:val="20"/>
                <w:color w:val="auto"/>
              </w:rPr>
            </w:pPr>
            <w:r>
              <w:rPr>
                <w:rFonts w:ascii="Arial" w:cs="Arial" w:eastAsia="Arial" w:hAnsi="Arial"/>
                <w:sz w:val="4"/>
                <w:szCs w:val="4"/>
                <w:color w:val="auto"/>
                <w:w w:val="87"/>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20" w:type="dxa"/>
            <w:vAlign w:val="bottom"/>
            <w:gridSpan w:val="2"/>
            <w:shd w:val="clear" w:color="auto" w:fill="CFF0FC"/>
          </w:tcPr>
          <w:p>
            <w:pPr>
              <w:jc w:val="right"/>
              <w:ind w:right="2382"/>
              <w:spacing w:after="0"/>
              <w:rPr>
                <w:sz w:val="20"/>
                <w:szCs w:val="20"/>
                <w:color w:val="auto"/>
              </w:rPr>
            </w:pPr>
            <w:r>
              <w:rPr>
                <w:rFonts w:ascii="Arial" w:cs="Arial" w:eastAsia="Arial" w:hAnsi="Arial"/>
                <w:sz w:val="16"/>
                <w:szCs w:val="16"/>
                <w:color w:val="auto"/>
                <w:w w:val="85"/>
              </w:rPr>
              <w:t>Year ended December 31, 2020</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(548)</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2"/>
              </w:rPr>
              <w:t>433</w:t>
            </w: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ind w:right="58"/>
              <w:spacing w:after="0"/>
              <w:rPr>
                <w:sz w:val="20"/>
                <w:szCs w:val="20"/>
                <w:color w:val="auto"/>
              </w:rPr>
            </w:pPr>
            <w:r>
              <w:rPr>
                <w:rFonts w:ascii="Arial" w:cs="Arial" w:eastAsia="Arial" w:hAnsi="Arial"/>
                <w:sz w:val="4"/>
                <w:szCs w:val="4"/>
                <w:color w:val="auto"/>
                <w:w w:val="87"/>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80" w:hanging="376"/>
        <w:spacing w:after="0"/>
        <w:tabs>
          <w:tab w:leader="none" w:pos="38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AND CAPITALIZED SOFTWARE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composition of property and equipment, net as of December 31, 2020 and 2019 (in thousands):</w:t>
      </w:r>
    </w:p>
    <w:p>
      <w:pPr>
        <w:spacing w:after="0" w:line="81"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8"/>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Borders>
              <w:bottom w:val="single" w:sz="8" w:color="CFF0FC"/>
            </w:tcBorders>
          </w:tcPr>
          <w:p>
            <w:pPr>
              <w:spacing w:after="0"/>
              <w:rPr>
                <w:sz w:val="12"/>
                <w:szCs w:val="12"/>
                <w:color w:val="auto"/>
              </w:rPr>
            </w:pPr>
          </w:p>
        </w:tc>
        <w:tc>
          <w:tcPr>
            <w:tcW w:w="156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3"/>
              <w:spacing w:after="0" w:line="149"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Laboratory equipment</w:t>
            </w:r>
          </w:p>
        </w:tc>
        <w:tc>
          <w:tcPr>
            <w:tcW w:w="2240" w:type="dxa"/>
            <w:vAlign w:val="bottom"/>
            <w:gridSpan w:val="2"/>
            <w:shd w:val="clear" w:color="auto" w:fill="CFF0FC"/>
          </w:tcPr>
          <w:p>
            <w:pPr>
              <w:jc w:val="right"/>
              <w:ind w:right="52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20"/>
                <w:szCs w:val="20"/>
                <w:color w:val="auto"/>
              </w:rPr>
            </w:pPr>
            <w:r>
              <w:rPr>
                <w:rFonts w:ascii="Arial" w:cs="Arial" w:eastAsia="Arial" w:hAnsi="Arial"/>
                <w:sz w:val="16"/>
                <w:szCs w:val="16"/>
                <w:color w:val="auto"/>
              </w:rPr>
              <w:t>Office equipment</w:t>
            </w:r>
          </w:p>
        </w:tc>
        <w:tc>
          <w:tcPr>
            <w:tcW w:w="1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Computer equipment and software</w:t>
            </w:r>
          </w:p>
        </w:tc>
        <w:tc>
          <w:tcPr>
            <w:tcW w:w="15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1,360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20"/>
                <w:szCs w:val="20"/>
                <w:color w:val="auto"/>
              </w:rPr>
            </w:pPr>
            <w:r>
              <w:rPr>
                <w:rFonts w:ascii="Arial" w:cs="Arial" w:eastAsia="Arial" w:hAnsi="Arial"/>
                <w:sz w:val="16"/>
                <w:szCs w:val="16"/>
                <w:color w:val="auto"/>
              </w:rPr>
              <w:t>Manufacturing equipment</w:t>
            </w:r>
          </w:p>
        </w:tc>
        <w:tc>
          <w:tcPr>
            <w:tcW w:w="1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15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Rental equipment</w:t>
            </w:r>
          </w:p>
        </w:tc>
        <w:tc>
          <w:tcPr>
            <w:tcW w:w="156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Property and equipment, gross</w:t>
            </w:r>
          </w:p>
        </w:tc>
        <w:tc>
          <w:tcPr>
            <w:tcW w:w="15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3,134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20" w:type="dxa"/>
            <w:vAlign w:val="bottom"/>
          </w:tcPr>
          <w:p>
            <w:pPr>
              <w:ind w:left="220"/>
              <w:spacing w:after="0"/>
              <w:rPr>
                <w:sz w:val="20"/>
                <w:szCs w:val="20"/>
                <w:color w:val="auto"/>
              </w:rPr>
            </w:pPr>
            <w:r>
              <w:rPr>
                <w:rFonts w:ascii="Arial" w:cs="Arial" w:eastAsia="Arial" w:hAnsi="Arial"/>
                <w:sz w:val="16"/>
                <w:szCs w:val="16"/>
                <w:color w:val="auto"/>
              </w:rPr>
              <w:t>Less: Accumulated depreciation</w:t>
            </w:r>
          </w:p>
        </w:tc>
        <w:tc>
          <w:tcPr>
            <w:tcW w:w="1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(2,404)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(2,207)</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ind w:left="460"/>
              <w:spacing w:after="0"/>
              <w:rPr>
                <w:sz w:val="20"/>
                <w:szCs w:val="20"/>
                <w:color w:val="auto"/>
              </w:rPr>
            </w:pPr>
            <w:r>
              <w:rPr>
                <w:rFonts w:ascii="Arial" w:cs="Arial" w:eastAsia="Arial" w:hAnsi="Arial"/>
                <w:sz w:val="16"/>
                <w:szCs w:val="16"/>
                <w:color w:val="auto"/>
              </w:rPr>
              <w:t>Property and equipment, net</w:t>
            </w:r>
          </w:p>
        </w:tc>
        <w:tc>
          <w:tcPr>
            <w:tcW w:w="15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20" w:type="dxa"/>
            <w:vAlign w:val="bottom"/>
            <w:vMerge w:val="continue"/>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2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December 31, 2020 and 2019, the Company had capitalized software costs, net of $1.2 million and $1.2 million, respectively, which are included in “Other assets” on the balance sheet.</w:t>
      </w:r>
    </w:p>
    <w:p>
      <w:pPr>
        <w:spacing w:after="0" w:line="159"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Depreciation and amortization expense was $0.9 million, $1.1 million, and $0.9 million for the years ended December 31, 2020, 2019, and 2018, respectively.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334" w:lineRule="exact"/>
        <w:rPr>
          <w:sz w:val="20"/>
          <w:szCs w:val="20"/>
          <w:color w:val="auto"/>
        </w:rPr>
      </w:pPr>
    </w:p>
    <w:p>
      <w:pPr>
        <w:ind w:left="380" w:hanging="376"/>
        <w:spacing w:after="0"/>
        <w:tabs>
          <w:tab w:leader="none" w:pos="3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Lessee:</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Company has operating leases for its corporate headquarters and office equipment, including copiers. The Company leases approximately 32,000 square foot facility in Malvern, Pennsylvania for its corporate headquarters, which includes office and warehouse space. In the first quarter of 2019, the Company signed a lease modification for its Malvern facility that extended the lease through February 2028 and included approximately 10,000 square foot of additional premises. The Company has an option to extend the lease on its combined 42,000 square foot facility for an additional five-year term; however, the Company has determined it is not reasonably certain to exercise the option at this time due to on-going personnel expansion efforts. The Company also maintains operating leases on office equipment, including copiers, which end in March 2023. The Company does not currently have any finance leases or executed leases that have not yet commenced.</w:t>
      </w:r>
    </w:p>
    <w:p>
      <w:pPr>
        <w:spacing w:after="0" w:line="205"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Operating lease rent expense was $0.6 million, $0.5 million, and $0.5 million for each of the years ended December 31, 2020, 2019, and 2018, respectively. As of December 31, 2020, the weighted-average remaining lease term of operating leases was 7.1 years and the weighted-average discount rate was 6.5%.</w:t>
      </w:r>
    </w:p>
    <w:p>
      <w:pPr>
        <w:spacing w:after="0" w:line="13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following table presents the supplemental cash flow information as a lessee related to leases (in thousands) for the years ended December 31, 2020 and 2019:</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4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 ended</w:t>
            </w:r>
          </w:p>
        </w:tc>
      </w:tr>
      <w:tr>
        <w:trPr>
          <w:trHeight w:val="166"/>
        </w:trPr>
        <w:tc>
          <w:tcPr>
            <w:tcW w:w="6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122"/>
              <w:spacing w:after="0"/>
              <w:rPr>
                <w:sz w:val="20"/>
                <w:szCs w:val="20"/>
                <w:color w:val="auto"/>
              </w:rPr>
            </w:pPr>
            <w:r>
              <w:rPr>
                <w:rFonts w:ascii="Arial" w:cs="Arial" w:eastAsia="Arial" w:hAnsi="Arial"/>
                <w:sz w:val="14"/>
                <w:szCs w:val="14"/>
                <w:b w:val="1"/>
                <w:bCs w:val="1"/>
                <w:color w:val="auto"/>
                <w:w w:val="88"/>
              </w:rPr>
              <w:t>December 31, 2020</w:t>
            </w:r>
          </w:p>
        </w:tc>
        <w:tc>
          <w:tcPr>
            <w:tcW w:w="16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December 31, 2019</w:t>
            </w:r>
          </w:p>
        </w:tc>
      </w:tr>
      <w:tr>
        <w:trPr>
          <w:trHeight w:val="214"/>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1"/>
        </w:trPr>
        <w:tc>
          <w:tcPr>
            <w:tcW w:w="6020" w:type="dxa"/>
            <w:vAlign w:val="bottom"/>
          </w:tcPr>
          <w:p>
            <w:pPr>
              <w:ind w:left="220"/>
              <w:spacing w:after="0"/>
              <w:rPr>
                <w:sz w:val="20"/>
                <w:szCs w:val="20"/>
                <w:color w:val="auto"/>
              </w:rPr>
            </w:pPr>
            <w:r>
              <w:rPr>
                <w:rFonts w:ascii="Arial" w:cs="Arial" w:eastAsia="Arial" w:hAnsi="Arial"/>
                <w:sz w:val="17"/>
                <w:szCs w:val="17"/>
                <w:color w:val="auto"/>
              </w:rPr>
              <w:t>Operating cash flows from operating leases</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760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465</w:t>
            </w:r>
          </w:p>
        </w:tc>
        <w:tc>
          <w:tcPr>
            <w:tcW w:w="80" w:type="dxa"/>
            <w:vAlign w:val="bottom"/>
          </w:tcPr>
          <w:p>
            <w:pPr>
              <w:spacing w:after="0"/>
              <w:rPr>
                <w:sz w:val="19"/>
                <w:szCs w:val="19"/>
                <w:color w:val="auto"/>
              </w:rPr>
            </w:pPr>
          </w:p>
        </w:tc>
      </w:tr>
      <w:tr>
        <w:trPr>
          <w:trHeight w:val="221"/>
        </w:trPr>
        <w:tc>
          <w:tcPr>
            <w:tcW w:w="6020" w:type="dxa"/>
            <w:vAlign w:val="bottom"/>
            <w:shd w:val="clear" w:color="auto" w:fill="CFF0FC"/>
          </w:tcPr>
          <w:p>
            <w:pPr>
              <w:spacing w:after="0"/>
              <w:rPr>
                <w:sz w:val="20"/>
                <w:szCs w:val="20"/>
                <w:color w:val="auto"/>
              </w:rPr>
            </w:pPr>
            <w:r>
              <w:rPr>
                <w:rFonts w:ascii="Arial" w:cs="Arial" w:eastAsia="Arial" w:hAnsi="Arial"/>
                <w:sz w:val="17"/>
                <w:szCs w:val="17"/>
                <w:color w:val="auto"/>
              </w:rPr>
              <w:t>Right-of-use assets obtained in exchange for lease obligations: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1"/>
        </w:trPr>
        <w:tc>
          <w:tcPr>
            <w:tcW w:w="6020" w:type="dxa"/>
            <w:vAlign w:val="bottom"/>
          </w:tcPr>
          <w:p>
            <w:pPr>
              <w:ind w:left="220"/>
              <w:spacing w:after="0"/>
              <w:rPr>
                <w:sz w:val="20"/>
                <w:szCs w:val="20"/>
                <w:color w:val="auto"/>
              </w:rPr>
            </w:pPr>
            <w:r>
              <w:rPr>
                <w:rFonts w:ascii="Arial" w:cs="Arial" w:eastAsia="Arial" w:hAnsi="Arial"/>
                <w:sz w:val="17"/>
                <w:szCs w:val="17"/>
                <w:color w:val="auto"/>
              </w:rPr>
              <w:t>Operating leases</w:t>
            </w: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4,164</w:t>
            </w:r>
          </w:p>
        </w:tc>
        <w:tc>
          <w:tcPr>
            <w:tcW w:w="80" w:type="dxa"/>
            <w:vAlign w:val="bottom"/>
          </w:tcPr>
          <w:p>
            <w:pPr>
              <w:spacing w:after="0"/>
              <w:rPr>
                <w:sz w:val="19"/>
                <w:szCs w:val="19"/>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by year the required future payments of operating lease liabilities (in thousands) as of December 31, 2020:</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66"/>
        </w:trPr>
        <w:tc>
          <w:tcPr>
            <w:tcW w:w="5780" w:type="dxa"/>
            <w:vAlign w:val="bottom"/>
            <w:tcBorders>
              <w:bottom w:val="single" w:sz="8" w:color="CFF0FC"/>
            </w:tcBorders>
          </w:tcPr>
          <w:p>
            <w:pPr>
              <w:spacing w:after="0"/>
              <w:rPr>
                <w:sz w:val="14"/>
                <w:szCs w:val="14"/>
                <w:color w:val="auto"/>
              </w:rPr>
            </w:pPr>
          </w:p>
        </w:tc>
        <w:tc>
          <w:tcPr>
            <w:tcW w:w="25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7"/>
                <w:szCs w:val="17"/>
                <w:color w:val="auto"/>
              </w:rPr>
              <w:t>2022</w:t>
            </w: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7"/>
                <w:szCs w:val="17"/>
                <w:color w:val="auto"/>
              </w:rPr>
              <w:t>2024</w:t>
            </w: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8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2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25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Total lease payments</w:t>
            </w:r>
          </w:p>
        </w:tc>
        <w:tc>
          <w:tcPr>
            <w:tcW w:w="2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80" w:type="dxa"/>
            <w:vAlign w:val="bottom"/>
          </w:tcPr>
          <w:p>
            <w:pPr>
              <w:ind w:left="220"/>
              <w:spacing w:after="0"/>
              <w:rPr>
                <w:sz w:val="20"/>
                <w:szCs w:val="20"/>
                <w:color w:val="auto"/>
              </w:rPr>
            </w:pPr>
            <w:r>
              <w:rPr>
                <w:rFonts w:ascii="Arial" w:cs="Arial" w:eastAsia="Arial" w:hAnsi="Arial"/>
                <w:sz w:val="17"/>
                <w:szCs w:val="17"/>
                <w:color w:val="auto"/>
              </w:rPr>
              <w:t>Less imputed interest</w:t>
            </w: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7"/>
                <w:szCs w:val="17"/>
                <w:color w:val="auto"/>
              </w:rPr>
              <w:t>(972)</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FF0FC"/>
          </w:tcPr>
          <w:p>
            <w:pPr>
              <w:ind w:left="340"/>
              <w:spacing w:after="0"/>
              <w:rPr>
                <w:sz w:val="20"/>
                <w:szCs w:val="20"/>
                <w:color w:val="auto"/>
              </w:rPr>
            </w:pPr>
            <w:r>
              <w:rPr>
                <w:rFonts w:ascii="Arial" w:cs="Arial" w:eastAsia="Arial" w:hAnsi="Arial"/>
                <w:sz w:val="17"/>
                <w:szCs w:val="17"/>
                <w:color w:val="auto"/>
              </w:rPr>
              <w:t>Present value of operating lease liabilities</w:t>
            </w:r>
          </w:p>
        </w:tc>
        <w:tc>
          <w:tcPr>
            <w:tcW w:w="25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780" w:type="dxa"/>
            <w:vAlign w:val="bottom"/>
            <w:vMerge w:val="continue"/>
            <w:shd w:val="clear" w:color="auto" w:fill="CFF0FC"/>
          </w:tcPr>
          <w:p>
            <w:pPr>
              <w:spacing w:after="0"/>
              <w:rPr>
                <w:sz w:val="18"/>
                <w:szCs w:val="18"/>
                <w:color w:val="auto"/>
              </w:rPr>
            </w:pPr>
          </w:p>
        </w:tc>
        <w:tc>
          <w:tcPr>
            <w:tcW w:w="2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Lessor sales-type leases:</w:t>
      </w:r>
    </w:p>
    <w:p>
      <w:pPr>
        <w:spacing w:after="0" w:line="13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Certain costumers have purchased NeuroStar Advanced Therapy Systems on a rent-to-own basis. The lease term is three years with a customer option to purchase the NeuroStar Advanced Therapy System at the end of the lease or automatic transfer of ownership of the NeuroStar Advanced Therapy System at the end of the lease.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profit recognized on sales-type leases (in thousands):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jc w:val="center"/>
        <w:ind w:right="-7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 ended</w:t>
            </w:r>
          </w:p>
        </w:tc>
      </w:tr>
      <w:tr>
        <w:trPr>
          <w:trHeight w:val="166"/>
        </w:trPr>
        <w:tc>
          <w:tcPr>
            <w:tcW w:w="4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r>
      <w:tr>
        <w:trPr>
          <w:trHeight w:val="149"/>
        </w:trPr>
        <w:tc>
          <w:tcPr>
            <w:tcW w:w="4920" w:type="dxa"/>
            <w:vAlign w:val="bottom"/>
            <w:tcBorders>
              <w:bottom w:val="single" w:sz="8" w:color="CFF0FC"/>
            </w:tcBorders>
          </w:tcPr>
          <w:p>
            <w:pPr>
              <w:spacing w:after="0"/>
              <w:rPr>
                <w:sz w:val="12"/>
                <w:szCs w:val="12"/>
                <w:color w:val="auto"/>
              </w:rPr>
            </w:pPr>
          </w:p>
        </w:tc>
        <w:tc>
          <w:tcPr>
            <w:tcW w:w="214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ind w:right="122"/>
              <w:spacing w:after="0" w:line="149"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ind w:right="142"/>
              <w:spacing w:after="0" w:line="149"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FF0FC"/>
            </w:tcBorders>
          </w:tcPr>
          <w:p>
            <w:pPr>
              <w:spacing w:after="0"/>
              <w:rPr>
                <w:sz w:val="12"/>
                <w:szCs w:val="12"/>
                <w:color w:val="auto"/>
              </w:rPr>
            </w:pPr>
          </w:p>
        </w:tc>
      </w:tr>
      <w:tr>
        <w:trPr>
          <w:trHeight w:val="214"/>
        </w:trPr>
        <w:tc>
          <w:tcPr>
            <w:tcW w:w="4920" w:type="dxa"/>
            <w:vAlign w:val="bottom"/>
            <w:shd w:val="clear" w:color="auto" w:fill="CFF0FC"/>
          </w:tcPr>
          <w:p>
            <w:pPr>
              <w:spacing w:after="0"/>
              <w:rPr>
                <w:sz w:val="20"/>
                <w:szCs w:val="20"/>
                <w:color w:val="auto"/>
              </w:rPr>
            </w:pPr>
            <w:r>
              <w:rPr>
                <w:rFonts w:ascii="Arial" w:cs="Arial" w:eastAsia="Arial" w:hAnsi="Arial"/>
                <w:sz w:val="17"/>
                <w:szCs w:val="17"/>
                <w:color w:val="auto"/>
              </w:rPr>
              <w:t>Profit recognized at commencement, net</w:t>
            </w:r>
          </w:p>
        </w:tc>
        <w:tc>
          <w:tcPr>
            <w:tcW w:w="23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1,075</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1,179</w:t>
            </w:r>
          </w:p>
        </w:tc>
        <w:tc>
          <w:tcPr>
            <w:tcW w:w="100" w:type="dxa"/>
            <w:vAlign w:val="bottom"/>
            <w:shd w:val="clear" w:color="auto" w:fill="CFF0FC"/>
          </w:tcPr>
          <w:p>
            <w:pPr>
              <w:spacing w:after="0"/>
              <w:rPr>
                <w:sz w:val="18"/>
                <w:szCs w:val="18"/>
                <w:color w:val="auto"/>
              </w:rPr>
            </w:pPr>
          </w:p>
        </w:tc>
      </w:tr>
      <w:tr>
        <w:trPr>
          <w:trHeight w:val="221"/>
        </w:trPr>
        <w:tc>
          <w:tcPr>
            <w:tcW w:w="4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Interest Income</w:t>
            </w:r>
          </w:p>
        </w:tc>
        <w:tc>
          <w:tcPr>
            <w:tcW w:w="2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r>
      <w:tr>
        <w:trPr>
          <w:trHeight w:val="214"/>
        </w:trPr>
        <w:tc>
          <w:tcPr>
            <w:tcW w:w="49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sales-type lease income</w:t>
            </w:r>
          </w:p>
        </w:tc>
        <w:tc>
          <w:tcPr>
            <w:tcW w:w="23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1,075</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1,179</w:t>
            </w:r>
          </w:p>
        </w:tc>
        <w:tc>
          <w:tcPr>
            <w:tcW w:w="100" w:type="dxa"/>
            <w:vAlign w:val="bottom"/>
            <w:shd w:val="clear" w:color="auto" w:fill="CFF0FC"/>
          </w:tcPr>
          <w:p>
            <w:pPr>
              <w:spacing w:after="0"/>
              <w:rPr>
                <w:sz w:val="18"/>
                <w:szCs w:val="18"/>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maturity analysis of the undiscounted lease receivables related to sales-type leases (in thousands) as of December 31, 2020:</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8320" w:type="dxa"/>
            <w:vAlign w:val="bottom"/>
          </w:tcPr>
          <w:p>
            <w:pPr>
              <w:spacing w:after="0"/>
              <w:rPr>
                <w:sz w:val="14"/>
                <w:szCs w:val="14"/>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Year ending December 31,</w:t>
            </w:r>
          </w:p>
        </w:tc>
      </w:tr>
      <w:tr>
        <w:trPr>
          <w:trHeight w:val="214"/>
        </w:trPr>
        <w:tc>
          <w:tcPr>
            <w:tcW w:w="8320" w:type="dxa"/>
            <w:vAlign w:val="bottom"/>
            <w:tcBorders>
              <w:top w:val="single" w:sz="8" w:color="CFF0FC"/>
            </w:tcBorders>
            <w:shd w:val="clear" w:color="auto" w:fill="CFF0FC"/>
          </w:tcPr>
          <w:p>
            <w:pPr>
              <w:jc w:val="right"/>
              <w:ind w:right="7893"/>
              <w:spacing w:after="0"/>
              <w:rPr>
                <w:sz w:val="20"/>
                <w:szCs w:val="20"/>
                <w:color w:val="auto"/>
              </w:rPr>
            </w:pPr>
            <w:r>
              <w:rPr>
                <w:rFonts w:ascii="Arial" w:cs="Arial" w:eastAsia="Arial" w:hAnsi="Arial"/>
                <w:sz w:val="17"/>
                <w:szCs w:val="17"/>
                <w:color w:val="auto"/>
                <w:w w:val="84"/>
              </w:rPr>
              <w:t>2021</w:t>
            </w:r>
          </w:p>
        </w:tc>
        <w:tc>
          <w:tcPr>
            <w:tcW w:w="680" w:type="dxa"/>
            <w:vAlign w:val="bottom"/>
            <w:tcBorders>
              <w:top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2,074</w:t>
            </w:r>
          </w:p>
        </w:tc>
        <w:tc>
          <w:tcPr>
            <w:tcW w:w="80" w:type="dxa"/>
            <w:vAlign w:val="bottom"/>
            <w:tcBorders>
              <w:top w:val="single" w:sz="8" w:color="CFF0FC"/>
            </w:tcBorders>
            <w:shd w:val="clear" w:color="auto" w:fill="CFF0FC"/>
          </w:tcPr>
          <w:p>
            <w:pPr>
              <w:spacing w:after="0"/>
              <w:rPr>
                <w:sz w:val="18"/>
                <w:szCs w:val="18"/>
                <w:color w:val="auto"/>
              </w:rPr>
            </w:pPr>
          </w:p>
        </w:tc>
      </w:tr>
      <w:tr>
        <w:trPr>
          <w:trHeight w:val="221"/>
        </w:trPr>
        <w:tc>
          <w:tcPr>
            <w:tcW w:w="8320" w:type="dxa"/>
            <w:vAlign w:val="bottom"/>
          </w:tcPr>
          <w:p>
            <w:pPr>
              <w:jc w:val="right"/>
              <w:ind w:right="7893"/>
              <w:spacing w:after="0"/>
              <w:rPr>
                <w:sz w:val="20"/>
                <w:szCs w:val="20"/>
                <w:color w:val="auto"/>
              </w:rPr>
            </w:pPr>
            <w:r>
              <w:rPr>
                <w:rFonts w:ascii="Arial" w:cs="Arial" w:eastAsia="Arial" w:hAnsi="Arial"/>
                <w:sz w:val="17"/>
                <w:szCs w:val="17"/>
                <w:color w:val="auto"/>
                <w:w w:val="84"/>
              </w:rPr>
              <w:t>2022</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1,609</w:t>
            </w:r>
          </w:p>
        </w:tc>
        <w:tc>
          <w:tcPr>
            <w:tcW w:w="80" w:type="dxa"/>
            <w:vAlign w:val="bottom"/>
          </w:tcPr>
          <w:p>
            <w:pPr>
              <w:spacing w:after="0"/>
              <w:rPr>
                <w:sz w:val="19"/>
                <w:szCs w:val="19"/>
                <w:color w:val="auto"/>
              </w:rPr>
            </w:pPr>
          </w:p>
        </w:tc>
      </w:tr>
      <w:tr>
        <w:trPr>
          <w:trHeight w:val="221"/>
        </w:trPr>
        <w:tc>
          <w:tcPr>
            <w:tcW w:w="8320" w:type="dxa"/>
            <w:vAlign w:val="bottom"/>
            <w:shd w:val="clear" w:color="auto" w:fill="CFF0FC"/>
          </w:tcPr>
          <w:p>
            <w:pPr>
              <w:jc w:val="right"/>
              <w:ind w:right="7893"/>
              <w:spacing w:after="0"/>
              <w:rPr>
                <w:sz w:val="20"/>
                <w:szCs w:val="20"/>
                <w:color w:val="auto"/>
              </w:rPr>
            </w:pPr>
            <w:r>
              <w:rPr>
                <w:rFonts w:ascii="Arial" w:cs="Arial" w:eastAsia="Arial" w:hAnsi="Arial"/>
                <w:sz w:val="17"/>
                <w:szCs w:val="17"/>
                <w:color w:val="auto"/>
                <w:w w:val="84"/>
              </w:rPr>
              <w:t>2023</w:t>
            </w:r>
          </w:p>
        </w:tc>
        <w:tc>
          <w:tcPr>
            <w:tcW w:w="6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535</w:t>
            </w:r>
          </w:p>
        </w:tc>
        <w:tc>
          <w:tcPr>
            <w:tcW w:w="80" w:type="dxa"/>
            <w:vAlign w:val="bottom"/>
            <w:shd w:val="clear" w:color="auto" w:fill="CFF0FC"/>
          </w:tcPr>
          <w:p>
            <w:pPr>
              <w:spacing w:after="0"/>
              <w:rPr>
                <w:sz w:val="19"/>
                <w:szCs w:val="19"/>
                <w:color w:val="auto"/>
              </w:rPr>
            </w:pPr>
          </w:p>
        </w:tc>
      </w:tr>
      <w:tr>
        <w:trPr>
          <w:trHeight w:val="214"/>
        </w:trPr>
        <w:tc>
          <w:tcPr>
            <w:tcW w:w="8320" w:type="dxa"/>
            <w:vAlign w:val="bottom"/>
          </w:tcPr>
          <w:p>
            <w:pPr>
              <w:jc w:val="right"/>
              <w:ind w:right="5813"/>
              <w:spacing w:after="0"/>
              <w:rPr>
                <w:sz w:val="20"/>
                <w:szCs w:val="20"/>
                <w:color w:val="auto"/>
              </w:rPr>
            </w:pPr>
            <w:r>
              <w:rPr>
                <w:rFonts w:ascii="Arial" w:cs="Arial" w:eastAsia="Arial" w:hAnsi="Arial"/>
                <w:sz w:val="17"/>
                <w:szCs w:val="17"/>
                <w:color w:val="auto"/>
                <w:w w:val="93"/>
              </w:rPr>
              <w:t>Total sales-type lease receivables</w:t>
            </w:r>
          </w:p>
        </w:tc>
        <w:tc>
          <w:tcPr>
            <w:tcW w:w="68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4,218</w:t>
            </w: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December 31, 2020 and 2019, the carrying amount of the lease receivables is $4.2 million and $2.6 million, respectively. The Company does not have any unguaranteed residual assets.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Lessor operating leases:</w:t>
      </w:r>
    </w:p>
    <w:p>
      <w:pPr>
        <w:spacing w:after="0" w:line="130" w:lineRule="exact"/>
        <w:rPr>
          <w:sz w:val="20"/>
          <w:szCs w:val="20"/>
          <w:color w:val="auto"/>
        </w:rPr>
      </w:pPr>
    </w:p>
    <w:p>
      <w:pPr>
        <w:ind w:right="800"/>
        <w:spacing w:after="0" w:line="357" w:lineRule="auto"/>
        <w:rPr>
          <w:sz w:val="20"/>
          <w:szCs w:val="20"/>
          <w:color w:val="auto"/>
        </w:rPr>
      </w:pPr>
      <w:r>
        <w:rPr>
          <w:rFonts w:ascii="Arial" w:cs="Arial" w:eastAsia="Arial" w:hAnsi="Arial"/>
          <w:sz w:val="15"/>
          <w:szCs w:val="15"/>
          <w:color w:val="auto"/>
        </w:rPr>
        <w:t>NeuroStar Advanced Therapy Systems sold on a rent-to-own basis prior to January 1, 2019 are accounted for as operating leases. For the years ended December 31, 2020, 2019, and 2018, the Company recognized operating lease income of $0.4 million $0.7 million and $0.9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maturity analysis of its undiscounted lease receivables related to operating leases as of December 31, 2020:</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8320" w:type="dxa"/>
            <w:vAlign w:val="bottom"/>
          </w:tcPr>
          <w:p>
            <w:pPr>
              <w:spacing w:after="0"/>
              <w:rPr>
                <w:sz w:val="14"/>
                <w:szCs w:val="14"/>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Year ending December 31,</w:t>
            </w:r>
          </w:p>
        </w:tc>
      </w:tr>
      <w:tr>
        <w:trPr>
          <w:trHeight w:val="214"/>
        </w:trPr>
        <w:tc>
          <w:tcPr>
            <w:tcW w:w="8320" w:type="dxa"/>
            <w:vAlign w:val="bottom"/>
            <w:tcBorders>
              <w:top w:val="single" w:sz="8" w:color="CFF0FC"/>
            </w:tcBorders>
            <w:shd w:val="clear" w:color="auto" w:fill="CFF0FC"/>
          </w:tcPr>
          <w:p>
            <w:pPr>
              <w:jc w:val="right"/>
              <w:ind w:right="7893"/>
              <w:spacing w:after="0"/>
              <w:rPr>
                <w:sz w:val="20"/>
                <w:szCs w:val="20"/>
                <w:color w:val="auto"/>
              </w:rPr>
            </w:pPr>
            <w:r>
              <w:rPr>
                <w:rFonts w:ascii="Arial" w:cs="Arial" w:eastAsia="Arial" w:hAnsi="Arial"/>
                <w:sz w:val="17"/>
                <w:szCs w:val="17"/>
                <w:color w:val="auto"/>
                <w:w w:val="84"/>
              </w:rPr>
              <w:t>2021</w:t>
            </w: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w:t>
            </w:r>
          </w:p>
        </w:tc>
        <w:tc>
          <w:tcPr>
            <w:tcW w:w="80" w:type="dxa"/>
            <w:vAlign w:val="bottom"/>
            <w:tcBorders>
              <w:top w:val="single" w:sz="8" w:color="CFF0FC"/>
            </w:tcBorders>
            <w:shd w:val="clear" w:color="auto" w:fill="CFF0FC"/>
          </w:tcPr>
          <w:p>
            <w:pPr>
              <w:spacing w:after="0"/>
              <w:rPr>
                <w:sz w:val="18"/>
                <w:szCs w:val="18"/>
                <w:color w:val="auto"/>
              </w:rPr>
            </w:pPr>
          </w:p>
        </w:tc>
      </w:tr>
      <w:tr>
        <w:trPr>
          <w:trHeight w:val="214"/>
        </w:trPr>
        <w:tc>
          <w:tcPr>
            <w:tcW w:w="8320" w:type="dxa"/>
            <w:vAlign w:val="bottom"/>
          </w:tcPr>
          <w:p>
            <w:pPr>
              <w:jc w:val="right"/>
              <w:ind w:right="6553"/>
              <w:spacing w:after="0"/>
              <w:rPr>
                <w:sz w:val="20"/>
                <w:szCs w:val="20"/>
                <w:color w:val="auto"/>
              </w:rPr>
            </w:pPr>
            <w:r>
              <w:rPr>
                <w:rFonts w:ascii="Arial" w:cs="Arial" w:eastAsia="Arial" w:hAnsi="Arial"/>
                <w:sz w:val="17"/>
                <w:szCs w:val="17"/>
                <w:color w:val="auto"/>
                <w:w w:val="95"/>
              </w:rPr>
              <w:t>Total lease receivables</w:t>
            </w:r>
          </w:p>
        </w:tc>
        <w:tc>
          <w:tcPr>
            <w:tcW w:w="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maintained Rental Equipment, net of $0.2 million and $0.5 million, as of December 31, 2020 and 2019, respectively, which are included in “Property and equipment, net” on the balance sheet. Rental equipment depreciation expense was $0.1 million , $0.2 million, and $0.4 million for the years ended December 31, 2020, 2019 and 2018, respectively.</w:t>
      </w:r>
    </w:p>
    <w:p>
      <w:pPr>
        <w:spacing w:after="0" w:line="152" w:lineRule="exact"/>
        <w:rPr>
          <w:sz w:val="20"/>
          <w:szCs w:val="20"/>
          <w:color w:val="auto"/>
        </w:rPr>
      </w:pPr>
    </w:p>
    <w:p>
      <w:pPr>
        <w:ind w:left="380" w:hanging="376"/>
        <w:spacing w:after="0"/>
        <w:tabs>
          <w:tab w:leader="none" w:pos="38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PREPAID COMMISSION EXPENSE</w:t>
      </w:r>
    </w:p>
    <w:p>
      <w:pPr>
        <w:spacing w:after="0" w:line="136"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The Company pays a commission on both NeuroStar Advanced Therapy System sales and Treatment Session sales. Since the commission paid for NeuroStar Advanced Therapy System sales is not commensurate with the commission paid for Treatment Sessions, the Company capitalizes commission expense associated with NeuroStar Advanced Therapy System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3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Effective January 1, 2019 with the adoption of Topic 606, NeuroStar Advanced Therapy System commissions are deferred and amortized on a straight-line basis over a seven year period equal to the average customer term, which the Company deems to be the expected period of benefit for these costs. As result of the modified retrospective adoption method applied to open contracts only, the beginning balance as of January 1, 2019 did not include prepaid commission expense for those contracts that were substantially complete as of December 31, 2018.</w:t>
      </w: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the Company's balance sheets, the current portion of capitalized contract costs is represented by the current portion of prepaid commission expense, while the long-term portion is included in prepaid commission expense. Amortization expense was $0.9 million and $0.4 million for the years ended December 31, 2020 and December 31, 2019, respectively.</w:t>
      </w:r>
    </w:p>
    <w:p>
      <w:pPr>
        <w:spacing w:after="0" w:line="27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tab/>
        <w:t>ACCRUED EXPENSES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composition of accrued expenses as of December 31, 2020 and 2019 (in thousands):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840" w:type="dxa"/>
            <w:vAlign w:val="bottom"/>
            <w:tcBorders>
              <w:bottom w:val="single" w:sz="8" w:color="CFF0FC"/>
            </w:tcBorders>
          </w:tcPr>
          <w:p>
            <w:pPr>
              <w:spacing w:after="0"/>
              <w:rPr>
                <w:sz w:val="12"/>
                <w:szCs w:val="12"/>
                <w:color w:val="auto"/>
              </w:rPr>
            </w:pPr>
          </w:p>
        </w:tc>
        <w:tc>
          <w:tcPr>
            <w:tcW w:w="154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3"/>
              <w:spacing w:after="0" w:line="149"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2"/>
                <w:szCs w:val="12"/>
                <w:color w:val="auto"/>
              </w:rPr>
            </w:pPr>
          </w:p>
        </w:tc>
      </w:tr>
      <w:tr>
        <w:trPr>
          <w:trHeight w:val="201"/>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related benefits</w:t>
            </w:r>
          </w:p>
        </w:tc>
        <w:tc>
          <w:tcPr>
            <w:tcW w:w="2240" w:type="dxa"/>
            <w:vAlign w:val="bottom"/>
            <w:gridSpan w:val="2"/>
            <w:shd w:val="clear" w:color="auto" w:fill="CFF0FC"/>
          </w:tcPr>
          <w:p>
            <w:pPr>
              <w:jc w:val="right"/>
              <w:ind w:right="551"/>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5,023</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w:t>
            </w:r>
          </w:p>
        </w:tc>
        <w:tc>
          <w:tcPr>
            <w:tcW w:w="80" w:type="dxa"/>
            <w:vAlign w:val="bottom"/>
            <w:shd w:val="clear" w:color="auto" w:fill="CFF0FC"/>
          </w:tcPr>
          <w:p>
            <w:pPr>
              <w:spacing w:after="0"/>
              <w:rPr>
                <w:sz w:val="17"/>
                <w:szCs w:val="17"/>
                <w:color w:val="auto"/>
              </w:rPr>
            </w:pPr>
          </w:p>
        </w:tc>
      </w:tr>
      <w:tr>
        <w:trPr>
          <w:trHeight w:val="205"/>
        </w:trPr>
        <w:tc>
          <w:tcPr>
            <w:tcW w:w="3840" w:type="dxa"/>
            <w:vAlign w:val="bottom"/>
          </w:tcPr>
          <w:p>
            <w:pPr>
              <w:spacing w:after="0"/>
              <w:rPr>
                <w:sz w:val="20"/>
                <w:szCs w:val="20"/>
                <w:color w:val="auto"/>
              </w:rPr>
            </w:pPr>
            <w:r>
              <w:rPr>
                <w:rFonts w:ascii="Arial" w:cs="Arial" w:eastAsia="Arial" w:hAnsi="Arial"/>
                <w:sz w:val="16"/>
                <w:szCs w:val="16"/>
                <w:color w:val="auto"/>
              </w:rPr>
              <w:t>Consulting and professional fees</w:t>
            </w: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17"/>
                <w:szCs w:val="17"/>
                <w:color w:val="auto"/>
              </w:rPr>
            </w:pPr>
          </w:p>
        </w:tc>
      </w:tr>
      <w:tr>
        <w:trPr>
          <w:trHeight w:val="211"/>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80" w:type="dxa"/>
            <w:vAlign w:val="bottom"/>
            <w:shd w:val="clear" w:color="auto" w:fill="CFF0FC"/>
          </w:tcPr>
          <w:p>
            <w:pPr>
              <w:spacing w:after="0"/>
              <w:rPr>
                <w:sz w:val="18"/>
                <w:szCs w:val="18"/>
                <w:color w:val="auto"/>
              </w:rPr>
            </w:pPr>
          </w:p>
        </w:tc>
      </w:tr>
      <w:tr>
        <w:trPr>
          <w:trHeight w:val="205"/>
        </w:trPr>
        <w:tc>
          <w:tcPr>
            <w:tcW w:w="3840" w:type="dxa"/>
            <w:vAlign w:val="bottom"/>
          </w:tcPr>
          <w:p>
            <w:pPr>
              <w:spacing w:after="0"/>
              <w:rPr>
                <w:sz w:val="20"/>
                <w:szCs w:val="20"/>
                <w:color w:val="auto"/>
              </w:rPr>
            </w:pPr>
            <w:r>
              <w:rPr>
                <w:rFonts w:ascii="Arial" w:cs="Arial" w:eastAsia="Arial" w:hAnsi="Arial"/>
                <w:sz w:val="16"/>
                <w:szCs w:val="16"/>
                <w:color w:val="auto"/>
              </w:rPr>
              <w:t>Warranty</w:t>
            </w: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639</w:t>
            </w:r>
          </w:p>
        </w:tc>
        <w:tc>
          <w:tcPr>
            <w:tcW w:w="80" w:type="dxa"/>
            <w:vAlign w:val="bottom"/>
          </w:tcPr>
          <w:p>
            <w:pPr>
              <w:spacing w:after="0"/>
              <w:rPr>
                <w:sz w:val="17"/>
                <w:szCs w:val="17"/>
                <w:color w:val="auto"/>
              </w:rPr>
            </w:pPr>
          </w:p>
        </w:tc>
      </w:tr>
      <w:tr>
        <w:trPr>
          <w:trHeight w:val="211"/>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Sales tax payable</w:t>
            </w:r>
          </w:p>
        </w:tc>
        <w:tc>
          <w:tcPr>
            <w:tcW w:w="15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80" w:type="dxa"/>
            <w:vAlign w:val="bottom"/>
            <w:shd w:val="clear" w:color="auto" w:fill="CFF0FC"/>
          </w:tcPr>
          <w:p>
            <w:pPr>
              <w:spacing w:after="0"/>
              <w:rPr>
                <w:sz w:val="18"/>
                <w:szCs w:val="18"/>
                <w:color w:val="auto"/>
              </w:rPr>
            </w:pPr>
          </w:p>
        </w:tc>
      </w:tr>
      <w:tr>
        <w:trPr>
          <w:trHeight w:val="205"/>
        </w:trPr>
        <w:tc>
          <w:tcPr>
            <w:tcW w:w="3840" w:type="dxa"/>
            <w:vAlign w:val="bottom"/>
          </w:tcPr>
          <w:p>
            <w:pPr>
              <w:spacing w:after="0"/>
              <w:rPr>
                <w:sz w:val="20"/>
                <w:szCs w:val="20"/>
                <w:color w:val="auto"/>
              </w:rPr>
            </w:pPr>
            <w:r>
              <w:rPr>
                <w:rFonts w:ascii="Arial" w:cs="Arial" w:eastAsia="Arial" w:hAnsi="Arial"/>
                <w:sz w:val="16"/>
                <w:szCs w:val="16"/>
                <w:color w:val="auto"/>
              </w:rPr>
              <w:t>Interest payable</w:t>
            </w: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7"/>
                <w:szCs w:val="17"/>
                <w:color w:val="auto"/>
              </w:rPr>
            </w:pPr>
          </w:p>
        </w:tc>
      </w:tr>
      <w:tr>
        <w:trPr>
          <w:trHeight w:val="211"/>
        </w:trPr>
        <w:tc>
          <w:tcPr>
            <w:tcW w:w="38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54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687</w:t>
            </w:r>
          </w:p>
        </w:tc>
        <w:tc>
          <w:tcPr>
            <w:tcW w:w="80" w:type="dxa"/>
            <w:vAlign w:val="bottom"/>
            <w:shd w:val="clear" w:color="auto" w:fill="CFF0FC"/>
          </w:tcPr>
          <w:p>
            <w:pPr>
              <w:spacing w:after="0"/>
              <w:rPr>
                <w:sz w:val="18"/>
                <w:szCs w:val="18"/>
                <w:color w:val="auto"/>
              </w:rPr>
            </w:pPr>
          </w:p>
        </w:tc>
      </w:tr>
      <w:tr>
        <w:trPr>
          <w:trHeight w:val="198"/>
        </w:trPr>
        <w:tc>
          <w:tcPr>
            <w:tcW w:w="384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240" w:type="dxa"/>
            <w:vAlign w:val="bottom"/>
            <w:gridSpan w:val="2"/>
          </w:tcPr>
          <w:p>
            <w:pPr>
              <w:jc w:val="right"/>
              <w:ind w:right="551"/>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7,319</w:t>
            </w:r>
          </w:p>
        </w:tc>
        <w:tc>
          <w:tcPr>
            <w:tcW w:w="200" w:type="dxa"/>
            <w:vAlign w:val="bottom"/>
          </w:tcPr>
          <w:p>
            <w:pPr>
              <w:spacing w:after="0"/>
              <w:rPr>
                <w:sz w:val="17"/>
                <w:szCs w:val="17"/>
                <w:color w:val="auto"/>
              </w:rPr>
            </w:pPr>
          </w:p>
        </w:tc>
        <w:tc>
          <w:tcPr>
            <w:tcW w:w="360" w:type="dxa"/>
            <w:vAlign w:val="bottom"/>
            <w:gridSpan w:val="2"/>
          </w:tcPr>
          <w:p>
            <w:pPr>
              <w:jc w:val="right"/>
              <w:ind w:right="2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9,031</w:t>
            </w:r>
          </w:p>
        </w:tc>
        <w:tc>
          <w:tcPr>
            <w:tcW w:w="8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tab/>
        <w:t>DEBT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composition of debt as of December 31, 2020 and 2019 (in thousands):</w:t>
      </w:r>
    </w:p>
    <w:p>
      <w:pPr>
        <w:spacing w:after="0" w:line="276"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Borders>
              <w:bottom w:val="single" w:sz="8" w:color="CFF0FC"/>
            </w:tcBorders>
          </w:tcPr>
          <w:p>
            <w:pPr>
              <w:spacing w:after="0"/>
              <w:rPr>
                <w:sz w:val="12"/>
                <w:szCs w:val="12"/>
                <w:color w:val="auto"/>
              </w:rPr>
            </w:pPr>
          </w:p>
        </w:tc>
        <w:tc>
          <w:tcPr>
            <w:tcW w:w="13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2"/>
              <w:spacing w:after="0" w:line="149"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3"/>
              <w:spacing w:after="0" w:line="149"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Outstanding principal</w:t>
            </w:r>
          </w:p>
        </w:tc>
        <w:tc>
          <w:tcPr>
            <w:tcW w:w="162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6"/>
                <w:szCs w:val="16"/>
                <w:color w:val="auto"/>
              </w:rPr>
              <w:t>Accrued final payment fees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Less debt discounts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(2,305)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98"/>
        </w:trPr>
        <w:tc>
          <w:tcPr>
            <w:tcW w:w="4000" w:type="dxa"/>
            <w:vAlign w:val="bottom"/>
          </w:tcPr>
          <w:p>
            <w:pPr>
              <w:ind w:left="220"/>
              <w:spacing w:after="0"/>
              <w:rPr>
                <w:sz w:val="20"/>
                <w:szCs w:val="20"/>
                <w:color w:val="auto"/>
              </w:rPr>
            </w:pPr>
            <w:r>
              <w:rPr>
                <w:rFonts w:ascii="Arial" w:cs="Arial" w:eastAsia="Arial" w:hAnsi="Arial"/>
                <w:sz w:val="16"/>
                <w:szCs w:val="16"/>
                <w:color w:val="auto"/>
              </w:rPr>
              <w:t>Total long-term debt, net</w:t>
            </w:r>
          </w:p>
        </w:tc>
        <w:tc>
          <w:tcPr>
            <w:tcW w:w="1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Less current portion of long-term debt</w:t>
            </w:r>
          </w:p>
        </w:tc>
        <w:tc>
          <w:tcPr>
            <w:tcW w:w="1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(11,250)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20"/>
              <w:spacing w:after="0"/>
              <w:rPr>
                <w:sz w:val="20"/>
                <w:szCs w:val="20"/>
                <w:color w:val="auto"/>
              </w:rPr>
            </w:pPr>
            <w:r>
              <w:rPr>
                <w:rFonts w:ascii="Arial" w:cs="Arial" w:eastAsia="Arial" w:hAnsi="Arial"/>
                <w:sz w:val="16"/>
                <w:szCs w:val="16"/>
                <w:color w:val="auto"/>
              </w:rPr>
              <w:t>Long-term debt, net</w:t>
            </w:r>
          </w:p>
        </w:tc>
        <w:tc>
          <w:tcPr>
            <w:tcW w:w="1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34,620</w:t>
            </w:r>
          </w:p>
        </w:tc>
        <w:tc>
          <w:tcPr>
            <w:tcW w:w="200" w:type="dxa"/>
            <w:vAlign w:val="bottom"/>
          </w:tcPr>
          <w:p>
            <w:pPr>
              <w:spacing w:after="0"/>
              <w:rPr>
                <w:sz w:val="17"/>
                <w:szCs w:val="17"/>
                <w:color w:val="auto"/>
              </w:rPr>
            </w:pPr>
          </w:p>
        </w:tc>
        <w:tc>
          <w:tcPr>
            <w:tcW w:w="3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the year ended December 31, 2020, the Company recognized interest expense of $4.5 million, which $3.9 million was cash and $0.6 million was non-cash interest expense related to the amortization of deferred debt issuance costs and accrual of final payment fees.</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year ended December 31, 2019, the Company recognized interest expense of $3.7 million, of which $2.9 million was cash and $0.8 million was non-cash interest expense related to the amortization of deferred debt issuance costs and accrual of final payment fees.</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year ended December 31, 2018, the Company recognized interest expense of $3.7 million, of which $2.9 million was cash and $0.8 million was non-cash interest expense related to the amortization of deferred debt issuance costs and accrual of final payment fees.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Solar Credit Facility</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6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Solar Facility permits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 (a) December 15, 2021, (b) 30 days following achievement of the net product revenue condition or (c) the occurrence of an event of default.</w:t>
      </w:r>
    </w:p>
    <w:p>
      <w:pPr>
        <w:spacing w:after="0" w:line="7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6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 (d) 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17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1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3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Solar Amendment also reduces the trailing twelve-month net product revenue requirement for the Amended Term B Loan portion of the facility. Subject to certain conditions, the Company has the ability to extend the interest only period on the initial Term A Loan to 36 months from 24 months upon achieving the revenue targets associated with the Amended Term B Loan. The Company was required to pay an amendment fee of $0.1 million to Solar, which has been recognized as a deferred debt issuance cost as of December 31, 2020 that will be amortized to interest expense using the effective interest method.</w:t>
      </w:r>
    </w:p>
    <w:p>
      <w:pPr>
        <w:spacing w:after="0" w:line="71" w:lineRule="exact"/>
        <w:rPr>
          <w:sz w:val="20"/>
          <w:szCs w:val="20"/>
          <w:color w:val="auto"/>
        </w:rPr>
      </w:pPr>
    </w:p>
    <w:p>
      <w:pPr>
        <w:jc w:val="both"/>
        <w:ind w:right="400"/>
        <w:spacing w:after="0" w:line="27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6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w:t>
      </w:r>
    </w:p>
    <w:p>
      <w:pPr>
        <w:spacing w:after="0" w:line="17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Solar Facility include a financial covenant requiring the attainment of a minimum trailing net revenue amount beginning on December 31, 2020. The Company and lenders executed the Solar Amendment in December 2020 that reduces the minimum trailing net revenue covenant requirement amounts beginning on December 31, 2020 to allow the Company to maintain compliance with the covenant as of December 31, 2020. The Company is projected to be in compliance with the reduced minimum revenue covenant amounts going forward.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is in compliance with all covenants in the Solar Facility.</w:t>
      </w:r>
    </w:p>
    <w:p>
      <w:pPr>
        <w:spacing w:after="0" w:line="22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Based on a 36-month amortization of the outstanding principal amounts of the Term A Loan beginning on April 1, 2022 as discussed above, the following table sets forth by year our required future principal payments under the Term A Loan (in thousands):</w:t>
      </w:r>
    </w:p>
    <w:tbl>
      <w:tblPr>
        <w:tblLayout w:type="fixed"/>
        <w:tblInd w:w="3140" w:type="dxa"/>
        <w:tblCellMar>
          <w:top w:w="0" w:type="dxa"/>
          <w:left w:w="0" w:type="dxa"/>
          <w:bottom w:w="0" w:type="dxa"/>
          <w:right w:w="0" w:type="dxa"/>
        </w:tblCellMar>
      </w:tblPr>
      <w:tr>
        <w:trPr>
          <w:trHeight w:val="135"/>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1"/>
                <w:szCs w:val="11"/>
                <w:color w:val="auto"/>
              </w:rPr>
            </w:pPr>
          </w:p>
        </w:tc>
        <w:tc>
          <w:tcPr>
            <w:tcW w:w="150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6"/>
        </w:trPr>
        <w:tc>
          <w:tcPr>
            <w:tcW w:w="31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20" w:type="dxa"/>
            <w:vAlign w:val="bottom"/>
            <w:tcBorders>
              <w:top w:val="single" w:sz="8" w:color="auto"/>
            </w:tcBorders>
            <w:shd w:val="clear" w:color="auto" w:fill="CFF0FC"/>
          </w:tcPr>
          <w:p>
            <w:pPr>
              <w:jc w:val="right"/>
              <w:ind w:right="2542"/>
              <w:spacing w:after="0"/>
              <w:rPr>
                <w:sz w:val="20"/>
                <w:szCs w:val="20"/>
                <w:color w:val="auto"/>
              </w:rPr>
            </w:pPr>
            <w:r>
              <w:rPr>
                <w:rFonts w:ascii="Arial" w:cs="Arial" w:eastAsia="Arial" w:hAnsi="Arial"/>
                <w:sz w:val="16"/>
                <w:szCs w:val="16"/>
                <w:color w:val="auto"/>
                <w:w w:val="78"/>
              </w:rPr>
              <w:t>2021</w:t>
            </w:r>
          </w:p>
        </w:tc>
        <w:tc>
          <w:tcPr>
            <w:tcW w:w="2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gridSpan w:val="2"/>
          </w:tcPr>
          <w:p>
            <w:pPr>
              <w:jc w:val="right"/>
              <w:ind w:right="2542"/>
              <w:spacing w:after="0"/>
              <w:rPr>
                <w:sz w:val="20"/>
                <w:szCs w:val="20"/>
                <w:color w:val="auto"/>
              </w:rPr>
            </w:pPr>
            <w:r>
              <w:rPr>
                <w:rFonts w:ascii="Arial" w:cs="Arial" w:eastAsia="Arial" w:hAnsi="Arial"/>
                <w:sz w:val="16"/>
                <w:szCs w:val="16"/>
                <w:color w:val="auto"/>
                <w:w w:val="84"/>
              </w:rPr>
              <w:t>2022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shd w:val="clear" w:color="auto" w:fill="CFF0FC"/>
          </w:tcPr>
          <w:p>
            <w:pPr>
              <w:jc w:val="right"/>
              <w:ind w:right="2542"/>
              <w:spacing w:after="0"/>
              <w:rPr>
                <w:sz w:val="20"/>
                <w:szCs w:val="20"/>
                <w:color w:val="auto"/>
              </w:rPr>
            </w:pPr>
            <w:r>
              <w:rPr>
                <w:rFonts w:ascii="Arial" w:cs="Arial" w:eastAsia="Arial" w:hAnsi="Arial"/>
                <w:sz w:val="16"/>
                <w:szCs w:val="16"/>
                <w:color w:val="auto"/>
                <w:w w:val="78"/>
              </w:rPr>
              <w:t>2023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40" w:type="dxa"/>
            <w:vAlign w:val="bottom"/>
            <w:gridSpan w:val="2"/>
          </w:tcPr>
          <w:p>
            <w:pPr>
              <w:jc w:val="right"/>
              <w:ind w:right="2542"/>
              <w:spacing w:after="0"/>
              <w:rPr>
                <w:sz w:val="20"/>
                <w:szCs w:val="20"/>
                <w:color w:val="auto"/>
              </w:rPr>
            </w:pPr>
            <w:r>
              <w:rPr>
                <w:rFonts w:ascii="Arial" w:cs="Arial" w:eastAsia="Arial" w:hAnsi="Arial"/>
                <w:sz w:val="16"/>
                <w:szCs w:val="16"/>
                <w:color w:val="auto"/>
                <w:w w:val="84"/>
              </w:rPr>
              <w:t>2024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20" w:type="dxa"/>
            <w:vAlign w:val="bottom"/>
            <w:shd w:val="clear" w:color="auto" w:fill="CFF0FC"/>
          </w:tcPr>
          <w:p>
            <w:pPr>
              <w:jc w:val="right"/>
              <w:ind w:right="2542"/>
              <w:spacing w:after="0"/>
              <w:rPr>
                <w:sz w:val="20"/>
                <w:szCs w:val="20"/>
                <w:color w:val="auto"/>
              </w:rPr>
            </w:pPr>
            <w:r>
              <w:rPr>
                <w:rFonts w:ascii="Arial" w:cs="Arial" w:eastAsia="Arial" w:hAnsi="Arial"/>
                <w:sz w:val="16"/>
                <w:szCs w:val="16"/>
                <w:color w:val="auto"/>
                <w:w w:val="78"/>
              </w:rPr>
              <w:t>2025</w:t>
            </w:r>
          </w:p>
        </w:tc>
        <w:tc>
          <w:tcPr>
            <w:tcW w:w="2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gridSpan w:val="2"/>
          </w:tcPr>
          <w:p>
            <w:pPr>
              <w:ind w:left="220"/>
              <w:spacing w:after="0"/>
              <w:rPr>
                <w:sz w:val="20"/>
                <w:szCs w:val="20"/>
                <w:color w:val="auto"/>
              </w:rPr>
            </w:pPr>
            <w:r>
              <w:rPr>
                <w:rFonts w:ascii="Arial" w:cs="Arial" w:eastAsia="Arial" w:hAnsi="Arial"/>
                <w:sz w:val="16"/>
                <w:szCs w:val="16"/>
                <w:color w:val="auto"/>
              </w:rPr>
              <w:t>Total principal payments</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Oxford Credit Facility</w:t>
      </w:r>
    </w:p>
    <w:p>
      <w:pPr>
        <w:spacing w:after="0" w:line="3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 (a) 8.15% or (b) the 30 day U.S. LIBOR on the last business day of the month plus 7.38%. This facility featured an interest-only period on all tranches through March 2019.</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3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addition to principal and interest payments due under the $35.0 million Oxford credit facility, the Company was required to make final payment fees to Oxford upon the earlier of prepayment or maturity and equal to 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0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274" w:lineRule="exact"/>
        <w:rPr>
          <w:sz w:val="20"/>
          <w:szCs w:val="20"/>
          <w:color w:val="auto"/>
        </w:rPr>
      </w:pPr>
    </w:p>
    <w:p>
      <w:pPr>
        <w:ind w:right="5060" w:firstLine="4"/>
        <w:spacing w:after="0" w:line="387" w:lineRule="auto"/>
        <w:tabs>
          <w:tab w:leader="none" w:pos="378"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PREFERRED STOCK AND STOCKHOLDERS’ DEFICIT Initial Public Offering</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On July 2, 2018, the Company closed its IPO, in which the Company issued and sold 6.325 million shares of its common stock, which included shares sold pursuant to an option granted to the underwriters to purchase additional shares, at a public offering price of $17.00 per share. The Company received net proceeds of $96.5 million after deducting underwriting discounts, commissions and other offering expenses paid by the Company. In addition, immediately prior to the closing of the IPO on July 2, 2018, (i) all of the Company’s outstanding shares of convertible preferred stock converted into an aggregate of 11.0 million shares of common stock; (ii) all of the Company’s outstanding warrants to purchase convertible preferred stock converted into warrants to purchase common stock; and (iii) the Company filed an amended and restated certificate of incorporation to, among other things, decrease the number of shares of common stock, $0.01 par value per share, authorized for issuance to 200.0 million and to authorize the board of directors to issue up to 10.0 million shares of “blank check” preferred stock, $0.01 par value per share.</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3"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Company’s amended and restated certificate of incorporation as of December 31, 2020 authorized the issuance of 200.0 million shares of common stock, $0.01 par value per share, of which 19.1 million were issued and outstanding as of December 31, 2020.</w:t>
      </w:r>
    </w:p>
    <w:p>
      <w:pPr>
        <w:spacing w:after="0" w:line="15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summarizes the total number of shares of the Company’s common stock issued and reserved for issuance as of December 31, 2020 and 2019 (in thousands):</w:t>
      </w:r>
    </w:p>
    <w:p>
      <w:pPr>
        <w:spacing w:after="0" w:line="214"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5400" w:type="dxa"/>
            <w:vAlign w:val="bottom"/>
          </w:tcPr>
          <w:p>
            <w:pPr>
              <w:spacing w:after="0"/>
              <w:rPr>
                <w:sz w:val="14"/>
                <w:szCs w:val="14"/>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4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344"/>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3"/>
              <w:spacing w:after="0" w:line="149"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2"/>
                <w:szCs w:val="12"/>
                <w:color w:val="auto"/>
              </w:rPr>
            </w:pPr>
          </w:p>
        </w:tc>
      </w:tr>
      <w:tr>
        <w:trPr>
          <w:trHeight w:val="201"/>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Shares of common stock issued</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19,114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18,645</w:t>
            </w:r>
          </w:p>
        </w:tc>
        <w:tc>
          <w:tcPr>
            <w:tcW w:w="80" w:type="dxa"/>
            <w:vAlign w:val="bottom"/>
            <w:shd w:val="clear" w:color="auto" w:fill="CFF0FC"/>
          </w:tcPr>
          <w:p>
            <w:pPr>
              <w:spacing w:after="0"/>
              <w:rPr>
                <w:sz w:val="17"/>
                <w:szCs w:val="17"/>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6"/>
                <w:szCs w:val="16"/>
                <w:color w:val="auto"/>
              </w:rPr>
              <w:t>Shares of common stock reserved for issuance for:</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Common stock warrants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FF0FC"/>
          </w:tcPr>
          <w:p>
            <w:pPr>
              <w:spacing w:after="0"/>
              <w:rPr>
                <w:sz w:val="18"/>
                <w:szCs w:val="18"/>
                <w:color w:val="auto"/>
              </w:rPr>
            </w:pPr>
          </w:p>
        </w:tc>
      </w:tr>
      <w:tr>
        <w:trPr>
          <w:trHeight w:val="205"/>
        </w:trPr>
        <w:tc>
          <w:tcPr>
            <w:tcW w:w="5400" w:type="dxa"/>
            <w:vAlign w:val="bottom"/>
          </w:tcPr>
          <w:p>
            <w:pPr>
              <w:ind w:left="220"/>
              <w:spacing w:after="0"/>
              <w:rPr>
                <w:sz w:val="20"/>
                <w:szCs w:val="20"/>
                <w:color w:val="auto"/>
              </w:rPr>
            </w:pPr>
            <w:r>
              <w:rPr>
                <w:rFonts w:ascii="Arial" w:cs="Arial" w:eastAsia="Arial" w:hAnsi="Arial"/>
                <w:sz w:val="16"/>
                <w:szCs w:val="16"/>
                <w:color w:val="auto"/>
              </w:rPr>
              <w:t>Stock options outstanding</w:t>
            </w:r>
          </w:p>
        </w:tc>
        <w:tc>
          <w:tcPr>
            <w:tcW w:w="1080" w:type="dxa"/>
            <w:vAlign w:val="bottom"/>
          </w:tcPr>
          <w:p>
            <w:pPr>
              <w:jc w:val="right"/>
              <w:spacing w:after="0"/>
              <w:rPr>
                <w:sz w:val="20"/>
                <w:szCs w:val="20"/>
                <w:color w:val="auto"/>
              </w:rPr>
            </w:pPr>
            <w:r>
              <w:rPr>
                <w:rFonts w:ascii="Arial" w:cs="Arial" w:eastAsia="Arial" w:hAnsi="Arial"/>
                <w:sz w:val="16"/>
                <w:szCs w:val="16"/>
                <w:color w:val="auto"/>
              </w:rPr>
              <w:t>2,365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2,415</w:t>
            </w:r>
          </w:p>
        </w:tc>
        <w:tc>
          <w:tcPr>
            <w:tcW w:w="80" w:type="dxa"/>
            <w:vAlign w:val="bottom"/>
          </w:tcPr>
          <w:p>
            <w:pPr>
              <w:spacing w:after="0"/>
              <w:rPr>
                <w:sz w:val="17"/>
                <w:szCs w:val="17"/>
                <w:color w:val="auto"/>
              </w:rPr>
            </w:pPr>
          </w:p>
        </w:tc>
      </w:tr>
      <w:tr>
        <w:trPr>
          <w:trHeight w:val="211"/>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Restricted stock units outstanding</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FF0FC"/>
          </w:tcPr>
          <w:p>
            <w:pPr>
              <w:spacing w:after="0"/>
              <w:rPr>
                <w:sz w:val="18"/>
                <w:szCs w:val="18"/>
                <w:color w:val="auto"/>
              </w:rPr>
            </w:pPr>
          </w:p>
        </w:tc>
      </w:tr>
      <w:tr>
        <w:trPr>
          <w:trHeight w:val="205"/>
        </w:trPr>
        <w:tc>
          <w:tcPr>
            <w:tcW w:w="5400" w:type="dxa"/>
            <w:vAlign w:val="bottom"/>
          </w:tcPr>
          <w:p>
            <w:pPr>
              <w:ind w:left="220"/>
              <w:spacing w:after="0"/>
              <w:rPr>
                <w:sz w:val="20"/>
                <w:szCs w:val="20"/>
                <w:color w:val="auto"/>
              </w:rPr>
            </w:pPr>
            <w:r>
              <w:rPr>
                <w:rFonts w:ascii="Arial" w:cs="Arial" w:eastAsia="Arial" w:hAnsi="Arial"/>
                <w:sz w:val="16"/>
                <w:szCs w:val="16"/>
                <w:color w:val="auto"/>
              </w:rPr>
              <w:t>Shares available for grant under stock incentive plan</w:t>
            </w:r>
          </w:p>
        </w:tc>
        <w:tc>
          <w:tcPr>
            <w:tcW w:w="1080" w:type="dxa"/>
            <w:vAlign w:val="bottom"/>
          </w:tcPr>
          <w:p>
            <w:pPr>
              <w:jc w:val="right"/>
              <w:spacing w:after="0"/>
              <w:rPr>
                <w:sz w:val="20"/>
                <w:szCs w:val="20"/>
                <w:color w:val="auto"/>
              </w:rPr>
            </w:pPr>
            <w:r>
              <w:rPr>
                <w:rFonts w:ascii="Arial" w:cs="Arial" w:eastAsia="Arial" w:hAnsi="Arial"/>
                <w:sz w:val="16"/>
                <w:szCs w:val="16"/>
                <w:color w:val="auto"/>
              </w:rPr>
              <w:t>1,530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1,215</w:t>
            </w:r>
          </w:p>
        </w:tc>
        <w:tc>
          <w:tcPr>
            <w:tcW w:w="80" w:type="dxa"/>
            <w:vAlign w:val="bottom"/>
          </w:tcPr>
          <w:p>
            <w:pPr>
              <w:spacing w:after="0"/>
              <w:rPr>
                <w:sz w:val="17"/>
                <w:szCs w:val="17"/>
                <w:color w:val="auto"/>
              </w:rPr>
            </w:pPr>
          </w:p>
        </w:tc>
      </w:tr>
      <w:tr>
        <w:trPr>
          <w:trHeight w:val="211"/>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Shares available for sale under employee stock purchase plan</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FF0FC"/>
          </w:tcPr>
          <w:p>
            <w:pPr>
              <w:spacing w:after="0"/>
              <w:rPr>
                <w:sz w:val="18"/>
                <w:szCs w:val="18"/>
                <w:color w:val="auto"/>
              </w:rPr>
            </w:pPr>
          </w:p>
        </w:tc>
      </w:tr>
      <w:tr>
        <w:trPr>
          <w:trHeight w:val="198"/>
        </w:trPr>
        <w:tc>
          <w:tcPr>
            <w:tcW w:w="5400" w:type="dxa"/>
            <w:vAlign w:val="bottom"/>
          </w:tcPr>
          <w:p>
            <w:pPr>
              <w:ind w:left="460"/>
              <w:spacing w:after="0"/>
              <w:rPr>
                <w:sz w:val="20"/>
                <w:szCs w:val="20"/>
                <w:color w:val="auto"/>
              </w:rPr>
            </w:pPr>
            <w:r>
              <w:rPr>
                <w:rFonts w:ascii="Arial" w:cs="Arial" w:eastAsia="Arial" w:hAnsi="Arial"/>
                <w:sz w:val="16"/>
                <w:szCs w:val="16"/>
                <w:color w:val="auto"/>
              </w:rPr>
              <w:t>Total shares of common stock issued and reserved for issuance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23,046</w:t>
            </w:r>
          </w:p>
        </w:tc>
        <w:tc>
          <w:tcPr>
            <w:tcW w:w="8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Each share of common stock entitles the holder to one vote on all matters submitted to a vote of the Company’s stockholders. Holders of common stock are entitled to receive any dividends that the Company’s board of directors may declare out of funds legally available for that purpose on a non-cumulative basis. The Company has never paid, and for the foreseeable future does not expect to pay, a dividend on its common stock.</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Prior to the filing of the July 2, 2018 amended certificate of incorporation, the Company’s amended certificate of incorporation authorized the issuance of 308.6 million shares of convertible preferred stock, $0.01 par value per share, of which the Company had designated and issued Series A-1, Series A-2, Series B, Series C, Series D, Series E, Series F and Series G shares. Series A-1 through Series E shares of convertible preferred stock are referred to collectively as Junior Securities and are subordinate to shares of Series G and Series F convertible preferred stock. All of the Company’s convertible preferred stock was classified outside of stockholders’ equity (deficit) because the shares contained deemed liquidation rights that were a contingent redemption feature not solely within the control of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Conversion</w:t>
      </w:r>
    </w:p>
    <w:p>
      <w:pPr>
        <w:spacing w:after="0" w:line="11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Each share and series of convertible preferred stock was convertible into common stock at any time at the option of the holder thereof at the conversion price then in effect (each subject to adjustments upon the occurrence of certain dilutive events). As of July 2, 2018, the conversion price for Series A-1, Series D, Series E, Series F and Series G shares was equal to the original issue price, resulting in a common stock conversion ratio of 1:0.0345. As of July 2, 2018, as a result of past anti-dilution adjustments, the conversion price for Series A-2, Series B and Series C shares was below the original issue price, resulting in common stock conversion ratios of 1:0.03539, 1:0.04103 and 1:0.05071, respectively. Immediately prior to the closing of the IPO on July 2, 2018, all of the Company’s outstanding shares of convertible preferred stock converted into 11.0 million shares of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Warrants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outstanding common stock warrants as of December 31, 2020 and 2019:</w:t>
      </w:r>
    </w:p>
    <w:p>
      <w:pPr>
        <w:spacing w:after="0" w:line="193" w:lineRule="exact"/>
        <w:rPr>
          <w:sz w:val="20"/>
          <w:szCs w:val="20"/>
          <w:color w:val="auto"/>
        </w:rPr>
      </w:pPr>
    </w:p>
    <w:tbl>
      <w:tblPr>
        <w:tblLayout w:type="fixed"/>
        <w:tblInd w:w="2340" w:type="dxa"/>
        <w:tblCellMar>
          <w:top w:w="0" w:type="dxa"/>
          <w:left w:w="0" w:type="dxa"/>
          <w:bottom w:w="0" w:type="dxa"/>
          <w:right w:w="0" w:type="dxa"/>
        </w:tblCellMar>
      </w:tblPr>
      <w:tr>
        <w:trPr>
          <w:trHeight w:val="161"/>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Outstanding</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vMerge w:val="restart"/>
          </w:tcPr>
          <w:p>
            <w:pPr>
              <w:jc w:val="right"/>
              <w:ind w:right="503"/>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vMerge w:val="restart"/>
          </w:tcPr>
          <w:p>
            <w:pPr>
              <w:spacing w:after="0"/>
              <w:rPr>
                <w:sz w:val="12"/>
                <w:szCs w:val="12"/>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Expiration Date</w:t>
            </w:r>
          </w:p>
        </w:tc>
        <w:tc>
          <w:tcPr>
            <w:tcW w:w="0" w:type="dxa"/>
            <w:vAlign w:val="bottom"/>
          </w:tcPr>
          <w:p>
            <w:pPr>
              <w:spacing w:after="0"/>
              <w:rPr>
                <w:sz w:val="1"/>
                <w:szCs w:val="1"/>
                <w:color w:val="auto"/>
              </w:rPr>
            </w:pPr>
          </w:p>
        </w:tc>
      </w:tr>
      <w:tr>
        <w:trPr>
          <w:trHeight w:val="166"/>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tcPr>
          <w:p>
            <w:pPr>
              <w:jc w:val="right"/>
              <w:spacing w:after="0"/>
              <w:rPr>
                <w:sz w:val="20"/>
                <w:szCs w:val="20"/>
                <w:color w:val="auto"/>
              </w:rPr>
            </w:pPr>
            <w:r>
              <w:rPr>
                <w:rFonts w:ascii="Arial" w:cs="Arial" w:eastAsia="Arial" w:hAnsi="Arial"/>
                <w:sz w:val="16"/>
                <w:szCs w:val="16"/>
                <w:color w:val="auto"/>
              </w:rPr>
              <w:t>14</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19.55</w:t>
            </w:r>
          </w:p>
        </w:tc>
        <w:tc>
          <w:tcPr>
            <w:tcW w:w="3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Dec-2022</w:t>
            </w:r>
          </w:p>
        </w:tc>
        <w:tc>
          <w:tcPr>
            <w:tcW w:w="0" w:type="dxa"/>
            <w:vAlign w:val="bottom"/>
          </w:tcPr>
          <w:p>
            <w:pPr>
              <w:spacing w:after="0"/>
              <w:rPr>
                <w:sz w:val="1"/>
                <w:szCs w:val="1"/>
                <w:color w:val="auto"/>
              </w:rPr>
            </w:pPr>
          </w:p>
        </w:tc>
      </w:tr>
      <w:tr>
        <w:trPr>
          <w:trHeight w:val="208"/>
        </w:trPr>
        <w:tc>
          <w:tcPr>
            <w:tcW w:w="1960" w:type="dxa"/>
            <w:vAlign w:val="bottom"/>
          </w:tcPr>
          <w:p>
            <w:pPr>
              <w:jc w:val="right"/>
              <w:spacing w:after="0"/>
              <w:rPr>
                <w:sz w:val="20"/>
                <w:szCs w:val="20"/>
                <w:color w:val="auto"/>
              </w:rPr>
            </w:pPr>
            <w:r>
              <w:rPr>
                <w:rFonts w:ascii="Arial" w:cs="Arial" w:eastAsia="Arial" w:hAnsi="Arial"/>
                <w:sz w:val="16"/>
                <w:szCs w:val="16"/>
                <w:color w:val="auto"/>
              </w:rPr>
              <w:t>30</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9.73</w:t>
            </w:r>
          </w:p>
        </w:tc>
        <w:tc>
          <w:tcPr>
            <w:tcW w:w="3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7"/>
              </w:rPr>
              <w:t>Feb-2021</w:t>
            </w:r>
          </w:p>
        </w:tc>
        <w:tc>
          <w:tcPr>
            <w:tcW w:w="0" w:type="dxa"/>
            <w:vAlign w:val="bottom"/>
          </w:tcPr>
          <w:p>
            <w:pPr>
              <w:spacing w:after="0"/>
              <w:rPr>
                <w:sz w:val="1"/>
                <w:szCs w:val="1"/>
                <w:color w:val="auto"/>
              </w:rPr>
            </w:pPr>
          </w:p>
        </w:tc>
      </w:tr>
      <w:tr>
        <w:trPr>
          <w:trHeight w:val="208"/>
        </w:trPr>
        <w:tc>
          <w:tcPr>
            <w:tcW w:w="1960" w:type="dxa"/>
            <w:vAlign w:val="bottom"/>
          </w:tcPr>
          <w:p>
            <w:pPr>
              <w:jc w:val="right"/>
              <w:spacing w:after="0"/>
              <w:rPr>
                <w:sz w:val="20"/>
                <w:szCs w:val="20"/>
                <w:color w:val="auto"/>
              </w:rPr>
            </w:pPr>
            <w:r>
              <w:rPr>
                <w:rFonts w:ascii="Arial" w:cs="Arial" w:eastAsia="Arial" w:hAnsi="Arial"/>
                <w:sz w:val="16"/>
                <w:szCs w:val="16"/>
                <w:color w:val="auto"/>
              </w:rPr>
              <w:t>20</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9.73</w:t>
            </w:r>
          </w:p>
        </w:tc>
        <w:tc>
          <w:tcPr>
            <w:tcW w:w="3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2"/>
              </w:rPr>
              <w:t>Aug-2023</w:t>
            </w:r>
          </w:p>
        </w:tc>
        <w:tc>
          <w:tcPr>
            <w:tcW w:w="0" w:type="dxa"/>
            <w:vAlign w:val="bottom"/>
          </w:tcPr>
          <w:p>
            <w:pPr>
              <w:spacing w:after="0"/>
              <w:rPr>
                <w:sz w:val="1"/>
                <w:szCs w:val="1"/>
                <w:color w:val="auto"/>
              </w:rPr>
            </w:pPr>
          </w:p>
        </w:tc>
      </w:tr>
      <w:tr>
        <w:trPr>
          <w:trHeight w:val="208"/>
        </w:trPr>
        <w:tc>
          <w:tcPr>
            <w:tcW w:w="1960" w:type="dxa"/>
            <w:vAlign w:val="bottom"/>
          </w:tcPr>
          <w:p>
            <w:pPr>
              <w:jc w:val="right"/>
              <w:spacing w:after="0"/>
              <w:rPr>
                <w:sz w:val="20"/>
                <w:szCs w:val="20"/>
                <w:color w:val="auto"/>
              </w:rPr>
            </w:pPr>
            <w:r>
              <w:rPr>
                <w:rFonts w:ascii="Arial" w:cs="Arial" w:eastAsia="Arial" w:hAnsi="Arial"/>
                <w:sz w:val="16"/>
                <w:szCs w:val="16"/>
                <w:color w:val="auto"/>
              </w:rPr>
              <w:t>20</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9.73</w:t>
            </w:r>
          </w:p>
        </w:tc>
        <w:tc>
          <w:tcPr>
            <w:tcW w:w="3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0"/>
              </w:rPr>
              <w:t>Mar-2024</w:t>
            </w:r>
          </w:p>
        </w:tc>
        <w:tc>
          <w:tcPr>
            <w:tcW w:w="0" w:type="dxa"/>
            <w:vAlign w:val="bottom"/>
          </w:tcPr>
          <w:p>
            <w:pPr>
              <w:spacing w:after="0"/>
              <w:rPr>
                <w:sz w:val="1"/>
                <w:szCs w:val="1"/>
                <w:color w:val="auto"/>
              </w:rPr>
            </w:pPr>
          </w:p>
        </w:tc>
      </w:tr>
      <w:tr>
        <w:trPr>
          <w:trHeight w:val="211"/>
        </w:trPr>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9.73</w:t>
            </w:r>
          </w:p>
        </w:tc>
        <w:tc>
          <w:tcPr>
            <w:tcW w:w="3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Dec-2024</w:t>
            </w:r>
          </w:p>
        </w:tc>
        <w:tc>
          <w:tcPr>
            <w:tcW w:w="0" w:type="dxa"/>
            <w:vAlign w:val="bottom"/>
          </w:tcPr>
          <w:p>
            <w:pPr>
              <w:spacing w:after="0"/>
              <w:rPr>
                <w:sz w:val="1"/>
                <w:szCs w:val="1"/>
                <w:color w:val="auto"/>
              </w:rPr>
            </w:pPr>
          </w:p>
        </w:tc>
      </w:tr>
      <w:tr>
        <w:trPr>
          <w:trHeight w:val="201"/>
        </w:trPr>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LOSS PER SHARE</w:t>
      </w:r>
    </w:p>
    <w:p>
      <w:pPr>
        <w:spacing w:after="0" w:line="123"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55"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3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following potentially dilutive securities outstanding as of December 31, 2020, 2019, and 2018 have been excluded from the denominator of the diluted loss per share of common stock outstanding calculation (in thousands):</w:t>
      </w:r>
    </w:p>
    <w:p>
      <w:pPr>
        <w:spacing w:after="0" w:line="214"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December 31,</w:t>
      </w:r>
    </w:p>
    <w:p>
      <w:pPr>
        <w:spacing w:after="0" w:line="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04"/>
              <w:spacing w:after="0" w:line="14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98"/>
        </w:trPr>
        <w:tc>
          <w:tcPr>
            <w:tcW w:w="5900" w:type="dxa"/>
            <w:vAlign w:val="bottom"/>
            <w:gridSpan w:val="2"/>
          </w:tcPr>
          <w:p>
            <w:pPr>
              <w:spacing w:after="0"/>
              <w:rPr>
                <w:sz w:val="20"/>
                <w:szCs w:val="20"/>
                <w:color w:val="auto"/>
              </w:rPr>
            </w:pPr>
            <w:r>
              <w:rPr>
                <w:rFonts w:ascii="Arial" w:cs="Arial" w:eastAsia="Arial" w:hAnsi="Arial"/>
                <w:sz w:val="16"/>
                <w:szCs w:val="16"/>
                <w:color w:val="auto"/>
              </w:rPr>
              <w:t>Stock options</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2,365</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2,415</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2,711</w:t>
            </w:r>
          </w:p>
        </w:tc>
        <w:tc>
          <w:tcPr>
            <w:tcW w:w="80" w:type="dxa"/>
            <w:vAlign w:val="bottom"/>
          </w:tcPr>
          <w:p>
            <w:pPr>
              <w:spacing w:after="0"/>
              <w:rPr>
                <w:sz w:val="17"/>
                <w:szCs w:val="17"/>
                <w:color w:val="auto"/>
              </w:rPr>
            </w:pPr>
          </w:p>
        </w:tc>
      </w:tr>
      <w:tr>
        <w:trPr>
          <w:trHeight w:val="211"/>
        </w:trPr>
        <w:tc>
          <w:tcPr>
            <w:tcW w:w="59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Non-vested restricted stock awards</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8"/>
                <w:szCs w:val="18"/>
                <w:color w:val="auto"/>
              </w:rPr>
            </w:pPr>
          </w:p>
        </w:tc>
      </w:tr>
      <w:tr>
        <w:trPr>
          <w:trHeight w:val="205"/>
        </w:trPr>
        <w:tc>
          <w:tcPr>
            <w:tcW w:w="5900" w:type="dxa"/>
            <w:vAlign w:val="bottom"/>
            <w:gridSpan w:val="2"/>
          </w:tcPr>
          <w:p>
            <w:pPr>
              <w:spacing w:after="0"/>
              <w:rPr>
                <w:sz w:val="20"/>
                <w:szCs w:val="20"/>
                <w:color w:val="auto"/>
              </w:rPr>
            </w:pPr>
            <w:r>
              <w:rPr>
                <w:rFonts w:ascii="Arial" w:cs="Arial" w:eastAsia="Arial" w:hAnsi="Arial"/>
                <w:sz w:val="16"/>
                <w:szCs w:val="16"/>
                <w:color w:val="auto"/>
              </w:rPr>
              <w:t>Non-vested restricted stock units</w:t>
            </w:r>
          </w:p>
        </w:tc>
        <w:tc>
          <w:tcPr>
            <w:tcW w:w="380" w:type="dxa"/>
            <w:vAlign w:val="bottom"/>
          </w:tcPr>
          <w:p>
            <w:pPr>
              <w:jc w:val="right"/>
              <w:spacing w:after="0"/>
              <w:rPr>
                <w:sz w:val="20"/>
                <w:szCs w:val="20"/>
                <w:color w:val="auto"/>
              </w:rPr>
            </w:pPr>
            <w:r>
              <w:rPr>
                <w:rFonts w:ascii="Arial" w:cs="Arial" w:eastAsia="Arial" w:hAnsi="Arial"/>
                <w:sz w:val="16"/>
                <w:szCs w:val="16"/>
                <w:color w:val="auto"/>
                <w:w w:val="84"/>
              </w:rPr>
              <w:t>1,860</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245</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r>
      <w:tr>
        <w:trPr>
          <w:trHeight w:val="211"/>
        </w:trPr>
        <w:tc>
          <w:tcPr>
            <w:tcW w:w="59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14.</w:t>
        <w:tab/>
        <w:t>SHARE-BASED COMPENSATION</w:t>
      </w:r>
    </w:p>
    <w:p>
      <w:pPr>
        <w:spacing w:after="0" w:line="123"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amount of share-based compensation expense recognized by the Company by location in its statements of operations for the years ended December 31, 2020, 2019, and 2018 is as follows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3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80" w:type="dxa"/>
            <w:vAlign w:val="bottom"/>
            <w:tcBorders>
              <w:bottom w:val="single" w:sz="8" w:color="CFF0FC"/>
            </w:tcBorders>
          </w:tcPr>
          <w:p>
            <w:pPr>
              <w:spacing w:after="0"/>
              <w:rPr>
                <w:sz w:val="12"/>
                <w:szCs w:val="12"/>
                <w:color w:val="auto"/>
              </w:rPr>
            </w:pPr>
          </w:p>
        </w:tc>
        <w:tc>
          <w:tcPr>
            <w:tcW w:w="18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3"/>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3"/>
              <w:spacing w:after="0" w:line="149"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2"/>
                <w:szCs w:val="12"/>
                <w:color w:val="auto"/>
              </w:rPr>
            </w:pPr>
          </w:p>
        </w:tc>
      </w:tr>
      <w:tr>
        <w:trPr>
          <w:trHeight w:val="201"/>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revenues</w:t>
            </w:r>
          </w:p>
        </w:tc>
        <w:tc>
          <w:tcPr>
            <w:tcW w:w="2480" w:type="dxa"/>
            <w:vAlign w:val="bottom"/>
            <w:gridSpan w:val="2"/>
            <w:shd w:val="clear" w:color="auto" w:fill="CFF0FC"/>
          </w:tcPr>
          <w:p>
            <w:pPr>
              <w:jc w:val="right"/>
              <w:ind w:right="531"/>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FF0FC"/>
          </w:tcPr>
          <w:p>
            <w:pPr>
              <w:spacing w:after="0"/>
              <w:rPr>
                <w:sz w:val="17"/>
                <w:szCs w:val="17"/>
                <w:color w:val="auto"/>
              </w:rPr>
            </w:pPr>
          </w:p>
        </w:tc>
      </w:tr>
      <w:tr>
        <w:trPr>
          <w:trHeight w:val="205"/>
        </w:trPr>
        <w:tc>
          <w:tcPr>
            <w:tcW w:w="3480" w:type="dxa"/>
            <w:vAlign w:val="bottom"/>
          </w:tcPr>
          <w:p>
            <w:pPr>
              <w:spacing w:after="0"/>
              <w:rPr>
                <w:sz w:val="20"/>
                <w:szCs w:val="20"/>
                <w:color w:val="auto"/>
              </w:rPr>
            </w:pPr>
            <w:r>
              <w:rPr>
                <w:rFonts w:ascii="Arial" w:cs="Arial" w:eastAsia="Arial" w:hAnsi="Arial"/>
                <w:sz w:val="16"/>
                <w:szCs w:val="16"/>
                <w:color w:val="auto"/>
              </w:rPr>
              <w:t>Sales and marketing</w:t>
            </w:r>
          </w:p>
        </w:tc>
        <w:tc>
          <w:tcPr>
            <w:tcW w:w="1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1,813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926</w:t>
            </w:r>
          </w:p>
        </w:tc>
        <w:tc>
          <w:tcPr>
            <w:tcW w:w="80" w:type="dxa"/>
            <w:vAlign w:val="bottom"/>
          </w:tcPr>
          <w:p>
            <w:pPr>
              <w:spacing w:after="0"/>
              <w:rPr>
                <w:sz w:val="17"/>
                <w:szCs w:val="17"/>
                <w:color w:val="auto"/>
              </w:rPr>
            </w:pPr>
          </w:p>
        </w:tc>
      </w:tr>
      <w:tr>
        <w:trPr>
          <w:trHeight w:val="211"/>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8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2,076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80" w:type="dxa"/>
            <w:vAlign w:val="bottom"/>
            <w:shd w:val="clear" w:color="auto" w:fill="CFF0FC"/>
          </w:tcPr>
          <w:p>
            <w:pPr>
              <w:spacing w:after="0"/>
              <w:rPr>
                <w:sz w:val="18"/>
                <w:szCs w:val="18"/>
                <w:color w:val="auto"/>
              </w:rPr>
            </w:pPr>
          </w:p>
        </w:tc>
      </w:tr>
      <w:tr>
        <w:trPr>
          <w:trHeight w:val="205"/>
        </w:trPr>
        <w:tc>
          <w:tcPr>
            <w:tcW w:w="3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Research and development</w:t>
            </w:r>
          </w:p>
        </w:tc>
        <w:tc>
          <w:tcPr>
            <w:tcW w:w="182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80" w:type="dxa"/>
            <w:vAlign w:val="bottom"/>
            <w:tcBorders>
              <w:bottom w:val="single" w:sz="8" w:color="CFF0FC"/>
            </w:tcBorders>
          </w:tcPr>
          <w:p>
            <w:pPr>
              <w:spacing w:after="0"/>
              <w:rPr>
                <w:sz w:val="17"/>
                <w:szCs w:val="17"/>
                <w:color w:val="auto"/>
              </w:rPr>
            </w:pPr>
          </w:p>
        </w:tc>
      </w:tr>
      <w:tr>
        <w:trPr>
          <w:trHeight w:val="201"/>
        </w:trPr>
        <w:tc>
          <w:tcPr>
            <w:tcW w:w="34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2480" w:type="dxa"/>
            <w:vAlign w:val="bottom"/>
            <w:gridSpan w:val="2"/>
            <w:shd w:val="clear" w:color="auto" w:fill="CFF0FC"/>
          </w:tcPr>
          <w:p>
            <w:pPr>
              <w:jc w:val="right"/>
              <w:ind w:right="531"/>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4,404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1,743</w:t>
            </w:r>
          </w:p>
        </w:tc>
        <w:tc>
          <w:tcPr>
            <w:tcW w:w="80" w:type="dxa"/>
            <w:vAlign w:val="bottom"/>
            <w:shd w:val="clear" w:color="auto" w:fill="CFF0FC"/>
          </w:tcPr>
          <w:p>
            <w:pPr>
              <w:spacing w:after="0"/>
              <w:rPr>
                <w:sz w:val="17"/>
                <w:szCs w:val="17"/>
                <w:color w:val="auto"/>
              </w:rPr>
            </w:pPr>
          </w:p>
        </w:tc>
      </w:tr>
      <w:tr>
        <w:trPr>
          <w:trHeight w:val="20"/>
        </w:trPr>
        <w:tc>
          <w:tcPr>
            <w:tcW w:w="348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Equity Incentive Plan</w:t>
      </w:r>
    </w:p>
    <w:p>
      <w:pPr>
        <w:spacing w:after="0" w:line="3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June 2018, the Company adopted the 2018 Equity Incentive Plan, or 2018 Plan, which authorized the issuance of up to 1.4 million shares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on the date of grant,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awards and restricted stock units generally vest ratably in three equal installments on the first, second and third anniversaries of the grant date. As of December 31, 2020, there were 1.5 million shares available for future issuance under the 2018 Plan.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Inducement Incentive Plan</w:t>
      </w:r>
    </w:p>
    <w:p>
      <w:pPr>
        <w:spacing w:after="0" w:line="3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December 2020, the Company adopted the 2020 Inducement Incentive Plan, which authorized the issuance of up to 400,000 shares in the form of stock options, stock appreciation rights, restricted stock awards, restricted stock unit awards, performance stock awards and other stock awards to eligible employees who satisfy the standards for inducement grants under Nasdaq global market rules. An individual who previously served as an employee or director of the Company is not eligible to receive awards under this plan. The amount and terms of grants are determined by the Company’s board of directors. As of December 31, 2020, there were 400,000 shares available for future issuance under the 2020 Inducement Incentive Plan.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 option activity for the years ended December 31, 2020, 2019 and 2018:</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3"/>
        </w:trPr>
        <w:tc>
          <w:tcPr>
            <w:tcW w:w="5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240" w:type="dxa"/>
            <w:vAlign w:val="bottom"/>
          </w:tcPr>
          <w:p>
            <w:pPr>
              <w:spacing w:after="0"/>
              <w:rPr>
                <w:sz w:val="12"/>
                <w:szCs w:val="12"/>
                <w:color w:val="auto"/>
              </w:rPr>
            </w:pPr>
          </w:p>
        </w:tc>
        <w:tc>
          <w:tcPr>
            <w:tcW w:w="11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7"/>
              </w:rPr>
              <w:t>Shares under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6"/>
              </w:rPr>
              <w:t>average</w:t>
            </w: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9"/>
              </w:rPr>
              <w:t>Remaining</w:t>
            </w:r>
          </w:p>
        </w:tc>
        <w:tc>
          <w:tcPr>
            <w:tcW w:w="11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3"/>
        </w:trPr>
        <w:tc>
          <w:tcPr>
            <w:tcW w:w="5240" w:type="dxa"/>
            <w:vAlign w:val="bottom"/>
          </w:tcPr>
          <w:p>
            <w:pPr>
              <w:spacing w:after="0"/>
              <w:rPr>
                <w:sz w:val="12"/>
                <w:szCs w:val="12"/>
                <w:color w:val="auto"/>
              </w:rPr>
            </w:pPr>
          </w:p>
        </w:tc>
        <w:tc>
          <w:tcPr>
            <w:tcW w:w="116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7"/>
              </w:rPr>
              <w:t>Exercise Price</w:t>
            </w:r>
          </w:p>
        </w:tc>
        <w:tc>
          <w:tcPr>
            <w:tcW w:w="12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2"/>
              </w:rPr>
              <w:t>Contractual</w:t>
            </w:r>
          </w:p>
        </w:tc>
        <w:tc>
          <w:tcPr>
            <w:tcW w:w="11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6"/>
        </w:trPr>
        <w:tc>
          <w:tcPr>
            <w:tcW w:w="52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per Option</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Life (in years)</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at December 31, 2017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2.39</w:t>
            </w:r>
          </w:p>
        </w:tc>
        <w:tc>
          <w:tcPr>
            <w:tcW w:w="20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at December 31,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2,711</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3.59</w:t>
            </w:r>
          </w:p>
        </w:tc>
        <w:tc>
          <w:tcPr>
            <w:tcW w:w="20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2.82</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at December 31,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2,415</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7.11</w:t>
            </w:r>
          </w:p>
        </w:tc>
        <w:tc>
          <w:tcPr>
            <w:tcW w:w="20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(707)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at December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4.62</w:t>
            </w: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6.75</w:t>
            </w: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16,779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Exercisable at December 31, 2020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20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7,027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color w:val="auto"/>
              </w:rPr>
              <w:t>Vested and expected to vest at December 31, 2020</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4.62</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6.75</w:t>
            </w:r>
          </w:p>
        </w:tc>
        <w:tc>
          <w:tcPr>
            <w:tcW w:w="22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16,779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40" w:type="dxa"/>
            <w:vAlign w:val="bottom"/>
            <w:vMerge w:val="continue"/>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w:t>
            </w:r>
          </w:p>
        </w:tc>
        <w:tc>
          <w:tcPr>
            <w:tcW w:w="12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recognized share-based compensation expense related to stock options of $1.7 million, $2.2 million, $1.6 million for the years ended December 31, 2020, 2019, and 2018, respectively. As of December 31, 2020, there was $2.7 million of total unrecognized compensation cost related to non-vested stock options which the Company expects to recognize over a weighted-average period of 2.7 years. The weighted-average grant-date fair value of stock options granted during the years ended December 31, 2020, 2019, and 2018 was estimated at $1.09, $7.69, and $5.03 per option. The total intrinsic value of stock options exercised during the years ended December 31, 2020, 2019, and 2018 was $1.4 million, $10.8 million, and $3.3 million, respectively.</w:t>
      </w:r>
    </w:p>
    <w:p>
      <w:pPr>
        <w:spacing w:after="0" w:line="166"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For the years ended December 31, 2020, 2019, and 2018, the grant-date fair value of stock options was estimated at the time of grant using the following weighted-average inputs and assumptions in the Black-Scholes option pricing model:</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376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r>
      <w:tr>
        <w:trPr>
          <w:trHeight w:val="201"/>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Estimated fair value of common stock</w:t>
            </w:r>
          </w:p>
        </w:tc>
        <w:tc>
          <w:tcPr>
            <w:tcW w:w="2100" w:type="dxa"/>
            <w:vAlign w:val="bottom"/>
            <w:gridSpan w:val="2"/>
            <w:shd w:val="clear" w:color="auto" w:fill="CFF0FC"/>
          </w:tcPr>
          <w:p>
            <w:pPr>
              <w:jc w:val="right"/>
              <w:ind w:right="571"/>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96"/>
              </w:rPr>
              <w:t>2.01</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2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w:t>
            </w:r>
          </w:p>
        </w:tc>
        <w:tc>
          <w:tcPr>
            <w:tcW w:w="140" w:type="dxa"/>
            <w:vAlign w:val="bottom"/>
            <w:shd w:val="clear" w:color="auto" w:fill="CFF0FC"/>
          </w:tcPr>
          <w:p>
            <w:pPr>
              <w:spacing w:after="0"/>
              <w:rPr>
                <w:sz w:val="17"/>
                <w:szCs w:val="17"/>
                <w:color w:val="auto"/>
              </w:rPr>
            </w:pPr>
          </w:p>
        </w:tc>
      </w:tr>
      <w:tr>
        <w:trPr>
          <w:trHeight w:val="205"/>
        </w:trPr>
        <w:tc>
          <w:tcPr>
            <w:tcW w:w="3760" w:type="dxa"/>
            <w:vAlign w:val="bottom"/>
          </w:tcPr>
          <w:p>
            <w:pPr>
              <w:spacing w:after="0"/>
              <w:rPr>
                <w:sz w:val="20"/>
                <w:szCs w:val="20"/>
                <w:color w:val="auto"/>
              </w:rPr>
            </w:pPr>
            <w:r>
              <w:rPr>
                <w:rFonts w:ascii="Arial" w:cs="Arial" w:eastAsia="Arial" w:hAnsi="Arial"/>
                <w:sz w:val="16"/>
                <w:szCs w:val="16"/>
                <w:color w:val="auto"/>
              </w:rPr>
              <w:t>Exercise price</w:t>
            </w:r>
          </w:p>
        </w:tc>
        <w:tc>
          <w:tcPr>
            <w:tcW w:w="2100" w:type="dxa"/>
            <w:vAlign w:val="bottom"/>
            <w:gridSpan w:val="2"/>
          </w:tcPr>
          <w:p>
            <w:pPr>
              <w:jc w:val="right"/>
              <w:ind w:right="57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82"/>
              <w:spacing w:after="0"/>
              <w:rPr>
                <w:sz w:val="20"/>
                <w:szCs w:val="20"/>
                <w:color w:val="auto"/>
              </w:rPr>
            </w:pPr>
            <w:r>
              <w:rPr>
                <w:rFonts w:ascii="Arial" w:cs="Arial" w:eastAsia="Arial" w:hAnsi="Arial"/>
                <w:sz w:val="16"/>
                <w:szCs w:val="16"/>
                <w:color w:val="auto"/>
                <w:w w:val="96"/>
              </w:rPr>
              <w:t>2.01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14.27</w:t>
            </w:r>
          </w:p>
        </w:tc>
        <w:tc>
          <w:tcPr>
            <w:tcW w:w="2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8.41</w:t>
            </w:r>
          </w:p>
        </w:tc>
        <w:tc>
          <w:tcPr>
            <w:tcW w:w="140" w:type="dxa"/>
            <w:vAlign w:val="bottom"/>
          </w:tcPr>
          <w:p>
            <w:pPr>
              <w:spacing w:after="0"/>
              <w:rPr>
                <w:sz w:val="17"/>
                <w:szCs w:val="17"/>
                <w:color w:val="auto"/>
              </w:rPr>
            </w:pPr>
          </w:p>
        </w:tc>
      </w:tr>
      <w:tr>
        <w:trPr>
          <w:trHeight w:val="211"/>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4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FF0FC"/>
          </w:tcPr>
          <w:p>
            <w:pPr>
              <w:spacing w:after="0"/>
              <w:rPr>
                <w:sz w:val="18"/>
                <w:szCs w:val="18"/>
                <w:color w:val="auto"/>
              </w:rPr>
            </w:pPr>
          </w:p>
        </w:tc>
      </w:tr>
      <w:tr>
        <w:trPr>
          <w:trHeight w:val="205"/>
        </w:trPr>
        <w:tc>
          <w:tcPr>
            <w:tcW w:w="37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11"/>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14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59.5%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55.3%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65.3%</w:t>
            </w:r>
          </w:p>
        </w:tc>
      </w:tr>
      <w:tr>
        <w:trPr>
          <w:trHeight w:val="202"/>
        </w:trPr>
        <w:tc>
          <w:tcPr>
            <w:tcW w:w="3760" w:type="dxa"/>
            <w:vAlign w:val="bottom"/>
          </w:tcPr>
          <w:p>
            <w:pPr>
              <w:spacing w:after="0"/>
              <w:rPr>
                <w:sz w:val="20"/>
                <w:szCs w:val="20"/>
                <w:color w:val="auto"/>
              </w:rPr>
            </w:pPr>
            <w:r>
              <w:rPr>
                <w:rFonts w:ascii="Arial" w:cs="Arial" w:eastAsia="Arial" w:hAnsi="Arial"/>
                <w:sz w:val="16"/>
                <w:szCs w:val="16"/>
                <w:color w:val="auto"/>
              </w:rPr>
              <w:t>Dividend yield</w:t>
            </w: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 and Restricted Stock Units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restricted stock award and restricted stock unit activity for the years ended December 31, 2020, 2019, and 2018:</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Non-vested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Non-vested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r>
      <w:tr>
        <w:trPr>
          <w:trHeight w:val="143"/>
        </w:trPr>
        <w:tc>
          <w:tcPr>
            <w:tcW w:w="5260" w:type="dxa"/>
            <w:vAlign w:val="bottom"/>
          </w:tcPr>
          <w:p>
            <w:pPr>
              <w:spacing w:after="0"/>
              <w:rPr>
                <w:sz w:val="12"/>
                <w:szCs w:val="12"/>
                <w:color w:val="auto"/>
              </w:rPr>
            </w:pPr>
          </w:p>
        </w:tc>
        <w:tc>
          <w:tcPr>
            <w:tcW w:w="11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7"/>
              </w:rPr>
              <w:t>Restricted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7"/>
              </w:rPr>
              <w:t>Restricted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average</w:t>
            </w:r>
          </w:p>
        </w:tc>
      </w:tr>
      <w:tr>
        <w:trPr>
          <w:trHeight w:val="143"/>
        </w:trPr>
        <w:tc>
          <w:tcPr>
            <w:tcW w:w="5260" w:type="dxa"/>
            <w:vAlign w:val="bottom"/>
          </w:tcPr>
          <w:p>
            <w:pPr>
              <w:spacing w:after="0"/>
              <w:rPr>
                <w:sz w:val="12"/>
                <w:szCs w:val="12"/>
                <w:color w:val="auto"/>
              </w:rPr>
            </w:pPr>
          </w:p>
        </w:tc>
        <w:tc>
          <w:tcPr>
            <w:tcW w:w="11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6"/>
              </w:rPr>
              <w:t>Stock Awards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3"/>
              </w:rPr>
              <w:t>Grant-date</w:t>
            </w:r>
          </w:p>
        </w:tc>
        <w:tc>
          <w:tcPr>
            <w:tcW w:w="114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88"/>
              </w:rPr>
              <w:t>Stock Units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95"/>
              </w:rPr>
              <w:t>Grant-date</w:t>
            </w:r>
          </w:p>
        </w:tc>
      </w:tr>
      <w:tr>
        <w:trPr>
          <w:trHeight w:val="166"/>
        </w:trPr>
        <w:tc>
          <w:tcPr>
            <w:tcW w:w="5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Borders>
              <w:bottom w:val="single" w:sz="8" w:color="CFF0FC"/>
            </w:tcBorders>
          </w:tcPr>
          <w:p>
            <w:pPr>
              <w:spacing w:after="0"/>
              <w:rPr>
                <w:sz w:val="14"/>
                <w:szCs w:val="14"/>
                <w:color w:val="auto"/>
              </w:rPr>
            </w:pPr>
          </w:p>
        </w:tc>
      </w:tr>
      <w:tr>
        <w:trPr>
          <w:trHeight w:val="201"/>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Non-vested at December 31, 2017</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r>
      <w:tr>
        <w:trPr>
          <w:trHeight w:val="198"/>
        </w:trPr>
        <w:tc>
          <w:tcPr>
            <w:tcW w:w="5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25.21</w:t>
            </w:r>
          </w:p>
        </w:tc>
        <w:tc>
          <w:tcPr>
            <w:tcW w:w="80" w:type="dxa"/>
            <w:vAlign w:val="bottom"/>
          </w:tcPr>
          <w:p>
            <w:pPr>
              <w:spacing w:after="0"/>
              <w:rPr>
                <w:sz w:val="17"/>
                <w:szCs w:val="17"/>
                <w:color w:val="auto"/>
              </w:rPr>
            </w:pPr>
          </w:p>
        </w:tc>
      </w:tr>
      <w:tr>
        <w:trPr>
          <w:trHeight w:val="211"/>
        </w:trPr>
        <w:tc>
          <w:tcPr>
            <w:tcW w:w="5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r>
      <w:tr>
        <w:trPr>
          <w:trHeight w:val="198"/>
        </w:trPr>
        <w:tc>
          <w:tcPr>
            <w:tcW w:w="5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Non-vested at December 31,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25.21</w:t>
            </w:r>
          </w:p>
        </w:tc>
        <w:tc>
          <w:tcPr>
            <w:tcW w:w="80" w:type="dxa"/>
            <w:vAlign w:val="bottom"/>
            <w:tcBorders>
              <w:bottom w:val="single" w:sz="8" w:color="CFF0FC"/>
            </w:tcBorders>
          </w:tcPr>
          <w:p>
            <w:pPr>
              <w:spacing w:after="0"/>
              <w:rPr>
                <w:sz w:val="17"/>
                <w:szCs w:val="17"/>
                <w:color w:val="auto"/>
              </w:rPr>
            </w:pPr>
          </w:p>
        </w:tc>
      </w:tr>
      <w:tr>
        <w:trPr>
          <w:trHeight w:val="204"/>
        </w:trPr>
        <w:tc>
          <w:tcPr>
            <w:tcW w:w="5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Granted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w:t>
            </w:r>
          </w:p>
        </w:tc>
        <w:tc>
          <w:tcPr>
            <w:tcW w:w="80" w:type="dxa"/>
            <w:vAlign w:val="bottom"/>
            <w:shd w:val="clear" w:color="auto" w:fill="CFF0FC"/>
          </w:tcPr>
          <w:p>
            <w:pPr>
              <w:spacing w:after="0"/>
              <w:rPr>
                <w:sz w:val="17"/>
                <w:szCs w:val="17"/>
                <w:color w:val="auto"/>
              </w:rPr>
            </w:pPr>
          </w:p>
        </w:tc>
      </w:tr>
      <w:tr>
        <w:trPr>
          <w:trHeight w:val="205"/>
        </w:trPr>
        <w:tc>
          <w:tcPr>
            <w:tcW w:w="5260" w:type="dxa"/>
            <w:vAlign w:val="bottom"/>
          </w:tcPr>
          <w:p>
            <w:pPr>
              <w:ind w:left="220"/>
              <w:spacing w:after="0"/>
              <w:rPr>
                <w:sz w:val="20"/>
                <w:szCs w:val="20"/>
                <w:color w:val="auto"/>
              </w:rPr>
            </w:pPr>
            <w:r>
              <w:rPr>
                <w:rFonts w:ascii="Arial" w:cs="Arial" w:eastAsia="Arial" w:hAnsi="Arial"/>
                <w:sz w:val="16"/>
                <w:szCs w:val="16"/>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w:t>
            </w:r>
          </w:p>
        </w:tc>
        <w:tc>
          <w:tcPr>
            <w:tcW w:w="2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18.69</w:t>
            </w:r>
          </w:p>
        </w:tc>
        <w:tc>
          <w:tcPr>
            <w:tcW w:w="80" w:type="dxa"/>
            <w:vAlign w:val="bottom"/>
          </w:tcPr>
          <w:p>
            <w:pPr>
              <w:spacing w:after="0"/>
              <w:rPr>
                <w:sz w:val="17"/>
                <w:szCs w:val="17"/>
                <w:color w:val="auto"/>
              </w:rPr>
            </w:pPr>
          </w:p>
        </w:tc>
      </w:tr>
      <w:tr>
        <w:trPr>
          <w:trHeight w:val="211"/>
        </w:trPr>
        <w:tc>
          <w:tcPr>
            <w:tcW w:w="5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Forfeited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FF0FC"/>
          </w:tcPr>
          <w:p>
            <w:pPr>
              <w:spacing w:after="0"/>
              <w:rPr>
                <w:sz w:val="18"/>
                <w:szCs w:val="18"/>
                <w:color w:val="auto"/>
              </w:rPr>
            </w:pPr>
          </w:p>
        </w:tc>
      </w:tr>
      <w:tr>
        <w:trPr>
          <w:trHeight w:val="198"/>
        </w:trPr>
        <w:tc>
          <w:tcPr>
            <w:tcW w:w="5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Non-vested at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15.23</w:t>
            </w:r>
          </w:p>
        </w:tc>
        <w:tc>
          <w:tcPr>
            <w:tcW w:w="80" w:type="dxa"/>
            <w:vAlign w:val="bottom"/>
            <w:tcBorders>
              <w:bottom w:val="single" w:sz="8" w:color="CFF0FC"/>
            </w:tcBorders>
          </w:tcPr>
          <w:p>
            <w:pPr>
              <w:spacing w:after="0"/>
              <w:rPr>
                <w:sz w:val="17"/>
                <w:szCs w:val="17"/>
                <w:color w:val="auto"/>
              </w:rPr>
            </w:pPr>
          </w:p>
        </w:tc>
      </w:tr>
      <w:tr>
        <w:trPr>
          <w:trHeight w:val="204"/>
        </w:trPr>
        <w:tc>
          <w:tcPr>
            <w:tcW w:w="5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Granted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FF0FC"/>
          </w:tcPr>
          <w:p>
            <w:pPr>
              <w:spacing w:after="0"/>
              <w:rPr>
                <w:sz w:val="17"/>
                <w:szCs w:val="17"/>
                <w:color w:val="auto"/>
              </w:rPr>
            </w:pPr>
          </w:p>
        </w:tc>
      </w:tr>
      <w:tr>
        <w:trPr>
          <w:trHeight w:val="205"/>
        </w:trPr>
        <w:tc>
          <w:tcPr>
            <w:tcW w:w="5260" w:type="dxa"/>
            <w:vAlign w:val="bottom"/>
          </w:tcPr>
          <w:p>
            <w:pPr>
              <w:ind w:left="22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13.24</w:t>
            </w:r>
          </w:p>
        </w:tc>
        <w:tc>
          <w:tcPr>
            <w:tcW w:w="80" w:type="dxa"/>
            <w:vAlign w:val="bottom"/>
          </w:tcPr>
          <w:p>
            <w:pPr>
              <w:spacing w:after="0"/>
              <w:rPr>
                <w:sz w:val="17"/>
                <w:szCs w:val="17"/>
                <w:color w:val="auto"/>
              </w:rPr>
            </w:pPr>
          </w:p>
        </w:tc>
      </w:tr>
      <w:tr>
        <w:trPr>
          <w:trHeight w:val="211"/>
        </w:trPr>
        <w:tc>
          <w:tcPr>
            <w:tcW w:w="5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Forfeited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FF0FC"/>
          </w:tcPr>
          <w:p>
            <w:pPr>
              <w:spacing w:after="0"/>
              <w:rPr>
                <w:sz w:val="18"/>
                <w:szCs w:val="18"/>
                <w:color w:val="auto"/>
              </w:rPr>
            </w:pPr>
          </w:p>
        </w:tc>
      </w:tr>
      <w:tr>
        <w:trPr>
          <w:trHeight w:val="198"/>
        </w:trPr>
        <w:tc>
          <w:tcPr>
            <w:tcW w:w="5260" w:type="dxa"/>
            <w:vAlign w:val="bottom"/>
          </w:tcPr>
          <w:p>
            <w:pPr>
              <w:spacing w:after="0"/>
              <w:rPr>
                <w:sz w:val="20"/>
                <w:szCs w:val="20"/>
                <w:color w:val="auto"/>
              </w:rPr>
            </w:pPr>
            <w:r>
              <w:rPr>
                <w:rFonts w:ascii="Arial" w:cs="Arial" w:eastAsia="Arial" w:hAnsi="Arial"/>
                <w:sz w:val="16"/>
                <w:szCs w:val="16"/>
                <w:color w:val="auto"/>
              </w:rPr>
              <w:t>Non-vested at December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Company recognized share-based compensation expense related to restricted stock awards and restricted stock units of $2.7 million, $1.2 million, and $0.2 million during the years ended December 31, 2020, 2019, and 2018, respectively. As of December 31, 2020, there was $5.3 million of unrecognized compensation cost related to non-vested restricted stock units which the Company expects to recognize over a weighted-average period of 2.4 years. The total fair value at the vesting date of restricted stock awards and restricted stock units vested during the years ended December 31, 2020, 2019, and 2018 was $0.3 million, $0.3 million, and $0.2 million, respectively.</w:t>
      </w:r>
    </w:p>
    <w:p>
      <w:pPr>
        <w:spacing w:after="0" w:line="17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July 2020, the Company awarded 500,000 performance restricted stock units (“PRSUs”) to the Company’s chief executive officer in connection with the commencement of his employment. The grant was comprised of four equal tranches each of which vest in equal installments of 125,000 shares based on appreciation of the Company’s common stock price to $10, $15, $20 and $25 per share, respectively, measured using a trailing 30-day volume weighted average price of a share of the Company’s common stock. The fair value of the PRSUs was determined based upon a risk neutral Monte Carlo simulation valuation model. The Company’s assumptions for expected volatility, closing price and risk-free rate were 87.4%, $1.98 and 0.63%, respectively. The aggregate estimated fair value of the PRSUs was $0.9 million, which is expected to be recognized over a weighted-average period of 3.9 years. The Company recognized $0.1 million in share-based expense related to the PRSU award for the year ended December 31, 2020. As of December 31, 2020, there was $0.8 million of unrecognized compensation costs which the Company plans to recognize over the weighted average period of 3.4 years.</w:t>
      </w:r>
    </w:p>
    <w:p>
      <w:pPr>
        <w:spacing w:after="0" w:line="191" w:lineRule="exact"/>
        <w:rPr>
          <w:sz w:val="20"/>
          <w:szCs w:val="20"/>
          <w:color w:val="auto"/>
        </w:rPr>
      </w:pPr>
    </w:p>
    <w:p>
      <w:pPr>
        <w:ind w:right="7920" w:firstLine="4"/>
        <w:spacing w:after="0" w:line="387" w:lineRule="auto"/>
        <w:tabs>
          <w:tab w:leader="none" w:pos="842"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401(k) Defined Contribution Plan</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Company maintains a 401(k) defined contribution retirement plan which covers all of its employees. Employees are eligible to participate on the first of the month following their date of hire. Under the 401(k) plan, participating employees may defer up to 100% of their pre-tax salary but not more than statutory limits. As of December 31, 2020, there were no employer matching of employee contributions and employee contributions vested immediately.</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Employee Stock Purchase Plan</w:t>
      </w:r>
    </w:p>
    <w:p>
      <w:pPr>
        <w:spacing w:after="0" w:line="12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July 2018, the Company adopted the 2018 Employee Stock Purchase Plan, or 2018 ESPP, with an initial 0.2 million share reserve, subject to automatic annual increases on January 1st of each year for a period of up to ten years, as defined in the plan document. The purpose of the 2018 ESPP is to enhance employee interest in the success and progress of the Company by encouraging employee ownership of common stock of the Company. The 2018 ESPP provides the opportunity to purchase the Company’s common stock at a 15% discount to the market price through payroll deductions or lump sum cash investments. As of December 31, 2020, the Company had not yet approved any offering under the plan and 0.6 million shares were reserved for issuance.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2" w:name="page113"/>
    <w:bookmarkEnd w:id="112"/>
    <w:p>
      <w:pPr>
        <w:jc w:val="center"/>
        <w:ind w:right="-33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334"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16.</w:t>
        <w:tab/>
        <w:t>INCOME TAXES</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loss before income taxes was $27.5 million, $29.0 million, and $24.1 million for the years ended December 31, 2020, 2019, and 2018, respectively, and was generated entirely in the United States. The Company did not record current or deferred income tax expense or benefit during the years ended December 31,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statutory United States federal income tax rate to the Company’s effective tax rate is as follows: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5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5"/>
              </w:rPr>
              <w:t>Tax Year ended December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510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323"/>
              <w:spacing w:after="0" w:line="149"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3"/>
              <w:spacing w:after="0" w:line="14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2"/>
                <w:szCs w:val="12"/>
                <w:color w:val="auto"/>
              </w:rPr>
            </w:pPr>
          </w:p>
        </w:tc>
      </w:tr>
      <w:tr>
        <w:trPr>
          <w:trHeight w:val="201"/>
        </w:trPr>
        <w:tc>
          <w:tcPr>
            <w:tcW w:w="5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U.S. federal statutory income tax rate</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21.0%</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21.0%</w:t>
            </w:r>
          </w:p>
        </w:tc>
      </w:tr>
      <w:tr>
        <w:trPr>
          <w:trHeight w:val="205"/>
        </w:trPr>
        <w:tc>
          <w:tcPr>
            <w:tcW w:w="5820" w:type="dxa"/>
            <w:vAlign w:val="bottom"/>
            <w:gridSpan w:val="2"/>
          </w:tcPr>
          <w:p>
            <w:pPr>
              <w:spacing w:after="0"/>
              <w:rPr>
                <w:sz w:val="20"/>
                <w:szCs w:val="20"/>
                <w:color w:val="auto"/>
              </w:rPr>
            </w:pPr>
            <w:r>
              <w:rPr>
                <w:rFonts w:ascii="Arial" w:cs="Arial" w:eastAsia="Arial" w:hAnsi="Arial"/>
                <w:sz w:val="16"/>
                <w:szCs w:val="16"/>
                <w:color w:val="auto"/>
              </w:rPr>
              <w:t>State and local taxes, net of federal benefit</w:t>
            </w: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211"/>
        </w:trPr>
        <w:tc>
          <w:tcPr>
            <w:tcW w:w="5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Nondeductible expenses</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0.7%</w:t>
            </w:r>
          </w:p>
        </w:tc>
      </w:tr>
      <w:tr>
        <w:trPr>
          <w:trHeight w:val="205"/>
        </w:trPr>
        <w:tc>
          <w:tcPr>
            <w:tcW w:w="5820" w:type="dxa"/>
            <w:vAlign w:val="bottom"/>
            <w:gridSpan w:val="2"/>
          </w:tcPr>
          <w:p>
            <w:pPr>
              <w:spacing w:after="0"/>
              <w:rPr>
                <w:sz w:val="20"/>
                <w:szCs w:val="20"/>
                <w:color w:val="auto"/>
              </w:rPr>
            </w:pPr>
            <w:r>
              <w:rPr>
                <w:rFonts w:ascii="Arial" w:cs="Arial" w:eastAsia="Arial" w:hAnsi="Arial"/>
                <w:sz w:val="16"/>
                <w:szCs w:val="16"/>
                <w:color w:val="auto"/>
              </w:rPr>
              <w:t>Research and development credits</w:t>
            </w:r>
          </w:p>
        </w:tc>
        <w:tc>
          <w:tcPr>
            <w:tcW w:w="56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0.6%</w:t>
            </w:r>
          </w:p>
        </w:tc>
      </w:tr>
      <w:tr>
        <w:trPr>
          <w:trHeight w:val="211"/>
        </w:trPr>
        <w:tc>
          <w:tcPr>
            <w:tcW w:w="5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Tax rate change and true-up</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0.6%</w:t>
            </w:r>
          </w:p>
        </w:tc>
      </w:tr>
      <w:tr>
        <w:trPr>
          <w:trHeight w:val="205"/>
        </w:trPr>
        <w:tc>
          <w:tcPr>
            <w:tcW w:w="510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7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2"/>
              </w:rPr>
              <w:t>(22.1)%</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(26.7)%</w:t>
            </w:r>
          </w:p>
        </w:tc>
      </w:tr>
      <w:tr>
        <w:trPr>
          <w:trHeight w:val="20"/>
        </w:trPr>
        <w:tc>
          <w:tcPr>
            <w:tcW w:w="5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01"/>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Effective income tax rate</w:t>
            </w:r>
          </w:p>
        </w:tc>
        <w:tc>
          <w:tcPr>
            <w:tcW w:w="7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temporary differences that gave rise to significant portions of the deferred tax assets were as follows (in thousands):</w:t>
      </w:r>
    </w:p>
    <w:p>
      <w:pPr>
        <w:spacing w:after="0" w:line="289"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3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Borders>
              <w:bottom w:val="single" w:sz="8" w:color="CFF0FC"/>
            </w:tcBorders>
          </w:tcPr>
          <w:p>
            <w:pPr>
              <w:spacing w:after="0"/>
              <w:rPr>
                <w:sz w:val="12"/>
                <w:szCs w:val="12"/>
                <w:color w:val="auto"/>
              </w:rPr>
            </w:pPr>
          </w:p>
        </w:tc>
        <w:tc>
          <w:tcPr>
            <w:tcW w:w="15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3"/>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2"/>
              <w:spacing w:after="0" w:line="149"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6"/>
                <w:szCs w:val="16"/>
                <w:color w:val="auto"/>
              </w:rPr>
              <w:t>Net operating loss carryforwards</w:t>
            </w:r>
          </w:p>
        </w:tc>
        <w:tc>
          <w:tcPr>
            <w:tcW w:w="174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61,387</w:t>
            </w:r>
          </w:p>
        </w:tc>
        <w:tc>
          <w:tcPr>
            <w:tcW w:w="12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56,157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 credits</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Accruals</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Lease Liability</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6"/>
                <w:szCs w:val="16"/>
                <w:color w:val="auto"/>
              </w:rPr>
              <w:t>Capitalized start-up costs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temporary differences</w:t>
            </w:r>
          </w:p>
        </w:tc>
        <w:tc>
          <w:tcPr>
            <w:tcW w:w="15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460"/>
              <w:spacing w:after="0"/>
              <w:rPr>
                <w:sz w:val="20"/>
                <w:szCs w:val="20"/>
                <w:color w:val="auto"/>
              </w:rPr>
            </w:pPr>
            <w:r>
              <w:rPr>
                <w:rFonts w:ascii="Arial" w:cs="Arial" w:eastAsia="Arial" w:hAnsi="Arial"/>
                <w:sz w:val="16"/>
                <w:szCs w:val="16"/>
                <w:color w:val="auto"/>
              </w:rPr>
              <w:t>Gross deferred tax assets</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71,559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64,182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460"/>
              <w:spacing w:after="0"/>
              <w:rPr>
                <w:sz w:val="20"/>
                <w:szCs w:val="20"/>
                <w:color w:val="auto"/>
              </w:rPr>
            </w:pPr>
            <w:r>
              <w:rPr>
                <w:rFonts w:ascii="Arial" w:cs="Arial" w:eastAsia="Arial" w:hAnsi="Arial"/>
                <w:sz w:val="16"/>
                <w:szCs w:val="16"/>
                <w:color w:val="auto"/>
              </w:rPr>
              <w:t>Less: Valuation allowance</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(68,856)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(62,805)</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700"/>
              <w:spacing w:after="0"/>
              <w:rPr>
                <w:sz w:val="20"/>
                <w:szCs w:val="20"/>
                <w:color w:val="auto"/>
              </w:rPr>
            </w:pPr>
            <w:r>
              <w:rPr>
                <w:rFonts w:ascii="Arial" w:cs="Arial" w:eastAsia="Arial" w:hAnsi="Arial"/>
                <w:sz w:val="16"/>
                <w:szCs w:val="16"/>
                <w:color w:val="auto"/>
              </w:rPr>
              <w:t>Total deferred tax assets</w:t>
            </w: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8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2,703</w:t>
            </w:r>
          </w:p>
        </w:tc>
        <w:tc>
          <w:tcPr>
            <w:tcW w:w="120" w:type="dxa"/>
            <w:vAlign w:val="bottom"/>
          </w:tcPr>
          <w:p>
            <w:pPr>
              <w:spacing w:after="0"/>
              <w:rPr>
                <w:sz w:val="16"/>
                <w:szCs w:val="16"/>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1,377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6"/>
                <w:szCs w:val="16"/>
                <w:color w:val="auto"/>
              </w:rPr>
              <w:t>Deferred tax liabilities:</w:t>
            </w: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Capitalized software</w:t>
            </w:r>
          </w:p>
        </w:tc>
        <w:tc>
          <w:tcPr>
            <w:tcW w:w="174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(297)</w:t>
            </w: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6"/>
                <w:szCs w:val="16"/>
                <w:color w:val="auto"/>
              </w:rPr>
              <w:t>Right-of-use asset</w:t>
            </w: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commission</w:t>
            </w: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(1,568)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460"/>
              <w:spacing w:after="0"/>
              <w:rPr>
                <w:sz w:val="20"/>
                <w:szCs w:val="20"/>
                <w:color w:val="auto"/>
              </w:rPr>
            </w:pPr>
            <w:r>
              <w:rPr>
                <w:rFonts w:ascii="Arial" w:cs="Arial" w:eastAsia="Arial" w:hAnsi="Arial"/>
                <w:sz w:val="16"/>
                <w:szCs w:val="16"/>
                <w:color w:val="auto"/>
              </w:rPr>
              <w:t>Gross deferred tax liabilities</w:t>
            </w:r>
          </w:p>
        </w:tc>
        <w:tc>
          <w:tcPr>
            <w:tcW w:w="1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(2,703)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deferred taxes</w:t>
            </w:r>
          </w:p>
        </w:tc>
        <w:tc>
          <w:tcPr>
            <w:tcW w:w="1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80" w:type="dxa"/>
            <w:vAlign w:val="bottom"/>
            <w:vMerge w:val="continue"/>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3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The Company believes that it is more likely than not that the Company’s deferred income tax asset associated with its net operating losses will not be realized in the immediate future. As such, there is a full valuation allowance against the net deferred tax assets as of December 31, 2020 and 2019. The valuation allowance increased by $6.1 million and $9.0 million during the years ended December 31, 2020 and 2019, respectively, due primarily to the generation of net operating losses during the periods. The changes in the valuation allowance were as follows (in thousands):</w:t>
      </w:r>
    </w:p>
    <w:p>
      <w:pPr>
        <w:spacing w:after="0" w:line="234" w:lineRule="exact"/>
        <w:rPr>
          <w:sz w:val="20"/>
          <w:szCs w:val="20"/>
          <w:color w:val="auto"/>
        </w:rPr>
      </w:pPr>
    </w:p>
    <w:tbl>
      <w:tblPr>
        <w:tblLayout w:type="fixed"/>
        <w:tblInd w:w="1700" w:type="dxa"/>
        <w:tblCellMar>
          <w:top w:w="0" w:type="dxa"/>
          <w:left w:w="0" w:type="dxa"/>
          <w:bottom w:w="0" w:type="dxa"/>
          <w:right w:w="0" w:type="dxa"/>
        </w:tblCellMar>
      </w:tblPr>
      <w:tr>
        <w:trPr>
          <w:trHeight w:val="166"/>
        </w:trPr>
        <w:tc>
          <w:tcPr>
            <w:tcW w:w="3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9"/>
        </w:trPr>
        <w:tc>
          <w:tcPr>
            <w:tcW w:w="3820" w:type="dxa"/>
            <w:vAlign w:val="bottom"/>
            <w:tcBorders>
              <w:bottom w:val="single" w:sz="8" w:color="CFF0FC"/>
            </w:tcBorders>
          </w:tcPr>
          <w:p>
            <w:pPr>
              <w:spacing w:after="0"/>
              <w:rPr>
                <w:sz w:val="12"/>
                <w:szCs w:val="12"/>
                <w:color w:val="auto"/>
              </w:rPr>
            </w:pPr>
          </w:p>
        </w:tc>
        <w:tc>
          <w:tcPr>
            <w:tcW w:w="156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5"/>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4"/>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2"/>
                <w:szCs w:val="12"/>
                <w:color w:val="auto"/>
              </w:rPr>
            </w:pPr>
          </w:p>
        </w:tc>
      </w:tr>
      <w:tr>
        <w:trPr>
          <w:trHeight w:val="201"/>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Balance at the beginning of the year</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62,805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53,774</w:t>
            </w:r>
          </w:p>
        </w:tc>
        <w:tc>
          <w:tcPr>
            <w:tcW w:w="80" w:type="dxa"/>
            <w:vAlign w:val="bottom"/>
            <w:shd w:val="clear" w:color="auto" w:fill="CFF0FC"/>
          </w:tcPr>
          <w:p>
            <w:pPr>
              <w:spacing w:after="0"/>
              <w:rPr>
                <w:sz w:val="17"/>
                <w:szCs w:val="17"/>
                <w:color w:val="auto"/>
              </w:rPr>
            </w:pPr>
          </w:p>
        </w:tc>
      </w:tr>
      <w:tr>
        <w:trPr>
          <w:trHeight w:val="205"/>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Amounts charges to expense</w:t>
            </w:r>
          </w:p>
        </w:tc>
        <w:tc>
          <w:tcPr>
            <w:tcW w:w="15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6,051</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9,031</w:t>
            </w:r>
          </w:p>
        </w:tc>
        <w:tc>
          <w:tcPr>
            <w:tcW w:w="80" w:type="dxa"/>
            <w:vAlign w:val="bottom"/>
            <w:tcBorders>
              <w:bottom w:val="single" w:sz="8" w:color="CFF0FC"/>
            </w:tcBorders>
          </w:tcPr>
          <w:p>
            <w:pPr>
              <w:spacing w:after="0"/>
              <w:rPr>
                <w:sz w:val="17"/>
                <w:szCs w:val="17"/>
                <w:color w:val="auto"/>
              </w:rPr>
            </w:pPr>
          </w:p>
        </w:tc>
      </w:tr>
      <w:tr>
        <w:trPr>
          <w:trHeight w:val="201"/>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Balance at the end of the year</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68,856</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62,805</w:t>
            </w:r>
          </w:p>
        </w:tc>
        <w:tc>
          <w:tcPr>
            <w:tcW w:w="80" w:type="dxa"/>
            <w:vAlign w:val="bottom"/>
            <w:shd w:val="clear" w:color="auto" w:fill="CFF0FC"/>
          </w:tcPr>
          <w:p>
            <w:pPr>
              <w:spacing w:after="0"/>
              <w:rPr>
                <w:sz w:val="17"/>
                <w:szCs w:val="17"/>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carryforwards of federal net operating losses and tax credits as of December 31, 2020 (in thousands):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6"/>
        </w:trPr>
        <w:tc>
          <w:tcPr>
            <w:tcW w:w="370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1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Beginning in</w:t>
            </w:r>
          </w:p>
        </w:tc>
        <w:tc>
          <w:tcPr>
            <w:tcW w:w="0" w:type="dxa"/>
            <w:vAlign w:val="bottom"/>
          </w:tcPr>
          <w:p>
            <w:pPr>
              <w:spacing w:after="0"/>
              <w:rPr>
                <w:sz w:val="1"/>
                <w:szCs w:val="1"/>
                <w:color w:val="auto"/>
              </w:rPr>
            </w:pPr>
          </w:p>
        </w:tc>
      </w:tr>
      <w:tr>
        <w:trPr>
          <w:trHeight w:val="201"/>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Federal net operating losses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247,475</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5"/>
        </w:trPr>
        <w:tc>
          <w:tcPr>
            <w:tcW w:w="3700" w:type="dxa"/>
            <w:vAlign w:val="bottom"/>
          </w:tcPr>
          <w:p>
            <w:pPr>
              <w:spacing w:after="0"/>
              <w:rPr>
                <w:sz w:val="20"/>
                <w:szCs w:val="20"/>
                <w:color w:val="auto"/>
              </w:rPr>
            </w:pPr>
            <w:r>
              <w:rPr>
                <w:rFonts w:ascii="Arial" w:cs="Arial" w:eastAsia="Arial" w:hAnsi="Arial"/>
                <w:sz w:val="16"/>
                <w:szCs w:val="16"/>
                <w:color w:val="auto"/>
              </w:rPr>
              <w:t>State net operating losses</w:t>
            </w: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152,943</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1"/>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credits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3,008</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Under the Tax Reform Act of 1986 (the Act),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done an analysis to determine whether or not ownership changes, as defined by the Act, have occurred since inception.</w:t>
      </w:r>
    </w:p>
    <w:p>
      <w:pPr>
        <w:spacing w:after="0" w:line="17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Company will recognize interest and penalties related to uncertain tax positions in income tax expense. As of December 31, 2020, the Company had no accrued interest or penalties related to uncertain tax positions and no amounts have been recognized in the Company’s statements of operations. Due to net operating loss and tax credit carry forwards that remain unutilized, income tax returns for tax years from inception through 2018 remain subject to examination by the taxing jurisdictions.</w:t>
      </w:r>
    </w:p>
    <w:p>
      <w:pPr>
        <w:spacing w:after="0" w:line="274" w:lineRule="exact"/>
        <w:rPr>
          <w:sz w:val="20"/>
          <w:szCs w:val="20"/>
          <w:color w:val="auto"/>
        </w:rPr>
      </w:pPr>
    </w:p>
    <w:p>
      <w:pPr>
        <w:ind w:right="7540" w:firstLine="4"/>
        <w:spacing w:after="0" w:line="387" w:lineRule="auto"/>
        <w:tabs>
          <w:tab w:leader="none" w:pos="378"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Executive Employment Agreements</w:t>
      </w:r>
    </w:p>
    <w:p>
      <w:pPr>
        <w:spacing w:after="0" w:line="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Company has entered into an employment agreement and offer letters with certain key executives, providing for compensation and severance in certain circumstances, as defined in the agreements.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Matters</w:t>
      </w:r>
    </w:p>
    <w:p>
      <w:pPr>
        <w:spacing w:after="0" w:line="12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334"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18</w:t>
      </w:r>
      <w:r>
        <w:rPr>
          <w:rFonts w:ascii="Arial" w:cs="Arial" w:eastAsia="Arial" w:hAnsi="Arial"/>
          <w:sz w:val="17"/>
          <w:szCs w:val="17"/>
          <w:b w:val="1"/>
          <w:bCs w:val="1"/>
          <w:color w:val="50748A"/>
        </w:rPr>
        <w:t>.</w:t>
      </w:r>
      <w:r>
        <w:rPr>
          <w:rFonts w:ascii="Arial" w:cs="Arial" w:eastAsia="Arial" w:hAnsi="Arial"/>
          <w:sz w:val="17"/>
          <w:szCs w:val="17"/>
          <w:b w:val="1"/>
          <w:bCs w:val="1"/>
          <w:color w:val="auto"/>
        </w:rPr>
        <w:tab/>
        <w:t>DISTRIBUTION AGREEMENT WITH TEIJIN PHARMA LIMITED</w:t>
      </w:r>
    </w:p>
    <w:p>
      <w:pPr>
        <w:spacing w:after="0" w:line="123"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 October 2017, the Company entered into a seven-and-a-half-year distribution agreement with Teijin Pharma Limited, or Teijin, for the exclusive distribution of its NeuroStar Advanced Therapy System to customers who will treat patients with MDD in Japan. Under the distribution agreement, Teijin is generally restricted from selling competing products in Japan. The distribution agreement provides that the Company will have primary responsibility for obtaining reimbursement approval for use of NeuroStar Advanced Therapy System for the treatment of MDD in Japan, and Teijin will promote the sales of NeuroStar Advanced Therapy System for treatment of MDD in Japan. The Company has agreed to provide sales and technical support training to Teijin for its NeuroStar Advanced Therapy Systems. Teijin is required to purchase minimum dollar values of NeuroStar Advanced Therapy Systems and treatment sessions from the Company.</w:t>
      </w:r>
    </w:p>
    <w:p>
      <w:pPr>
        <w:spacing w:after="0" w:line="15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2017, under the distribution agreement with Teijin, the Company received an upfront payment of $0.75 million and a milestone payment of $2.0 million following the Japanese Ministry of Health, Labour and Welfare’s, or JMHLW, approval of marketing the NeuroStar Advanced Therapy System for the treatment of MDD in Japan. In the second quarter of 2019, under the distribution agreement with Teijin, the Company earned a second milestone payment of $0.7 million, following Japan’s Central Social Insurance Medical Council (Chuikyo) approval of the recommendation by JMHLW’s expert review panel to provide reimbursement for NeuroStar Advanced Therapy for the treatment of MDD in adults. The reimbursement went into effect on June 1, 2019 and covers patients who are treated in the largest inpatient and outpatient psychiatric facilities in Japan at the rate of JPY12,000 per treatment session. These upfront and subsequent milestone payments have been deferred and are being recognized as revenue over the seven- and one-half year term of the agreement.</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May 2019, the Company and Teijin entered into an amendment to the distribution agreement, which among other things finalized transfer prices, forecasting and minimum purchases, and made certain clarifications to the agreement.</w:t>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distribution agreement is scheduled to expire on March 31, 2025, subject to earlier termination if the Company or Teijin breach the agreement, Teijin fails to maintain distributor-level permits and approvals, Teijin fails to purchase from the Company specified dollar values of its sales forecasts, reimbursement for treatment of MDD using the NeuroStar Advanced Therapy System is not obtained from JMHLW by specified dates or such reimbursement is below specified minimums, Teijin reasonably believes that it is not commercially reasonable to continue distributing the NeuroStar Advanced Therapy System in Japan or bankruptcy related events occur. The term of the distribution agreement will be automatically extended for two years unless either party gives the other party at least two years’ prior written of notice of non-renewal, except that the Company cannot decline to renew the agreement if Teijin has purchased 100% of its sales forecasts over the term of the agreement.</w:t>
      </w:r>
    </w:p>
    <w:p>
      <w:pPr>
        <w:spacing w:after="0" w:line="27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19.</w:t>
        <w:tab/>
        <w:t>GEOGRAPHICAL SEGMENT INFORMATION</w:t>
      </w:r>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3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7"/>
              </w:rPr>
              <w:t>Revenues by Geography</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87"/>
              </w:rPr>
              <w:t>Year ended December 31,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60" w:type="dxa"/>
            <w:vAlign w:val="bottom"/>
          </w:tcPr>
          <w:p>
            <w:pPr>
              <w:jc w:val="center"/>
              <w:ind w:right="23"/>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tcPr>
          <w:p>
            <w:pPr>
              <w:jc w:val="center"/>
              <w:ind w:right="79"/>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4"/>
              </w:rPr>
              <w:t>Revenues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4"/>
              </w:rPr>
              <w:t>Revenues</w:t>
            </w:r>
          </w:p>
        </w:tc>
        <w:tc>
          <w:tcPr>
            <w:tcW w:w="16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47,519</w:t>
            </w:r>
          </w:p>
        </w:tc>
        <w:tc>
          <w:tcPr>
            <w:tcW w:w="26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96%</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60,760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ind w:left="580"/>
              <w:spacing w:after="0"/>
              <w:rPr>
                <w:sz w:val="20"/>
                <w:szCs w:val="20"/>
                <w:color w:val="auto"/>
              </w:rPr>
            </w:pPr>
            <w:r>
              <w:rPr>
                <w:rFonts w:ascii="Arial" w:cs="Arial" w:eastAsia="Arial" w:hAnsi="Arial"/>
                <w:sz w:val="17"/>
                <w:szCs w:val="17"/>
                <w:color w:val="auto"/>
              </w:rPr>
              <w:t>International</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1,725</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 revenues</w:t>
            </w:r>
          </w:p>
        </w:tc>
        <w:tc>
          <w:tcPr>
            <w:tcW w:w="1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760" w:type="dxa"/>
            <w:vAlign w:val="bottom"/>
            <w:vMerge w:val="continue"/>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49,244</w:t>
            </w:r>
          </w:p>
        </w:tc>
        <w:tc>
          <w:tcPr>
            <w:tcW w:w="26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62,656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8"/>
              </w:rPr>
              <w:t>U.S. Revenues by Product Category</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87"/>
              </w:rPr>
              <w:t>Year ended December 31,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491"/>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right="23"/>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79"/>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 thousands, except percentages)</w:t>
            </w: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NeuroStar Advanced Therapy System</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11,094</w:t>
            </w:r>
          </w:p>
        </w:tc>
        <w:tc>
          <w:tcPr>
            <w:tcW w:w="26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ind w:left="580"/>
              <w:spacing w:after="0"/>
              <w:rPr>
                <w:sz w:val="20"/>
                <w:szCs w:val="20"/>
                <w:color w:val="auto"/>
              </w:rPr>
            </w:pPr>
            <w:r>
              <w:rPr>
                <w:rFonts w:ascii="Arial" w:cs="Arial" w:eastAsia="Arial" w:hAnsi="Arial"/>
                <w:sz w:val="17"/>
                <w:szCs w:val="17"/>
                <w:color w:val="auto"/>
              </w:rPr>
              <w:t>Treatment sessions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34,852</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1,573</w:t>
            </w:r>
          </w:p>
        </w:tc>
        <w:tc>
          <w:tcPr>
            <w:tcW w:w="26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vMerge w:val="restart"/>
          </w:tcPr>
          <w:p>
            <w:pPr>
              <w:ind w:left="220"/>
              <w:spacing w:after="0"/>
              <w:rPr>
                <w:sz w:val="20"/>
                <w:szCs w:val="20"/>
                <w:color w:val="auto"/>
              </w:rPr>
            </w:pPr>
            <w:r>
              <w:rPr>
                <w:rFonts w:ascii="Arial" w:cs="Arial" w:eastAsia="Arial" w:hAnsi="Arial"/>
                <w:sz w:val="17"/>
                <w:szCs w:val="17"/>
                <w:color w:val="auto"/>
              </w:rPr>
              <w:t>Total U.S. revenues</w:t>
            </w: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47,519</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60,760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6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9"/>
              </w:rPr>
              <w:t>International Revenues by Product Category</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87"/>
              </w:rPr>
              <w:t>Year ended December 31,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491"/>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right="23"/>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79"/>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 thousands, except percentages)</w:t>
            </w: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NeuroStar Advanced Therapy System</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856</w:t>
            </w:r>
          </w:p>
        </w:tc>
        <w:tc>
          <w:tcPr>
            <w:tcW w:w="26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ind w:left="580"/>
              <w:spacing w:after="0"/>
              <w:rPr>
                <w:sz w:val="20"/>
                <w:szCs w:val="20"/>
                <w:color w:val="auto"/>
              </w:rPr>
            </w:pPr>
            <w:r>
              <w:rPr>
                <w:rFonts w:ascii="Arial" w:cs="Arial" w:eastAsia="Arial" w:hAnsi="Arial"/>
                <w:sz w:val="17"/>
                <w:szCs w:val="17"/>
                <w:color w:val="auto"/>
              </w:rPr>
              <w:t>Treatment sessions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449</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w:t>
            </w:r>
          </w:p>
        </w:tc>
        <w:tc>
          <w:tcPr>
            <w:tcW w:w="26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vMerge w:val="restart"/>
          </w:tcPr>
          <w:p>
            <w:pPr>
              <w:ind w:left="220"/>
              <w:spacing w:after="0"/>
              <w:rPr>
                <w:sz w:val="20"/>
                <w:szCs w:val="20"/>
                <w:color w:val="auto"/>
              </w:rPr>
            </w:pPr>
            <w:r>
              <w:rPr>
                <w:rFonts w:ascii="Arial" w:cs="Arial" w:eastAsia="Arial" w:hAnsi="Arial"/>
                <w:sz w:val="17"/>
                <w:szCs w:val="17"/>
                <w:color w:val="auto"/>
              </w:rPr>
              <w:t>Total International revenues</w:t>
            </w: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1,725</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7"/>
              </w:rPr>
              <w:t>Revenues by Geography</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87"/>
              </w:rPr>
              <w:t>Year ended December 31,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1"/>
                <w:szCs w:val="11"/>
                <w:color w:val="auto"/>
              </w:rPr>
            </w:pPr>
          </w:p>
        </w:tc>
        <w:tc>
          <w:tcPr>
            <w:tcW w:w="960" w:type="dxa"/>
            <w:vAlign w:val="bottom"/>
          </w:tcPr>
          <w:p>
            <w:pPr>
              <w:jc w:val="center"/>
              <w:ind w:right="23"/>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tcPr>
          <w:p>
            <w:pPr>
              <w:jc w:val="center"/>
              <w:ind w:right="79"/>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9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4"/>
              </w:rPr>
              <w:t>Revenues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4"/>
              </w:rPr>
              <w:t>Revenues</w:t>
            </w:r>
          </w:p>
        </w:tc>
        <w:tc>
          <w:tcPr>
            <w:tcW w:w="16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60,760</w:t>
            </w:r>
          </w:p>
        </w:tc>
        <w:tc>
          <w:tcPr>
            <w:tcW w:w="26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97%</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51,477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ind w:left="580"/>
              <w:spacing w:after="0"/>
              <w:rPr>
                <w:sz w:val="20"/>
                <w:szCs w:val="20"/>
                <w:color w:val="auto"/>
              </w:rPr>
            </w:pPr>
            <w:r>
              <w:rPr>
                <w:rFonts w:ascii="Arial" w:cs="Arial" w:eastAsia="Arial" w:hAnsi="Arial"/>
                <w:sz w:val="17"/>
                <w:szCs w:val="17"/>
                <w:color w:val="auto"/>
              </w:rPr>
              <w:t>International</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1,896</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 revenues</w:t>
            </w:r>
          </w:p>
        </w:tc>
        <w:tc>
          <w:tcPr>
            <w:tcW w:w="1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760" w:type="dxa"/>
            <w:vAlign w:val="bottom"/>
            <w:vMerge w:val="continue"/>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62,656</w:t>
            </w:r>
          </w:p>
        </w:tc>
        <w:tc>
          <w:tcPr>
            <w:tcW w:w="26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52,776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8"/>
              </w:rPr>
              <w:t>U.S. Revenues by Product Category</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87"/>
              </w:rPr>
              <w:t>Year ended December 31,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491"/>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right="23"/>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ind w:right="79"/>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Revenues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(in thousands, except percentages)</w:t>
            </w: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NeuroStar Advanced Therapy System</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18,007</w:t>
            </w:r>
          </w:p>
        </w:tc>
        <w:tc>
          <w:tcPr>
            <w:tcW w:w="26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ind w:left="580"/>
              <w:spacing w:after="0"/>
              <w:rPr>
                <w:sz w:val="20"/>
                <w:szCs w:val="20"/>
                <w:color w:val="auto"/>
              </w:rPr>
            </w:pPr>
            <w:r>
              <w:rPr>
                <w:rFonts w:ascii="Arial" w:cs="Arial" w:eastAsia="Arial" w:hAnsi="Arial"/>
                <w:sz w:val="17"/>
                <w:szCs w:val="17"/>
                <w:color w:val="auto"/>
              </w:rPr>
              <w:t>Treatment sessions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41,120</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35,287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1,633</w:t>
            </w:r>
          </w:p>
        </w:tc>
        <w:tc>
          <w:tcPr>
            <w:tcW w:w="260" w:type="dxa"/>
            <w:vAlign w:val="bottom"/>
            <w:tcBorders>
              <w:right w:val="single" w:sz="8" w:color="CFF0FC"/>
            </w:tcBorders>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vMerge w:val="restart"/>
          </w:tcPr>
          <w:p>
            <w:pPr>
              <w:ind w:left="220"/>
              <w:spacing w:after="0"/>
              <w:rPr>
                <w:sz w:val="20"/>
                <w:szCs w:val="20"/>
                <w:color w:val="auto"/>
              </w:rPr>
            </w:pPr>
            <w:r>
              <w:rPr>
                <w:rFonts w:ascii="Arial" w:cs="Arial" w:eastAsia="Arial" w:hAnsi="Arial"/>
                <w:sz w:val="17"/>
                <w:szCs w:val="17"/>
                <w:color w:val="auto"/>
              </w:rPr>
              <w:t>Total U.S. revenues</w:t>
            </w:r>
          </w:p>
        </w:tc>
        <w:tc>
          <w:tcPr>
            <w:tcW w:w="1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60,760</w:t>
            </w: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51,477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F-31</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-7620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825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ind w:right="100"/>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International Revenues by Product Category</w:t>
      </w:r>
    </w:p>
    <w:p>
      <w:pPr>
        <w:jc w:val="center"/>
        <w:ind w:left="4960"/>
        <w:spacing w:after="0" w:line="223" w:lineRule="auto"/>
        <w:rPr>
          <w:sz w:val="20"/>
          <w:szCs w:val="20"/>
          <w:color w:val="auto"/>
        </w:rPr>
      </w:pPr>
      <w:r>
        <w:rPr>
          <w:rFonts w:ascii="Arial" w:cs="Arial" w:eastAsia="Arial" w:hAnsi="Arial"/>
          <w:sz w:val="14"/>
          <w:szCs w:val="14"/>
          <w:b w:val="1"/>
          <w:bCs w:val="1"/>
          <w:color w:val="auto"/>
        </w:rPr>
        <w:t>Year ended December 31,</w:t>
      </w:r>
    </w:p>
    <w:tbl>
      <w:tblPr>
        <w:tblLayout w:type="fixed"/>
        <w:tblInd w:w="58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301"/>
              <w:spacing w:after="0" w:line="12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299"/>
              <w:spacing w:after="0" w:line="12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Revenues</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7"/>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(in thousands, except percentages)</w:t>
            </w: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NeuroStar Advanced Therapy System</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58%</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Arial" w:cs="Arial" w:eastAsia="Arial" w:hAnsi="Arial"/>
                <w:sz w:val="17"/>
                <w:szCs w:val="17"/>
                <w:color w:val="auto"/>
              </w:rPr>
              <w:t>Treatment sessions</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1"/>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20"/>
              <w:spacing w:after="0"/>
              <w:rPr>
                <w:sz w:val="20"/>
                <w:szCs w:val="20"/>
                <w:color w:val="auto"/>
              </w:rPr>
            </w:pPr>
            <w:r>
              <w:rPr>
                <w:rFonts w:ascii="Arial" w:cs="Arial" w:eastAsia="Arial" w:hAnsi="Arial"/>
                <w:sz w:val="17"/>
                <w:szCs w:val="17"/>
                <w:color w:val="auto"/>
              </w:rPr>
              <w:t>Total International revenues</w:t>
            </w: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80" w:type="dxa"/>
            <w:vAlign w:val="bottom"/>
            <w:vMerge w:val="continue"/>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SEVERANCE</w:t>
      </w:r>
    </w:p>
    <w:p>
      <w:pPr>
        <w:spacing w:after="0" w:line="84"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On April 8, 2020, the Company took action to reduce expenses through a reduction in force (“RIF”). As part of this action the Company terminated 95 employees who received separation benefits upon their termination. During the second quarter of 2020, the Company recorded a separation-related charge for the RIF equal to the fair value of the terminated employees benefits as of the communication date in the amount of $2.1 million. This amount was paid out during the quarter with the final payoff occurring on June 15, 2020.</w:t>
      </w:r>
    </w:p>
    <w:p>
      <w:pPr>
        <w:spacing w:after="0" w:line="71" w:lineRule="exact"/>
        <w:rPr>
          <w:sz w:val="20"/>
          <w:szCs w:val="20"/>
          <w:color w:val="auto"/>
        </w:rPr>
      </w:pPr>
    </w:p>
    <w:p>
      <w:pPr>
        <w:ind w:right="340"/>
        <w:spacing w:after="0" w:line="306" w:lineRule="auto"/>
        <w:rPr>
          <w:sz w:val="20"/>
          <w:szCs w:val="20"/>
          <w:color w:val="auto"/>
        </w:rPr>
      </w:pPr>
      <w:r>
        <w:rPr>
          <w:rFonts w:ascii="Arial" w:cs="Arial" w:eastAsia="Arial" w:hAnsi="Arial"/>
          <w:sz w:val="15"/>
          <w:szCs w:val="15"/>
          <w:color w:val="auto"/>
        </w:rPr>
        <w:t>The Company entered into transition agreements outlining the separation with its former chief executive officer in March 2020, the vice president of medical operations in September 2020, and the chief commercial officer, vice president of commercial access and director of medical operations in December 2020. In connection with these agreements, the Company recorded $1.8 million of charges in salary, payroll tax and bonus expenses for the year ended December 31, 2020. For the year ended December 31, 2020, $0.8 million of termination benefits were paid associated with the termination of the employees and charged against this liability. As of December 31, 2020, $1.0 million remain in accrued liabilities for the unpaid portion of the separation benefits.</w:t>
      </w:r>
    </w:p>
    <w:p>
      <w:pPr>
        <w:spacing w:after="0" w:line="392" w:lineRule="exact"/>
        <w:rPr>
          <w:sz w:val="20"/>
          <w:szCs w:val="20"/>
          <w:color w:val="auto"/>
        </w:rPr>
      </w:pPr>
    </w:p>
    <w:p>
      <w:pPr>
        <w:jc w:val="both"/>
        <w:ind w:right="6120" w:firstLine="4"/>
        <w:spacing w:after="0" w:line="510" w:lineRule="auto"/>
        <w:tabs>
          <w:tab w:leader="none" w:pos="365"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SUPPLEMENTARY FINANCIAL INFORMATION (Unaudited</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Selected financial information for the quarterly periods noted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right"/>
              <w:ind w:right="440"/>
              <w:spacing w:after="0" w:line="12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500"/>
              <w:spacing w:after="0" w:line="127"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420"/>
              <w:spacing w:after="0" w:line="127"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Arial" w:cs="Arial" w:eastAsia="Arial" w:hAnsi="Arial"/>
                <w:sz w:val="14"/>
                <w:szCs w:val="14"/>
                <w:b w:val="1"/>
                <w:bCs w:val="1"/>
                <w:color w:val="auto"/>
                <w:w w:val="93"/>
              </w:rPr>
              <w:t>December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gridSpan w:val="6"/>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(in thousands except per share data)</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160" w:type="dxa"/>
            <w:vAlign w:val="bottom"/>
            <w:gridSpan w:val="2"/>
            <w:shd w:val="clear" w:color="auto" w:fill="CFF0FC"/>
          </w:tcPr>
          <w:p>
            <w:pPr>
              <w:jc w:val="right"/>
              <w:ind w:right="27"/>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11,476</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9,741</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12,448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spacing w:after="0"/>
              <w:rPr>
                <w:sz w:val="20"/>
                <w:szCs w:val="20"/>
                <w:color w:val="auto"/>
              </w:rPr>
            </w:pPr>
            <w:r>
              <w:rPr>
                <w:rFonts w:ascii="Arial" w:cs="Arial" w:eastAsia="Arial" w:hAnsi="Arial"/>
                <w:sz w:val="16"/>
                <w:szCs w:val="16"/>
                <w:color w:val="auto"/>
              </w:rPr>
              <w:t>Cost of revenues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2,657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5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Gross Profit</w:t>
            </w:r>
          </w:p>
        </w:tc>
        <w:tc>
          <w:tcPr>
            <w:tcW w:w="9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8,665</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7,418</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9,791</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40" w:type="dxa"/>
            <w:vAlign w:val="bottom"/>
          </w:tcPr>
          <w:p>
            <w:pPr>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Sales and marketing</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4,210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1,952</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14,277</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12,215</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Loss from Operations</w:t>
            </w: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(10,366)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(6,859)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(2,424)</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40" w:type="dxa"/>
            <w:vAlign w:val="bottom"/>
          </w:tcPr>
          <w:p>
            <w:pPr>
              <w:spacing w:after="0"/>
              <w:rPr>
                <w:sz w:val="20"/>
                <w:szCs w:val="20"/>
                <w:color w:val="auto"/>
              </w:rPr>
            </w:pPr>
            <w:r>
              <w:rPr>
                <w:rFonts w:ascii="Arial" w:cs="Arial" w:eastAsia="Arial" w:hAnsi="Arial"/>
                <w:sz w:val="16"/>
                <w:szCs w:val="16"/>
                <w:color w:val="auto"/>
              </w:rPr>
              <w:t>Other (income) expense:</w:t>
            </w:r>
          </w:p>
        </w:tc>
        <w:tc>
          <w:tcPr>
            <w:tcW w:w="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240"/>
              <w:spacing w:after="0"/>
              <w:rPr>
                <w:sz w:val="20"/>
                <w:szCs w:val="20"/>
                <w:color w:val="auto"/>
              </w:rPr>
            </w:pPr>
            <w:r>
              <w:rPr>
                <w:rFonts w:ascii="Arial" w:cs="Arial" w:eastAsia="Arial" w:hAnsi="Arial"/>
                <w:sz w:val="16"/>
                <w:szCs w:val="16"/>
                <w:color w:val="auto"/>
              </w:rPr>
              <w:t>Loss on extinguishment of debt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(income) expense, net</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480"/>
              <w:spacing w:after="0"/>
              <w:rPr>
                <w:sz w:val="20"/>
                <w:szCs w:val="20"/>
                <w:color w:val="auto"/>
              </w:rPr>
            </w:pPr>
            <w:r>
              <w:rPr>
                <w:rFonts w:ascii="Arial" w:cs="Arial" w:eastAsia="Arial" w:hAnsi="Arial"/>
                <w:sz w:val="16"/>
                <w:szCs w:val="16"/>
                <w:color w:val="auto"/>
              </w:rPr>
              <w:t>Net Loss</w:t>
            </w: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(12,613)</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(7,765)</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(3,418)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loss per share of common stock outstanding, basic and diluted</w:t>
            </w: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vMerge w:val="continue"/>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(0.68)</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(0.41)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(0.18)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Weighted-average common shares outstanding, basic and diluted</w:t>
            </w:r>
          </w:p>
        </w:tc>
        <w:tc>
          <w:tcPr>
            <w:tcW w:w="9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4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18,890</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7" w:name="page118"/>
    <w:bookmarkEnd w:id="117"/>
    <w:p>
      <w:pPr>
        <w:jc w:val="center"/>
        <w:ind w:right="100"/>
        <w:spacing w:after="0"/>
        <w:rPr>
          <w:sz w:val="20"/>
          <w:szCs w:val="20"/>
          <w:color w:val="auto"/>
        </w:rPr>
      </w:pPr>
      <w:r>
        <w:rPr>
          <w:rFonts w:ascii="Arial" w:cs="Arial" w:eastAsia="Arial" w:hAnsi="Arial"/>
          <w:sz w:val="17"/>
          <w:szCs w:val="17"/>
          <w:b w:val="1"/>
          <w:bCs w:val="1"/>
          <w:color w:val="auto"/>
        </w:rPr>
        <w:t>NEURONETICS, INC.</w:t>
      </w:r>
    </w:p>
    <w:p>
      <w:pPr>
        <w:spacing w:after="0" w:line="7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right"/>
              <w:ind w:right="440"/>
              <w:spacing w:after="0" w:line="12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520"/>
              <w:spacing w:after="0" w:line="127"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440"/>
              <w:spacing w:after="0" w:line="127"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1"/>
                <w:szCs w:val="11"/>
                <w:color w:val="auto"/>
              </w:rPr>
            </w:pPr>
          </w:p>
        </w:tc>
        <w:tc>
          <w:tcPr>
            <w:tcW w:w="760" w:type="dxa"/>
            <w:vAlign w:val="bottom"/>
          </w:tcPr>
          <w:p>
            <w:pPr>
              <w:jc w:val="right"/>
              <w:spacing w:after="0" w:line="127" w:lineRule="exact"/>
              <w:rPr>
                <w:sz w:val="20"/>
                <w:szCs w:val="20"/>
                <w:color w:val="auto"/>
              </w:rPr>
            </w:pPr>
            <w:r>
              <w:rPr>
                <w:rFonts w:ascii="Arial" w:cs="Arial" w:eastAsia="Arial" w:hAnsi="Arial"/>
                <w:sz w:val="14"/>
                <w:szCs w:val="14"/>
                <w:b w:val="1"/>
                <w:bCs w:val="1"/>
                <w:color w:val="auto"/>
                <w:w w:val="93"/>
              </w:rPr>
              <w:t>December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6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(in thousands except per share data)</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12,728</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16,572</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20" w:type="dxa"/>
            <w:vAlign w:val="bottom"/>
          </w:tcPr>
          <w:p>
            <w:pPr>
              <w:spacing w:after="0"/>
              <w:rPr>
                <w:sz w:val="20"/>
                <w:szCs w:val="20"/>
                <w:color w:val="auto"/>
              </w:rPr>
            </w:pPr>
            <w:r>
              <w:rPr>
                <w:rFonts w:ascii="Arial" w:cs="Arial" w:eastAsia="Arial" w:hAnsi="Arial"/>
                <w:sz w:val="16"/>
                <w:szCs w:val="16"/>
                <w:color w:val="auto"/>
              </w:rPr>
              <w:t>Cost of revenues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4,192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61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9,921</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12,401</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11,808</w:t>
            </w: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Pr>
          <w:p>
            <w:pPr>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4,285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6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3,489</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16,977</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18,136</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(7,056)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(6,607)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(6,328)</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Pr>
          <w:p>
            <w:pPr>
              <w:spacing w:after="0"/>
              <w:rPr>
                <w:sz w:val="20"/>
                <w:szCs w:val="20"/>
                <w:color w:val="auto"/>
              </w:rPr>
            </w:pPr>
            <w:r>
              <w:rPr>
                <w:rFonts w:ascii="Arial" w:cs="Arial" w:eastAsia="Arial" w:hAnsi="Arial"/>
                <w:sz w:val="16"/>
                <w:szCs w:val="16"/>
                <w:color w:val="auto"/>
              </w:rPr>
              <w:t>Other (income) expense:</w:t>
            </w: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20" w:type="dxa"/>
            <w:vAlign w:val="bottom"/>
          </w:tcPr>
          <w:p>
            <w:pPr>
              <w:ind w:left="24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(391)</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1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(7,529)</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(7,094)</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(6,867)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loss per share of common stock outstanding,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1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(0.42)</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(0.39)</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(0.37)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common shares outstanding, basic and diluted</w:t>
            </w: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18,026</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18,351</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18,508</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Quarterly computations of net loss per share amounts are made independently for each quarterly reporting period, and the sum of the per share amounts for the quarterly reporting periods may not equal the per share amounts for the year-to-date reporting period.</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22. SUBSEQUENT EVENTS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Common Stock Offering</w:t>
      </w:r>
    </w:p>
    <w:p>
      <w:pPr>
        <w:spacing w:after="0" w:line="25"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On February 2, 2021, we closed on the Offering of our common stock in which we issued and sold 5,566,000 shares of our common stock, which included shares pursuant to an option granted to underwriters to purchase additional shares, at a public offering price of $15.50 per share. We received net proceeds of approximately $80.6 million after deducting underwriting discounts,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8" w:name="page119"/>
    <w:bookmarkEnd w:id="118"/>
    <w:p>
      <w:pPr>
        <w:ind w:left="20"/>
        <w:spacing w:after="0"/>
        <w:rPr>
          <w:sz w:val="20"/>
          <w:szCs w:val="20"/>
          <w:color w:val="auto"/>
        </w:rPr>
      </w:pPr>
      <w:r>
        <w:rPr>
          <w:rFonts w:ascii="Arial" w:cs="Arial" w:eastAsia="Arial" w:hAnsi="Arial"/>
          <w:sz w:val="17"/>
          <w:szCs w:val="17"/>
          <w:b w:val="1"/>
          <w:bCs w:val="1"/>
          <w:color w:val="auto"/>
        </w:rPr>
        <w:t>SIGNATURES</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NEURONETICS,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Keith J. Sullivan</w:t>
            </w:r>
          </w:p>
        </w:tc>
      </w:tr>
      <w:tr>
        <w:trPr>
          <w:trHeight w:val="179"/>
        </w:trPr>
        <w:tc>
          <w:tcPr>
            <w:tcW w:w="720" w:type="dxa"/>
            <w:vAlign w:val="bottom"/>
          </w:tcPr>
          <w:p>
            <w:pPr>
              <w:spacing w:after="0"/>
              <w:rPr>
                <w:sz w:val="15"/>
                <w:szCs w:val="15"/>
                <w:color w:val="auto"/>
              </w:rPr>
            </w:pPr>
          </w:p>
        </w:tc>
        <w:tc>
          <w:tcPr>
            <w:tcW w:w="3180" w:type="dxa"/>
            <w:vAlign w:val="bottom"/>
          </w:tcPr>
          <w:p>
            <w:pPr>
              <w:jc w:val="center"/>
              <w:spacing w:after="0" w:line="179" w:lineRule="exact"/>
              <w:rPr>
                <w:sz w:val="20"/>
                <w:szCs w:val="20"/>
                <w:color w:val="auto"/>
              </w:rPr>
            </w:pPr>
            <w:r>
              <w:rPr>
                <w:rFonts w:ascii="Arial" w:cs="Arial" w:eastAsia="Arial" w:hAnsi="Arial"/>
                <w:sz w:val="17"/>
                <w:szCs w:val="17"/>
                <w:b w:val="1"/>
                <w:bCs w:val="1"/>
                <w:color w:val="auto"/>
                <w:w w:val="94"/>
              </w:rPr>
              <w:t>Keith J. Sullivan</w:t>
            </w:r>
          </w:p>
        </w:tc>
      </w:tr>
      <w:tr>
        <w:trPr>
          <w:trHeight w:val="180"/>
        </w:trPr>
        <w:tc>
          <w:tcPr>
            <w:tcW w:w="72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0"/>
              </w:rPr>
              <w:t>President and Chief Executive Officer</w:t>
            </w:r>
          </w:p>
        </w:tc>
      </w:tr>
      <w:tr>
        <w:trPr>
          <w:trHeight w:val="468"/>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March 2, 2021</w:t>
            </w:r>
          </w:p>
        </w:tc>
      </w:tr>
    </w:tbl>
    <w:p>
      <w:pPr>
        <w:spacing w:after="0" w:line="22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80" w:type="dxa"/>
            <w:vAlign w:val="bottom"/>
            <w:tcBorders>
              <w:bottom w:val="single" w:sz="8" w:color="auto"/>
            </w:tcBorders>
          </w:tcPr>
          <w:p>
            <w:pPr>
              <w:ind w:left="1240"/>
              <w:spacing w:after="0"/>
              <w:rPr>
                <w:sz w:val="20"/>
                <w:szCs w:val="20"/>
                <w:color w:val="auto"/>
              </w:rPr>
            </w:pPr>
            <w:r>
              <w:rPr>
                <w:rFonts w:ascii="Arial" w:cs="Arial" w:eastAsia="Arial" w:hAnsi="Arial"/>
                <w:sz w:val="17"/>
                <w:szCs w:val="17"/>
                <w:b w:val="1"/>
                <w:bCs w:val="1"/>
                <w:color w:val="auto"/>
              </w:rPr>
              <w:t>Signature</w:t>
            </w:r>
          </w:p>
        </w:tc>
        <w:tc>
          <w:tcPr>
            <w:tcW w:w="160" w:type="dxa"/>
            <w:vAlign w:val="bottom"/>
          </w:tcPr>
          <w:p>
            <w:pPr>
              <w:spacing w:after="0"/>
              <w:rPr>
                <w:sz w:val="19"/>
                <w:szCs w:val="19"/>
                <w:color w:val="auto"/>
              </w:rPr>
            </w:pPr>
          </w:p>
        </w:tc>
        <w:tc>
          <w:tcPr>
            <w:tcW w:w="5000" w:type="dxa"/>
            <w:vAlign w:val="bottom"/>
            <w:tcBorders>
              <w:bottom w:val="single" w:sz="8" w:color="auto"/>
            </w:tcBorders>
          </w:tcPr>
          <w:p>
            <w:pPr>
              <w:ind w:left="2320"/>
              <w:spacing w:after="0"/>
              <w:rPr>
                <w:sz w:val="20"/>
                <w:szCs w:val="20"/>
                <w:color w:val="auto"/>
              </w:rPr>
            </w:pPr>
            <w:r>
              <w:rPr>
                <w:rFonts w:ascii="Arial" w:cs="Arial" w:eastAsia="Arial" w:hAnsi="Arial"/>
                <w:sz w:val="17"/>
                <w:szCs w:val="17"/>
                <w:b w:val="1"/>
                <w:bCs w:val="1"/>
                <w:color w:val="auto"/>
              </w:rPr>
              <w:t>Title</w:t>
            </w:r>
          </w:p>
        </w:tc>
        <w:tc>
          <w:tcPr>
            <w:tcW w:w="10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r>
      <w:tr>
        <w:trPr>
          <w:trHeight w:val="410"/>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Keith J. Sullivan</w:t>
            </w:r>
          </w:p>
        </w:tc>
        <w:tc>
          <w:tcPr>
            <w:tcW w:w="1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March 2, 2021</w:t>
            </w:r>
          </w:p>
        </w:tc>
      </w:tr>
      <w:tr>
        <w:trPr>
          <w:trHeight w:val="220"/>
        </w:trPr>
        <w:tc>
          <w:tcPr>
            <w:tcW w:w="3180" w:type="dxa"/>
            <w:vAlign w:val="bottom"/>
          </w:tcPr>
          <w:p>
            <w:pPr>
              <w:spacing w:after="0"/>
              <w:rPr>
                <w:sz w:val="20"/>
                <w:szCs w:val="20"/>
                <w:color w:val="auto"/>
              </w:rPr>
            </w:pPr>
            <w:r>
              <w:rPr>
                <w:rFonts w:ascii="Arial" w:cs="Arial" w:eastAsia="Arial" w:hAnsi="Arial"/>
                <w:sz w:val="17"/>
                <w:szCs w:val="17"/>
                <w:b w:val="1"/>
                <w:bCs w:val="1"/>
                <w:color w:val="auto"/>
              </w:rPr>
              <w:t>Keith J. Sullivan</w:t>
            </w:r>
          </w:p>
        </w:tc>
        <w:tc>
          <w:tcPr>
            <w:tcW w:w="16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c>
          <w:tcPr>
            <w:tcW w:w="2800" w:type="dxa"/>
            <w:vAlign w:val="bottom"/>
          </w:tcPr>
          <w:p>
            <w:pPr>
              <w:spacing w:after="0"/>
              <w:rPr>
                <w:sz w:val="19"/>
                <w:szCs w:val="19"/>
                <w:color w:val="auto"/>
              </w:rPr>
            </w:pPr>
          </w:p>
        </w:tc>
      </w:tr>
      <w:tr>
        <w:trPr>
          <w:trHeight w:val="398"/>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Stephen Furlong</w:t>
            </w:r>
          </w:p>
        </w:tc>
        <w:tc>
          <w:tcPr>
            <w:tcW w:w="1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Senior VP, Chief Financial Officer and Treasurer</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March 2, 2021</w:t>
            </w:r>
          </w:p>
        </w:tc>
      </w:tr>
      <w:tr>
        <w:trPr>
          <w:trHeight w:val="220"/>
        </w:trPr>
        <w:tc>
          <w:tcPr>
            <w:tcW w:w="3180" w:type="dxa"/>
            <w:vAlign w:val="bottom"/>
          </w:tcPr>
          <w:p>
            <w:pPr>
              <w:spacing w:after="0"/>
              <w:rPr>
                <w:sz w:val="20"/>
                <w:szCs w:val="20"/>
                <w:color w:val="auto"/>
              </w:rPr>
            </w:pPr>
            <w:r>
              <w:rPr>
                <w:rFonts w:ascii="Arial" w:cs="Arial" w:eastAsia="Arial" w:hAnsi="Arial"/>
                <w:sz w:val="17"/>
                <w:szCs w:val="17"/>
                <w:b w:val="1"/>
                <w:bCs w:val="1"/>
                <w:color w:val="auto"/>
              </w:rPr>
              <w:t>Stephen Furlong</w:t>
            </w:r>
          </w:p>
        </w:tc>
        <w:tc>
          <w:tcPr>
            <w:tcW w:w="16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(Principal Financial and Accounting Officer)</w:t>
            </w:r>
          </w:p>
        </w:tc>
        <w:tc>
          <w:tcPr>
            <w:tcW w:w="2800" w:type="dxa"/>
            <w:vAlign w:val="bottom"/>
          </w:tcPr>
          <w:p>
            <w:pPr>
              <w:spacing w:after="0"/>
              <w:rPr>
                <w:sz w:val="19"/>
                <w:szCs w:val="19"/>
                <w:color w:val="auto"/>
              </w:rPr>
            </w:pPr>
          </w:p>
        </w:tc>
      </w:tr>
      <w:tr>
        <w:trPr>
          <w:trHeight w:val="398"/>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Bakewell</w:t>
            </w:r>
          </w:p>
        </w:tc>
        <w:tc>
          <w:tcPr>
            <w:tcW w:w="1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March 2, 2021</w:t>
            </w:r>
          </w:p>
        </w:tc>
      </w:tr>
      <w:tr>
        <w:trPr>
          <w:trHeight w:val="220"/>
        </w:trPr>
        <w:tc>
          <w:tcPr>
            <w:tcW w:w="3180" w:type="dxa"/>
            <w:vAlign w:val="bottom"/>
          </w:tcPr>
          <w:p>
            <w:pPr>
              <w:spacing w:after="0"/>
              <w:rPr>
                <w:sz w:val="20"/>
                <w:szCs w:val="20"/>
                <w:color w:val="auto"/>
              </w:rPr>
            </w:pPr>
            <w:r>
              <w:rPr>
                <w:rFonts w:ascii="Arial" w:cs="Arial" w:eastAsia="Arial" w:hAnsi="Arial"/>
                <w:sz w:val="17"/>
                <w:szCs w:val="17"/>
                <w:b w:val="1"/>
                <w:bCs w:val="1"/>
                <w:color w:val="auto"/>
              </w:rPr>
              <w:t>John Bakewell</w:t>
            </w:r>
          </w:p>
        </w:tc>
        <w:tc>
          <w:tcPr>
            <w:tcW w:w="1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98"/>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Sheryl Conley</w:t>
            </w:r>
          </w:p>
        </w:tc>
        <w:tc>
          <w:tcPr>
            <w:tcW w:w="1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March 2, 2021</w:t>
            </w:r>
          </w:p>
        </w:tc>
      </w:tr>
      <w:tr>
        <w:trPr>
          <w:trHeight w:val="220"/>
        </w:trPr>
        <w:tc>
          <w:tcPr>
            <w:tcW w:w="3180" w:type="dxa"/>
            <w:vAlign w:val="bottom"/>
          </w:tcPr>
          <w:p>
            <w:pPr>
              <w:spacing w:after="0"/>
              <w:rPr>
                <w:sz w:val="20"/>
                <w:szCs w:val="20"/>
                <w:color w:val="auto"/>
              </w:rPr>
            </w:pPr>
            <w:r>
              <w:rPr>
                <w:rFonts w:ascii="Arial" w:cs="Arial" w:eastAsia="Arial" w:hAnsi="Arial"/>
                <w:sz w:val="17"/>
                <w:szCs w:val="17"/>
                <w:b w:val="1"/>
                <w:bCs w:val="1"/>
                <w:color w:val="auto"/>
              </w:rPr>
              <w:t>Sheryl Conley</w:t>
            </w:r>
          </w:p>
        </w:tc>
        <w:tc>
          <w:tcPr>
            <w:tcW w:w="1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98"/>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Farley</w:t>
            </w:r>
          </w:p>
        </w:tc>
        <w:tc>
          <w:tcPr>
            <w:tcW w:w="1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March 2, 2021</w:t>
            </w:r>
          </w:p>
        </w:tc>
      </w:tr>
      <w:tr>
        <w:trPr>
          <w:trHeight w:val="220"/>
        </w:trPr>
        <w:tc>
          <w:tcPr>
            <w:tcW w:w="3180" w:type="dxa"/>
            <w:vAlign w:val="bottom"/>
          </w:tcPr>
          <w:p>
            <w:pPr>
              <w:spacing w:after="0"/>
              <w:rPr>
                <w:sz w:val="20"/>
                <w:szCs w:val="20"/>
                <w:color w:val="auto"/>
              </w:rPr>
            </w:pPr>
            <w:r>
              <w:rPr>
                <w:rFonts w:ascii="Arial" w:cs="Arial" w:eastAsia="Arial" w:hAnsi="Arial"/>
                <w:sz w:val="17"/>
                <w:szCs w:val="17"/>
                <w:b w:val="1"/>
                <w:bCs w:val="1"/>
                <w:color w:val="auto"/>
              </w:rPr>
              <w:t>Brian Farley</w:t>
            </w:r>
          </w:p>
        </w:tc>
        <w:tc>
          <w:tcPr>
            <w:tcW w:w="1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98"/>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Wilfred Jaeger, M.D.</w:t>
            </w:r>
          </w:p>
        </w:tc>
        <w:tc>
          <w:tcPr>
            <w:tcW w:w="1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March 2, 2021</w:t>
            </w:r>
          </w:p>
        </w:tc>
      </w:tr>
      <w:tr>
        <w:trPr>
          <w:trHeight w:val="220"/>
        </w:trPr>
        <w:tc>
          <w:tcPr>
            <w:tcW w:w="3180" w:type="dxa"/>
            <w:vAlign w:val="bottom"/>
          </w:tcPr>
          <w:p>
            <w:pPr>
              <w:spacing w:after="0"/>
              <w:rPr>
                <w:sz w:val="20"/>
                <w:szCs w:val="20"/>
                <w:color w:val="auto"/>
              </w:rPr>
            </w:pPr>
            <w:r>
              <w:rPr>
                <w:rFonts w:ascii="Arial" w:cs="Arial" w:eastAsia="Arial" w:hAnsi="Arial"/>
                <w:sz w:val="17"/>
                <w:szCs w:val="17"/>
                <w:b w:val="1"/>
                <w:bCs w:val="1"/>
                <w:color w:val="auto"/>
              </w:rPr>
              <w:t>Wilfred Jaeger, M.D.</w:t>
            </w:r>
          </w:p>
        </w:tc>
        <w:tc>
          <w:tcPr>
            <w:tcW w:w="1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98"/>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Glenn Muir</w:t>
            </w:r>
          </w:p>
        </w:tc>
        <w:tc>
          <w:tcPr>
            <w:tcW w:w="1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March 2, 2021</w:t>
            </w:r>
          </w:p>
        </w:tc>
      </w:tr>
      <w:tr>
        <w:trPr>
          <w:trHeight w:val="220"/>
        </w:trPr>
        <w:tc>
          <w:tcPr>
            <w:tcW w:w="3180" w:type="dxa"/>
            <w:vAlign w:val="bottom"/>
          </w:tcPr>
          <w:p>
            <w:pPr>
              <w:spacing w:after="0"/>
              <w:rPr>
                <w:sz w:val="20"/>
                <w:szCs w:val="20"/>
                <w:color w:val="auto"/>
              </w:rPr>
            </w:pPr>
            <w:r>
              <w:rPr>
                <w:rFonts w:ascii="Arial" w:cs="Arial" w:eastAsia="Arial" w:hAnsi="Arial"/>
                <w:sz w:val="17"/>
                <w:szCs w:val="17"/>
                <w:b w:val="1"/>
                <w:bCs w:val="1"/>
                <w:color w:val="auto"/>
              </w:rPr>
              <w:t>Glenn Muir</w:t>
            </w:r>
          </w:p>
        </w:tc>
        <w:tc>
          <w:tcPr>
            <w:tcW w:w="1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98"/>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Bruce Shook</w:t>
            </w:r>
          </w:p>
        </w:tc>
        <w:tc>
          <w:tcPr>
            <w:tcW w:w="16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800" w:type="dxa"/>
            <w:vAlign w:val="bottom"/>
          </w:tcPr>
          <w:p>
            <w:pPr>
              <w:jc w:val="center"/>
              <w:spacing w:after="0"/>
              <w:rPr>
                <w:sz w:val="20"/>
                <w:szCs w:val="20"/>
                <w:color w:val="auto"/>
              </w:rPr>
            </w:pPr>
            <w:r>
              <w:rPr>
                <w:rFonts w:ascii="Arial" w:cs="Arial" w:eastAsia="Arial" w:hAnsi="Arial"/>
                <w:sz w:val="17"/>
                <w:szCs w:val="17"/>
                <w:color w:val="auto"/>
                <w:w w:val="93"/>
              </w:rPr>
              <w:t>March 2, 2021</w:t>
            </w:r>
          </w:p>
        </w:tc>
      </w:tr>
      <w:tr>
        <w:trPr>
          <w:trHeight w:val="220"/>
        </w:trPr>
        <w:tc>
          <w:tcPr>
            <w:tcW w:w="3180" w:type="dxa"/>
            <w:vAlign w:val="bottom"/>
          </w:tcPr>
          <w:p>
            <w:pPr>
              <w:spacing w:after="0"/>
              <w:rPr>
                <w:sz w:val="20"/>
                <w:szCs w:val="20"/>
                <w:color w:val="auto"/>
              </w:rPr>
            </w:pPr>
            <w:r>
              <w:rPr>
                <w:rFonts w:ascii="Arial" w:cs="Arial" w:eastAsia="Arial" w:hAnsi="Arial"/>
                <w:sz w:val="17"/>
                <w:szCs w:val="17"/>
                <w:b w:val="1"/>
                <w:bCs w:val="1"/>
                <w:color w:val="auto"/>
              </w:rPr>
              <w:t>Bruce Shook</w:t>
            </w:r>
          </w:p>
        </w:tc>
        <w:tc>
          <w:tcPr>
            <w:tcW w:w="16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ectPr>
          <w:pgSz w:w="11900" w:h="16838" w:orient="portrait"/>
          <w:cols w:equalWidth="0" w:num="1">
            <w:col w:w="11240"/>
          </w:cols>
          <w:pgMar w:left="320" w:top="577"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1"/>
          <w:szCs w:val="21"/>
          <w:b w:val="1"/>
          <w:bCs w:val="1"/>
          <w:color w:val="auto"/>
        </w:rPr>
        <w:t>Exhibit 23.1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Neuronetics, Inc.:</w:t>
      </w:r>
    </w:p>
    <w:p>
      <w:pPr>
        <w:spacing w:after="0" w:line="183"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We consent to the incorporation by reference in the registration statements (Nos. 333-226343 and 333-252233) on Form S-8 and in the registration statement (No. 333-233047) on Form S-3 of Neuronetics, Inc. of our report dated March 2, 2021, with respect to the balance sheets of Neuronetics, Inc. as of December 31, 2020 and 2019, and the related statements of operations, changes in convertible preferred stock and stockholders’ equity (deficit), and cash flows for each of the years in the three-year period ended December 31, 2020, and the related notes, which report appears in the December 31, 2020 annual report on Form 10-K of Neuronetics, Inc. Our report refers to a change in the accounting for revenue and leases in the year ended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auto"/>
        </w:rPr>
        <w:t>/s/ KPMG LLP</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Philadelphia, Pennsylvania</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March 2, 2021</w:t>
      </w:r>
    </w:p>
    <w:p>
      <w:pPr>
        <w:sectPr>
          <w:pgSz w:w="11900" w:h="16838" w:orient="portrait"/>
          <w:cols w:equalWidth="0" w:num="1">
            <w:col w:w="11240"/>
          </w:cols>
          <w:pgMar w:left="320" w:top="33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Keith J. Sullivan, certify that:</w:t>
      </w:r>
    </w:p>
    <w:p>
      <w:pPr>
        <w:spacing w:after="0" w:line="117" w:lineRule="exact"/>
        <w:rPr>
          <w:sz w:val="20"/>
          <w:szCs w:val="20"/>
          <w:color w:val="auto"/>
        </w:rPr>
      </w:pPr>
    </w:p>
    <w:p>
      <w:pPr>
        <w:ind w:left="800" w:hanging="796"/>
        <w:spacing w:after="0"/>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Neuronetics, Inc.;</w:t>
      </w:r>
    </w:p>
    <w:p>
      <w:pPr>
        <w:spacing w:after="0" w:line="117" w:lineRule="exact"/>
        <w:rPr>
          <w:rFonts w:ascii="Arial" w:cs="Arial" w:eastAsia="Arial" w:hAnsi="Arial"/>
          <w:sz w:val="17"/>
          <w:szCs w:val="17"/>
          <w:color w:val="auto"/>
        </w:rPr>
      </w:pPr>
    </w:p>
    <w:p>
      <w:pPr>
        <w:jc w:val="both"/>
        <w:ind w:left="800" w:hanging="796"/>
        <w:spacing w:after="0" w:line="271" w:lineRule="auto"/>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800" w:hanging="796"/>
        <w:spacing w:after="0" w:line="286" w:lineRule="auto"/>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7"/>
          <w:szCs w:val="17"/>
          <w:color w:val="auto"/>
        </w:rPr>
      </w:pPr>
    </w:p>
    <w:p>
      <w:pPr>
        <w:jc w:val="both"/>
        <w:ind w:left="800" w:hanging="796"/>
        <w:spacing w:after="0" w:line="271" w:lineRule="auto"/>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jc w:val="both"/>
        <w:ind w:left="1600" w:hanging="801"/>
        <w:spacing w:after="0" w:line="271" w:lineRule="auto"/>
        <w:tabs>
          <w:tab w:leader="none" w:pos="16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600" w:hanging="801"/>
        <w:spacing w:after="0" w:line="271" w:lineRule="auto"/>
        <w:tabs>
          <w:tab w:leader="none" w:pos="16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1600" w:hanging="801"/>
        <w:spacing w:after="0" w:line="357" w:lineRule="auto"/>
        <w:tabs>
          <w:tab w:leader="none" w:pos="160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jc w:val="both"/>
        <w:ind w:left="1600" w:hanging="801"/>
        <w:spacing w:after="0" w:line="271" w:lineRule="auto"/>
        <w:tabs>
          <w:tab w:leader="none" w:pos="16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800" w:hanging="796"/>
        <w:spacing w:after="0" w:line="319" w:lineRule="auto"/>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600" w:hanging="801"/>
        <w:spacing w:after="0" w:line="319" w:lineRule="auto"/>
        <w:tabs>
          <w:tab w:leader="none" w:pos="16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6"/>
          <w:szCs w:val="16"/>
          <w:color w:val="auto"/>
        </w:rPr>
      </w:pPr>
    </w:p>
    <w:p>
      <w:pPr>
        <w:ind w:left="1600" w:hanging="801"/>
        <w:spacing w:after="0" w:line="286" w:lineRule="auto"/>
        <w:tabs>
          <w:tab w:leader="none" w:pos="16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tcPr>
          <w:p>
            <w:pPr>
              <w:spacing w:after="0"/>
              <w:rPr>
                <w:sz w:val="20"/>
                <w:szCs w:val="20"/>
                <w:color w:val="auto"/>
              </w:rPr>
            </w:pPr>
            <w:r>
              <w:rPr>
                <w:rFonts w:ascii="Arial" w:cs="Arial" w:eastAsia="Arial" w:hAnsi="Arial"/>
                <w:sz w:val="17"/>
                <w:szCs w:val="17"/>
                <w:color w:val="auto"/>
              </w:rPr>
              <w:t>Date: March 2, 2021</w:t>
            </w:r>
          </w:p>
        </w:tc>
        <w:tc>
          <w:tcPr>
            <w:tcW w:w="2540" w:type="dxa"/>
            <w:vAlign w:val="bottom"/>
          </w:tcPr>
          <w:p>
            <w:pPr>
              <w:ind w:left="1820"/>
              <w:spacing w:after="0"/>
              <w:rPr>
                <w:sz w:val="20"/>
                <w:szCs w:val="20"/>
                <w:color w:val="auto"/>
              </w:rPr>
            </w:pPr>
            <w:r>
              <w:rPr>
                <w:rFonts w:ascii="Arial" w:cs="Arial" w:eastAsia="Arial" w:hAnsi="Arial"/>
                <w:sz w:val="17"/>
                <w:szCs w:val="17"/>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Keith J. Sullivan</w:t>
            </w:r>
          </w:p>
        </w:tc>
      </w:tr>
      <w:tr>
        <w:trPr>
          <w:trHeight w:val="189"/>
        </w:trPr>
        <w:tc>
          <w:tcPr>
            <w:tcW w:w="3260" w:type="dxa"/>
            <w:vAlign w:val="bottom"/>
          </w:tcPr>
          <w:p>
            <w:pPr>
              <w:spacing w:after="0"/>
              <w:rPr>
                <w:sz w:val="16"/>
                <w:szCs w:val="16"/>
                <w:color w:val="auto"/>
              </w:rPr>
            </w:pPr>
          </w:p>
        </w:tc>
        <w:tc>
          <w:tcPr>
            <w:tcW w:w="2540" w:type="dxa"/>
            <w:vAlign w:val="bottom"/>
          </w:tcPr>
          <w:p>
            <w:pPr>
              <w:ind w:left="1820"/>
              <w:spacing w:after="0" w:line="189" w:lineRule="exact"/>
              <w:rPr>
                <w:sz w:val="20"/>
                <w:szCs w:val="20"/>
                <w:color w:val="auto"/>
              </w:rPr>
            </w:pPr>
            <w:r>
              <w:rPr>
                <w:rFonts w:ascii="Arial" w:cs="Arial" w:eastAsia="Arial" w:hAnsi="Arial"/>
                <w:sz w:val="17"/>
                <w:szCs w:val="17"/>
                <w:color w:val="auto"/>
              </w:rPr>
              <w:t>Name:</w:t>
            </w:r>
          </w:p>
        </w:tc>
        <w:tc>
          <w:tcPr>
            <w:tcW w:w="5440" w:type="dxa"/>
            <w:vAlign w:val="bottom"/>
          </w:tcPr>
          <w:p>
            <w:pPr>
              <w:spacing w:after="0" w:line="189" w:lineRule="exact"/>
              <w:rPr>
                <w:sz w:val="20"/>
                <w:szCs w:val="20"/>
                <w:color w:val="auto"/>
              </w:rPr>
            </w:pPr>
            <w:r>
              <w:rPr>
                <w:rFonts w:ascii="Arial" w:cs="Arial" w:eastAsia="Arial" w:hAnsi="Arial"/>
                <w:sz w:val="17"/>
                <w:szCs w:val="17"/>
                <w:color w:val="auto"/>
              </w:rPr>
              <w:t>Keith J. Sullivan</w:t>
            </w:r>
          </w:p>
        </w:tc>
      </w:tr>
      <w:tr>
        <w:trPr>
          <w:trHeight w:val="208"/>
        </w:trPr>
        <w:tc>
          <w:tcPr>
            <w:tcW w:w="3260" w:type="dxa"/>
            <w:vAlign w:val="bottom"/>
          </w:tcPr>
          <w:p>
            <w:pPr>
              <w:spacing w:after="0"/>
              <w:rPr>
                <w:sz w:val="18"/>
                <w:szCs w:val="18"/>
                <w:color w:val="auto"/>
              </w:rPr>
            </w:pPr>
          </w:p>
        </w:tc>
        <w:tc>
          <w:tcPr>
            <w:tcW w:w="2540" w:type="dxa"/>
            <w:vAlign w:val="bottom"/>
          </w:tcPr>
          <w:p>
            <w:pPr>
              <w:ind w:left="1820"/>
              <w:spacing w:after="0"/>
              <w:rPr>
                <w:sz w:val="20"/>
                <w:szCs w:val="20"/>
                <w:color w:val="auto"/>
              </w:rPr>
            </w:pPr>
            <w:r>
              <w:rPr>
                <w:rFonts w:ascii="Arial" w:cs="Arial" w:eastAsia="Arial" w:hAnsi="Arial"/>
                <w:sz w:val="17"/>
                <w:szCs w:val="17"/>
                <w:color w:val="auto"/>
              </w:rPr>
              <w:t>Title:</w:t>
            </w:r>
          </w:p>
        </w:tc>
        <w:tc>
          <w:tcPr>
            <w:tcW w:w="544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r>
        <w:trPr>
          <w:trHeight w:val="221"/>
        </w:trPr>
        <w:tc>
          <w:tcPr>
            <w:tcW w:w="3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Stephen Furlong, certify that:</w:t>
      </w:r>
    </w:p>
    <w:p>
      <w:pPr>
        <w:spacing w:after="0" w:line="117" w:lineRule="exact"/>
        <w:rPr>
          <w:sz w:val="20"/>
          <w:szCs w:val="20"/>
          <w:color w:val="auto"/>
        </w:rPr>
      </w:pPr>
    </w:p>
    <w:p>
      <w:pPr>
        <w:ind w:left="800" w:hanging="796"/>
        <w:spacing w:after="0"/>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Neuronetics, Inc.;</w:t>
      </w:r>
    </w:p>
    <w:p>
      <w:pPr>
        <w:spacing w:after="0" w:line="117" w:lineRule="exact"/>
        <w:rPr>
          <w:rFonts w:ascii="Arial" w:cs="Arial" w:eastAsia="Arial" w:hAnsi="Arial"/>
          <w:sz w:val="17"/>
          <w:szCs w:val="17"/>
          <w:color w:val="auto"/>
        </w:rPr>
      </w:pPr>
    </w:p>
    <w:p>
      <w:pPr>
        <w:jc w:val="both"/>
        <w:ind w:left="800" w:hanging="796"/>
        <w:spacing w:after="0" w:line="271"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800" w:hanging="796"/>
        <w:spacing w:after="0" w:line="286"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7"/>
          <w:szCs w:val="17"/>
          <w:color w:val="auto"/>
        </w:rPr>
      </w:pPr>
    </w:p>
    <w:p>
      <w:pPr>
        <w:jc w:val="both"/>
        <w:ind w:left="800" w:hanging="796"/>
        <w:spacing w:after="0" w:line="271"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7"/>
          <w:szCs w:val="17"/>
          <w:color w:val="auto"/>
        </w:rPr>
      </w:pPr>
    </w:p>
    <w:p>
      <w:pPr>
        <w:jc w:val="both"/>
        <w:ind w:left="1600" w:hanging="801"/>
        <w:spacing w:after="0" w:line="271" w:lineRule="auto"/>
        <w:tabs>
          <w:tab w:leader="none" w:pos="16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600" w:hanging="801"/>
        <w:spacing w:after="0" w:line="271" w:lineRule="auto"/>
        <w:tabs>
          <w:tab w:leader="none" w:pos="16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7"/>
          <w:szCs w:val="17"/>
          <w:color w:val="auto"/>
        </w:rPr>
      </w:pPr>
    </w:p>
    <w:p>
      <w:pPr>
        <w:ind w:left="1600" w:hanging="801"/>
        <w:spacing w:after="0" w:line="357" w:lineRule="auto"/>
        <w:tabs>
          <w:tab w:leader="none" w:pos="16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5"/>
          <w:szCs w:val="15"/>
          <w:color w:val="auto"/>
        </w:rPr>
      </w:pPr>
    </w:p>
    <w:p>
      <w:pPr>
        <w:jc w:val="both"/>
        <w:ind w:left="1600" w:hanging="801"/>
        <w:spacing w:after="0" w:line="271" w:lineRule="auto"/>
        <w:tabs>
          <w:tab w:leader="none" w:pos="16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800" w:hanging="796"/>
        <w:spacing w:after="0" w:line="319" w:lineRule="auto"/>
        <w:tabs>
          <w:tab w:leader="none" w:pos="8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Arial" w:cs="Arial" w:eastAsia="Arial" w:hAnsi="Arial"/>
          <w:sz w:val="16"/>
          <w:szCs w:val="16"/>
          <w:color w:val="auto"/>
        </w:rPr>
      </w:pPr>
    </w:p>
    <w:p>
      <w:pPr>
        <w:ind w:left="1600" w:hanging="801"/>
        <w:spacing w:after="0" w:line="319" w:lineRule="auto"/>
        <w:tabs>
          <w:tab w:leader="none" w:pos="16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6"/>
          <w:szCs w:val="16"/>
          <w:color w:val="auto"/>
        </w:rPr>
      </w:pPr>
    </w:p>
    <w:p>
      <w:pPr>
        <w:ind w:left="1600" w:hanging="801"/>
        <w:spacing w:after="0" w:line="286" w:lineRule="auto"/>
        <w:tabs>
          <w:tab w:leader="none" w:pos="16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tcPr>
          <w:p>
            <w:pPr>
              <w:spacing w:after="0"/>
              <w:rPr>
                <w:sz w:val="20"/>
                <w:szCs w:val="20"/>
                <w:color w:val="auto"/>
              </w:rPr>
            </w:pPr>
            <w:r>
              <w:rPr>
                <w:rFonts w:ascii="Arial" w:cs="Arial" w:eastAsia="Arial" w:hAnsi="Arial"/>
                <w:sz w:val="17"/>
                <w:szCs w:val="17"/>
                <w:color w:val="auto"/>
              </w:rPr>
              <w:t>Date: March 2, 2021</w:t>
            </w:r>
          </w:p>
        </w:tc>
        <w:tc>
          <w:tcPr>
            <w:tcW w:w="2540" w:type="dxa"/>
            <w:vAlign w:val="bottom"/>
          </w:tcPr>
          <w:p>
            <w:pPr>
              <w:ind w:left="1820"/>
              <w:spacing w:after="0"/>
              <w:rPr>
                <w:sz w:val="20"/>
                <w:szCs w:val="20"/>
                <w:color w:val="auto"/>
              </w:rPr>
            </w:pPr>
            <w:r>
              <w:rPr>
                <w:rFonts w:ascii="Arial" w:cs="Arial" w:eastAsia="Arial" w:hAnsi="Arial"/>
                <w:sz w:val="17"/>
                <w:szCs w:val="17"/>
                <w:color w:val="auto"/>
              </w:rPr>
              <w:t>By:</w:t>
            </w:r>
          </w:p>
        </w:tc>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Stephen Furlong</w:t>
            </w:r>
          </w:p>
        </w:tc>
      </w:tr>
      <w:tr>
        <w:trPr>
          <w:trHeight w:val="189"/>
        </w:trPr>
        <w:tc>
          <w:tcPr>
            <w:tcW w:w="3260" w:type="dxa"/>
            <w:vAlign w:val="bottom"/>
          </w:tcPr>
          <w:p>
            <w:pPr>
              <w:spacing w:after="0"/>
              <w:rPr>
                <w:sz w:val="16"/>
                <w:szCs w:val="16"/>
                <w:color w:val="auto"/>
              </w:rPr>
            </w:pPr>
          </w:p>
        </w:tc>
        <w:tc>
          <w:tcPr>
            <w:tcW w:w="2540" w:type="dxa"/>
            <w:vAlign w:val="bottom"/>
          </w:tcPr>
          <w:p>
            <w:pPr>
              <w:ind w:left="1820"/>
              <w:spacing w:after="0" w:line="189" w:lineRule="exact"/>
              <w:rPr>
                <w:sz w:val="20"/>
                <w:szCs w:val="20"/>
                <w:color w:val="auto"/>
              </w:rPr>
            </w:pPr>
            <w:r>
              <w:rPr>
                <w:rFonts w:ascii="Arial" w:cs="Arial" w:eastAsia="Arial" w:hAnsi="Arial"/>
                <w:sz w:val="17"/>
                <w:szCs w:val="17"/>
                <w:color w:val="auto"/>
              </w:rPr>
              <w:t>Name:</w:t>
            </w:r>
          </w:p>
        </w:tc>
        <w:tc>
          <w:tcPr>
            <w:tcW w:w="5440" w:type="dxa"/>
            <w:vAlign w:val="bottom"/>
          </w:tcPr>
          <w:p>
            <w:pPr>
              <w:spacing w:after="0" w:line="189" w:lineRule="exact"/>
              <w:rPr>
                <w:sz w:val="20"/>
                <w:szCs w:val="20"/>
                <w:color w:val="auto"/>
              </w:rPr>
            </w:pPr>
            <w:r>
              <w:rPr>
                <w:rFonts w:ascii="Arial" w:cs="Arial" w:eastAsia="Arial" w:hAnsi="Arial"/>
                <w:sz w:val="17"/>
                <w:szCs w:val="17"/>
                <w:color w:val="auto"/>
              </w:rPr>
              <w:t>Stephen Furlong</w:t>
            </w:r>
          </w:p>
        </w:tc>
      </w:tr>
      <w:tr>
        <w:trPr>
          <w:trHeight w:val="208"/>
        </w:trPr>
        <w:tc>
          <w:tcPr>
            <w:tcW w:w="3260" w:type="dxa"/>
            <w:vAlign w:val="bottom"/>
          </w:tcPr>
          <w:p>
            <w:pPr>
              <w:spacing w:after="0"/>
              <w:rPr>
                <w:sz w:val="18"/>
                <w:szCs w:val="18"/>
                <w:color w:val="auto"/>
              </w:rPr>
            </w:pPr>
          </w:p>
        </w:tc>
        <w:tc>
          <w:tcPr>
            <w:tcW w:w="2540" w:type="dxa"/>
            <w:vAlign w:val="bottom"/>
          </w:tcPr>
          <w:p>
            <w:pPr>
              <w:ind w:left="1820"/>
              <w:spacing w:after="0"/>
              <w:rPr>
                <w:sz w:val="20"/>
                <w:szCs w:val="20"/>
                <w:color w:val="auto"/>
              </w:rPr>
            </w:pPr>
            <w:r>
              <w:rPr>
                <w:rFonts w:ascii="Arial" w:cs="Arial" w:eastAsia="Arial" w:hAnsi="Arial"/>
                <w:sz w:val="17"/>
                <w:szCs w:val="17"/>
                <w:color w:val="auto"/>
              </w:rPr>
              <w:t>Title:</w:t>
            </w:r>
          </w:p>
        </w:tc>
        <w:tc>
          <w:tcPr>
            <w:tcW w:w="5440" w:type="dxa"/>
            <w:vAlign w:val="bottom"/>
          </w:tcPr>
          <w:p>
            <w:pPr>
              <w:spacing w:after="0"/>
              <w:rPr>
                <w:sz w:val="20"/>
                <w:szCs w:val="20"/>
                <w:color w:val="auto"/>
              </w:rPr>
            </w:pPr>
            <w:r>
              <w:rPr>
                <w:rFonts w:ascii="Arial" w:cs="Arial" w:eastAsia="Arial" w:hAnsi="Arial"/>
                <w:sz w:val="17"/>
                <w:szCs w:val="17"/>
                <w:color w:val="auto"/>
              </w:rPr>
              <w:t>SVP, Chief Financial Officer and Treasurer</w:t>
            </w:r>
          </w:p>
        </w:tc>
      </w:tr>
      <w:tr>
        <w:trPr>
          <w:trHeight w:val="221"/>
        </w:trPr>
        <w:tc>
          <w:tcPr>
            <w:tcW w:w="32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31" w:lineRule="exact"/>
        <w:rPr>
          <w:sz w:val="20"/>
          <w:szCs w:val="20"/>
          <w:color w:val="auto"/>
        </w:rPr>
      </w:pPr>
    </w:p>
    <w:p>
      <w:pPr>
        <w:jc w:val="both"/>
        <w:ind w:right="120"/>
        <w:spacing w:after="0" w:line="314"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§1350), Keith J. Sullivan, President and Chief Executive Officer of Neuronetics, Inc. (the “Company”), and Stephen Furlong, Senior Vice President, Chief Financial Officer and Treasurer of the Company, each hereby certifies that, to the best of his or her knowledge:</w:t>
      </w:r>
    </w:p>
    <w:p>
      <w:pPr>
        <w:spacing w:after="0" w:line="144" w:lineRule="exact"/>
        <w:rPr>
          <w:sz w:val="20"/>
          <w:szCs w:val="20"/>
          <w:color w:val="auto"/>
        </w:rPr>
      </w:pPr>
    </w:p>
    <w:p>
      <w:pPr>
        <w:ind w:left="860" w:right="260" w:hanging="856"/>
        <w:spacing w:after="0" w:line="286" w:lineRule="auto"/>
        <w:tabs>
          <w:tab w:leader="none" w:pos="86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for the fiscal year ended December 31, 2020, to which this Certification is attached as Exhibit 32.1 (the “Annual Report”), fully complies with the requirements of Section 13(a) or Section 15(d) of the Exchange Act; and</w:t>
      </w:r>
    </w:p>
    <w:p>
      <w:pPr>
        <w:spacing w:after="0" w:line="159" w:lineRule="exact"/>
        <w:rPr>
          <w:rFonts w:ascii="Arial" w:cs="Arial" w:eastAsia="Arial" w:hAnsi="Arial"/>
          <w:sz w:val="17"/>
          <w:szCs w:val="17"/>
          <w:b w:val="1"/>
          <w:bCs w:val="1"/>
          <w:color w:val="auto"/>
        </w:rPr>
      </w:pPr>
    </w:p>
    <w:p>
      <w:pPr>
        <w:ind w:left="860" w:right="500" w:hanging="856"/>
        <w:spacing w:after="0" w:line="286" w:lineRule="auto"/>
        <w:tabs>
          <w:tab w:leader="none" w:pos="86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The information contained in the Annual Report fairly presents, in all material respects, the financial condition and results of operations of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Dated: March 2, 2021</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7"/>
          <w:szCs w:val="17"/>
          <w:color w:val="auto"/>
        </w:rPr>
        <w:t>, the undersigned have set their hands hereto as of the 2nd day of March,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Keith J. Sullivan</w:t>
            </w:r>
          </w:p>
        </w:tc>
        <w:tc>
          <w:tcPr>
            <w:tcW w:w="800" w:type="dxa"/>
            <w:vAlign w:val="bottom"/>
          </w:tcPr>
          <w:p>
            <w:pPr>
              <w:ind w:left="80"/>
              <w:spacing w:after="0"/>
              <w:rPr>
                <w:sz w:val="20"/>
                <w:szCs w:val="20"/>
                <w:color w:val="auto"/>
              </w:rPr>
            </w:pPr>
            <w:r>
              <w:rPr>
                <w:rFonts w:ascii="Arial" w:cs="Arial" w:eastAsia="Arial" w:hAnsi="Arial"/>
                <w:sz w:val="17"/>
                <w:szCs w:val="17"/>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Stephen Furlong</w:t>
            </w:r>
          </w:p>
        </w:tc>
      </w:tr>
      <w:tr>
        <w:trPr>
          <w:trHeight w:val="209"/>
        </w:trPr>
        <w:tc>
          <w:tcPr>
            <w:tcW w:w="740" w:type="dxa"/>
            <w:vAlign w:val="bottom"/>
          </w:tcPr>
          <w:p>
            <w:pPr>
              <w:spacing w:after="0"/>
              <w:rPr>
                <w:sz w:val="20"/>
                <w:szCs w:val="20"/>
                <w:color w:val="auto"/>
              </w:rPr>
            </w:pPr>
            <w:r>
              <w:rPr>
                <w:rFonts w:ascii="Arial" w:cs="Arial" w:eastAsia="Arial" w:hAnsi="Arial"/>
                <w:sz w:val="17"/>
                <w:szCs w:val="17"/>
                <w:color w:val="auto"/>
              </w:rPr>
              <w:t>Name:</w:t>
            </w:r>
          </w:p>
        </w:tc>
        <w:tc>
          <w:tcPr>
            <w:tcW w:w="4900" w:type="dxa"/>
            <w:vAlign w:val="bottom"/>
          </w:tcPr>
          <w:p>
            <w:pPr>
              <w:spacing w:after="0"/>
              <w:rPr>
                <w:sz w:val="20"/>
                <w:szCs w:val="20"/>
                <w:color w:val="auto"/>
              </w:rPr>
            </w:pPr>
            <w:r>
              <w:rPr>
                <w:rFonts w:ascii="Arial" w:cs="Arial" w:eastAsia="Arial" w:hAnsi="Arial"/>
                <w:sz w:val="17"/>
                <w:szCs w:val="17"/>
                <w:color w:val="auto"/>
              </w:rPr>
              <w:t>Keith J. Sullivan</w:t>
            </w:r>
          </w:p>
        </w:tc>
        <w:tc>
          <w:tcPr>
            <w:tcW w:w="800" w:type="dxa"/>
            <w:vAlign w:val="bottom"/>
          </w:tcPr>
          <w:p>
            <w:pPr>
              <w:ind w:left="80"/>
              <w:spacing w:after="0"/>
              <w:rPr>
                <w:sz w:val="20"/>
                <w:szCs w:val="20"/>
                <w:color w:val="auto"/>
              </w:rPr>
            </w:pPr>
            <w:r>
              <w:rPr>
                <w:rFonts w:ascii="Arial" w:cs="Arial" w:eastAsia="Arial" w:hAnsi="Arial"/>
                <w:sz w:val="17"/>
                <w:szCs w:val="17"/>
                <w:color w:val="auto"/>
              </w:rPr>
              <w:t>Name:</w:t>
            </w:r>
          </w:p>
        </w:tc>
        <w:tc>
          <w:tcPr>
            <w:tcW w:w="4800" w:type="dxa"/>
            <w:vAlign w:val="bottom"/>
          </w:tcPr>
          <w:p>
            <w:pPr>
              <w:spacing w:after="0"/>
              <w:rPr>
                <w:sz w:val="20"/>
                <w:szCs w:val="20"/>
                <w:color w:val="auto"/>
              </w:rPr>
            </w:pPr>
            <w:r>
              <w:rPr>
                <w:rFonts w:ascii="Arial" w:cs="Arial" w:eastAsia="Arial" w:hAnsi="Arial"/>
                <w:sz w:val="17"/>
                <w:szCs w:val="17"/>
                <w:color w:val="auto"/>
              </w:rPr>
              <w:t>Stephen Furlong</w:t>
            </w:r>
          </w:p>
        </w:tc>
      </w:tr>
      <w:tr>
        <w:trPr>
          <w:trHeight w:val="221"/>
        </w:trPr>
        <w:tc>
          <w:tcPr>
            <w:tcW w:w="74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spacing w:after="0"/>
              <w:rPr>
                <w:sz w:val="20"/>
                <w:szCs w:val="20"/>
                <w:color w:val="auto"/>
              </w:rPr>
            </w:pPr>
            <w:r>
              <w:rPr>
                <w:rFonts w:ascii="Arial" w:cs="Arial" w:eastAsia="Arial" w:hAnsi="Arial"/>
                <w:sz w:val="17"/>
                <w:szCs w:val="17"/>
                <w:color w:val="auto"/>
              </w:rPr>
              <w:t>President and Chief Executive Officer</w:t>
            </w:r>
          </w:p>
        </w:tc>
        <w:tc>
          <w:tcPr>
            <w:tcW w:w="800" w:type="dxa"/>
            <w:vAlign w:val="bottom"/>
          </w:tcPr>
          <w:p>
            <w:pPr>
              <w:ind w:left="80"/>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SVP, Chief Financial Officer and Treasurer</w:t>
            </w:r>
          </w:p>
        </w:tc>
      </w:tr>
      <w:tr>
        <w:trPr>
          <w:trHeight w:val="221"/>
        </w:trPr>
        <w:tc>
          <w:tcPr>
            <w:tcW w:w="7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(Principal Executive Officer)</w:t>
            </w:r>
          </w:p>
        </w:tc>
        <w:tc>
          <w:tcPr>
            <w:tcW w:w="80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r>
    </w:tbl>
    <w:p>
      <w:pPr>
        <w:spacing w:after="0" w:line="23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Neuronetics,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2"/>
    </w:lvl>
  </w:abstractNum>
  <w:abstractNum w:abstractNumId="41">
    <w:nsid w:val="3DC240FB"/>
    <w:multiLevelType w:val="hybridMultilevel"/>
    <w:lvl w:ilvl="0">
      <w:lvlJc w:val="left"/>
      <w:lvlText w:val="%1."/>
      <w:numFmt w:val="decimal"/>
      <w:start w:val="3"/>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4"/>
    </w:lvl>
  </w:abstractNum>
  <w:abstractNum w:abstractNumId="48">
    <w:nsid w:val="374A3FE6"/>
    <w:multiLevelType w:val="hybridMultilevel"/>
    <w:lvl w:ilvl="0">
      <w:lvlJc w:val="left"/>
      <w:lvlText w:val="%1."/>
      <w:numFmt w:val="decimal"/>
      <w:start w:val="5"/>
    </w:lvl>
  </w:abstractNum>
  <w:abstractNum w:abstractNumId="49">
    <w:nsid w:val="4F4EF005"/>
    <w:multiLevelType w:val="hybridMultilevel"/>
    <w:lvl w:ilvl="0">
      <w:lvlJc w:val="left"/>
      <w:lvlText w:val="%1."/>
      <w:numFmt w:val="decimal"/>
      <w:start w:val="7"/>
    </w:lvl>
  </w:abstractNum>
  <w:abstractNum w:abstractNumId="50">
    <w:nsid w:val="23F9C13C"/>
    <w:multiLevelType w:val="hybridMultilevel"/>
    <w:lvl w:ilvl="0">
      <w:lvlJc w:val="left"/>
      <w:lvlText w:val="%1."/>
      <w:numFmt w:val="decimal"/>
      <w:start w:val="8"/>
    </w:lvl>
  </w:abstractNum>
  <w:abstractNum w:abstractNumId="51">
    <w:nsid w:val="649BB77C"/>
    <w:multiLevelType w:val="hybridMultilevel"/>
    <w:lvl w:ilvl="0">
      <w:lvlJc w:val="left"/>
      <w:lvlText w:val="%1."/>
      <w:numFmt w:val="decimal"/>
      <w:start w:val="9"/>
    </w:lvl>
  </w:abstractNum>
  <w:abstractNum w:abstractNumId="52">
    <w:nsid w:val="275AC794"/>
    <w:multiLevelType w:val="hybridMultilevel"/>
    <w:lvl w:ilvl="0">
      <w:lvlJc w:val="left"/>
      <w:lvlText w:val="%1."/>
      <w:numFmt w:val="decimal"/>
      <w:start w:val="12"/>
    </w:lvl>
  </w:abstractNum>
  <w:abstractNum w:abstractNumId="53">
    <w:nsid w:val="39386575"/>
    <w:multiLevelType w:val="hybridMultilevel"/>
    <w:lvl w:ilvl="0">
      <w:lvlJc w:val="left"/>
      <w:lvlText w:val="%1."/>
      <w:numFmt w:val="decimal"/>
      <w:start w:val="15"/>
    </w:lvl>
  </w:abstractNum>
  <w:abstractNum w:abstractNumId="54">
    <w:nsid w:val="1CF10FD8"/>
    <w:multiLevelType w:val="hybridMultilevel"/>
    <w:lvl w:ilvl="0">
      <w:lvlJc w:val="left"/>
      <w:lvlText w:val="%1."/>
      <w:numFmt w:val="decimal"/>
      <w:start w:val="17"/>
    </w:lvl>
  </w:abstractNum>
  <w:abstractNum w:abstractNumId="55">
    <w:nsid w:val="180115BE"/>
    <w:multiLevelType w:val="hybridMultilevel"/>
    <w:lvl w:ilvl="0">
      <w:lvlJc w:val="left"/>
      <w:lvlText w:val="%1."/>
      <w:numFmt w:val="decimal"/>
      <w:start w:val="2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02" Type="http://schemas.openxmlformats.org/officeDocument/2006/relationships/hyperlink" Target="http://www.sec.gov/Archives/edgar/data/1227636/000119312518213686/d860069dex31.htm" TargetMode="External"/><Relationship Id="rId103" Type="http://schemas.openxmlformats.org/officeDocument/2006/relationships/hyperlink" Target="http://www.sec.gov/Archives/edgar/data/0001227636/000119312519161336/d664443dex31.htm" TargetMode="External"/><Relationship Id="rId104" Type="http://schemas.openxmlformats.org/officeDocument/2006/relationships/hyperlink" Target="http://www.sec.gov/Archives/edgar/data/1227636/000119312518213686/d860069dex32.htm" TargetMode="External"/><Relationship Id="rId105" Type="http://schemas.openxmlformats.org/officeDocument/2006/relationships/hyperlink" Target="http://www.sec.gov/Archives/edgar/data/0001227636/000119312519161336/d664443dex32.htm" TargetMode="External"/><Relationship Id="rId106" Type="http://schemas.openxmlformats.org/officeDocument/2006/relationships/hyperlink" Target="http://www.sec.gov/Archives/edgar/data/1227636/000156459020015935/stim-ex31_6.htm" TargetMode="External"/><Relationship Id="rId107" Type="http://schemas.openxmlformats.org/officeDocument/2006/relationships/hyperlink" Target="http://www.sec.gov/Archives/edgar/data/1227636/000119312518193489/d542432dex41.htm" TargetMode="External"/><Relationship Id="rId108" Type="http://schemas.openxmlformats.org/officeDocument/2006/relationships/hyperlink" Target="http://www.sec.gov/Archives/edgar/data/1227636/000119312518179910/d542432dex42.htm" TargetMode="External"/><Relationship Id="rId109" Type="http://schemas.openxmlformats.org/officeDocument/2006/relationships/hyperlink" Target="http://www.sec.gov/Archives/edgar/data/1227636/000119312518179910/d542432dex43.htm" TargetMode="External"/><Relationship Id="rId110" Type="http://schemas.openxmlformats.org/officeDocument/2006/relationships/hyperlink" Target="http://www.sec.gov/Archives/edgar/data/1227636/000156459020008464/stim-ex44_309.htm" TargetMode="External"/><Relationship Id="rId111" Type="http://schemas.openxmlformats.org/officeDocument/2006/relationships/hyperlink" Target="http://www.sec.gov/Archives/edgar/data/1227636/000156459020015935/stim-ex41_7.htm" TargetMode="External"/><Relationship Id="rId112" Type="http://schemas.openxmlformats.org/officeDocument/2006/relationships/hyperlink" Target="http://www.sec.gov/Archives/edgar/data/1227636/000119312518179910/d542432dex101.htm" TargetMode="External"/><Relationship Id="rId115" Type="http://schemas.openxmlformats.org/officeDocument/2006/relationships/hyperlink" Target="http://www.sec.gov/Archives/edgar/data/1227636/000119312518179910/d542432dex102.htm" TargetMode="External"/><Relationship Id="rId116" Type="http://schemas.openxmlformats.org/officeDocument/2006/relationships/hyperlink" Target="http://www.sec.gov/Archives/edgar/data/1227636/000119312518179910/d542432dex103.htm" TargetMode="External"/><Relationship Id="rId117" Type="http://schemas.openxmlformats.org/officeDocument/2006/relationships/hyperlink" Target="http://www.sec.gov/Archives/edgar/data/1227636/000119312518179910/d542432dex105.htm" TargetMode="External"/><Relationship Id="rId118" Type="http://schemas.openxmlformats.org/officeDocument/2006/relationships/hyperlink" Target="http://www.sec.gov/Archives/edgar/data/1227636/000119312518179910/d542432dex107.htm" TargetMode="External"/><Relationship Id="rId119" Type="http://schemas.openxmlformats.org/officeDocument/2006/relationships/hyperlink" Target="http://www.sec.gov/Archives/edgar/data/1227636/000119312520059619/d895653dex101.htm" TargetMode="External"/><Relationship Id="rId120" Type="http://schemas.openxmlformats.org/officeDocument/2006/relationships/hyperlink" Target="http://www.sec.gov/Archives/edgar/data/1227636/000119312518179910/d542432dex109.htm" TargetMode="External"/><Relationship Id="rId121" Type="http://schemas.openxmlformats.org/officeDocument/2006/relationships/hyperlink" Target="http://www.sec.gov/Archives/edgar/data/1227636/000156459018027435/stim-ex1010_49.htm" TargetMode="External"/><Relationship Id="rId122" Type="http://schemas.openxmlformats.org/officeDocument/2006/relationships/hyperlink" Target="http://www.sec.gov/Archives/edgar/data/1227636/000156459018027435/stim-ex1011_48.htm" TargetMode="External"/><Relationship Id="rId123" Type="http://schemas.openxmlformats.org/officeDocument/2006/relationships/hyperlink" Target="http://www.sec.gov/Archives/edgar/data/1227636/000119312518179910/d542432dex1012.htm" TargetMode="External"/><Relationship Id="rId124" Type="http://schemas.openxmlformats.org/officeDocument/2006/relationships/hyperlink" Target="http://www.sec.gov/Archives/edgar/data/1227636/000119312518179910/d542432dex1013.htm" TargetMode="External"/><Relationship Id="rId125" Type="http://schemas.openxmlformats.org/officeDocument/2006/relationships/hyperlink" Target="http://www.sec.gov/Archives/edgar/data/1227636/000119312518179910/d542432dex1014.htm" TargetMode="External"/><Relationship Id="rId126" Type="http://schemas.openxmlformats.org/officeDocument/2006/relationships/hyperlink" Target="http://www.sec.gov/Archives/edgar/data/1227636/000119312518179910/d542432dex1015.htm" TargetMode="External"/><Relationship Id="rId127" Type="http://schemas.openxmlformats.org/officeDocument/2006/relationships/hyperlink" Target="http://www.sec.gov/Archives/edgar/data/1227636/000119312518179910/d542432dex1016.htm" TargetMode="External"/><Relationship Id="rId128" Type="http://schemas.openxmlformats.org/officeDocument/2006/relationships/hyperlink" Target="http://www.sec.gov/Archives/edgar/data/1227636/000119312518179910/d542432dex1017.htm" TargetMode="External"/><Relationship Id="rId129" Type="http://schemas.openxmlformats.org/officeDocument/2006/relationships/hyperlink" Target="http://www.sec.gov/Archives/edgar/data/1227636/000119312518179910/d542432dex1018.htm" TargetMode="External"/><Relationship Id="rId130" Type="http://schemas.openxmlformats.org/officeDocument/2006/relationships/hyperlink" Target="http://www.sec.gov/Archives/edgar/data/1227636/000119312518193489/d542432dex1021.htm" TargetMode="External"/><Relationship Id="rId131" Type="http://schemas.openxmlformats.org/officeDocument/2006/relationships/hyperlink" Target="http://www.sec.gov/Archives/edgar/data/0001227636/000156459019029364/stim-ex102_266.htm" TargetMode="External"/><Relationship Id="rId132" Type="http://schemas.openxmlformats.org/officeDocument/2006/relationships/hyperlink" Target="http://www.sec.gov/Archives/edgar/data/0001227636/000119312519188335/d770057dex101.htm" TargetMode="External"/><Relationship Id="rId135" Type="http://schemas.openxmlformats.org/officeDocument/2006/relationships/hyperlink" Target="http://www.sec.gov/Archives/edgar/data/1227636/000119312520194758/d911672dex101.htm" TargetMode="External"/><Relationship Id="rId136" Type="http://schemas.openxmlformats.org/officeDocument/2006/relationships/hyperlink" Target="http://www.sec.gov/Archives/edgar/data/1227636/000156459020036161/stim-ex102_219.htm" TargetMode="External"/><Relationship Id="rId137" Type="http://schemas.openxmlformats.org/officeDocument/2006/relationships/hyperlink" Target="http://www.sec.gov/Archives/edgar/data/1227636/000156459020036161/stim-ex103_80.htm" TargetMode="External"/><Relationship Id="rId138" Type="http://schemas.openxmlformats.org/officeDocument/2006/relationships/hyperlink" Target="http://www.sec.gov/Archives/edgar/data/1227636/000156459020036161/stim-ex104_218.htm" TargetMode="External"/><Relationship Id="rId139" Type="http://schemas.openxmlformats.org/officeDocument/2006/relationships/hyperlink" Target="http://www.sec.gov/Archives/edgar/data/1227636/000156459020036161/stim-ex105_217.htm" TargetMode="External"/><Relationship Id="rId140" Type="http://schemas.openxmlformats.org/officeDocument/2006/relationships/hyperlink" Target="http://www.sec.gov/Archives/edgar/data/1227636/000156459020036161/stim-ex106_216.htm" TargetMode="External"/><Relationship Id="rId141" Type="http://schemas.openxmlformats.org/officeDocument/2006/relationships/hyperlink" Target="http://www.sec.gov/Archives/edgar/data/1227636/000156459020036161/stim-ex107_215.htm" TargetMode="External"/><Relationship Id="rId142" Type="http://schemas.openxmlformats.org/officeDocument/2006/relationships/hyperlink" Target="http://www.sec.gov/Archives/edgar/data/1227636/000156459020036161/stim-ex108_214.htm" TargetMode="External"/><Relationship Id="rId143" Type="http://schemas.openxmlformats.org/officeDocument/2006/relationships/hyperlink" Target="http://www.sec.gov/Archives/edgar/data/1227636/000119312521011617/d69400dex104.htm" TargetMode="External"/><Relationship Id="rId144" Type="http://schemas.openxmlformats.org/officeDocument/2006/relationships/hyperlink" Target="http://www.sec.gov/Archives/edgar/data/1227636/000119312521011617/d69400dex105.htm" TargetMode="External"/><Relationship Id="rId145" Type="http://schemas.openxmlformats.org/officeDocument/2006/relationships/hyperlink" Target="http://www.sec.gov/Archives/edgar/data/1227636/000119312521011617/d69400dex106.htm" TargetMode="External"/><Relationship Id="rId146" Type="http://schemas.openxmlformats.org/officeDocument/2006/relationships/hyperlink" Target="http://www.sec.gov/Archives/edgar/data/1227636/000119312521011617/d69400dex107.htm" TargetMode="External"/><Relationship Id="rId147" Type="http://schemas.openxmlformats.org/officeDocument/2006/relationships/hyperlink" Target="http://www.sec.gov/Archives/edgar/data/1227636/000119312521011617/d69400dex108.htm" TargetMode="External"/><Relationship Id="rId148" Type="http://schemas.openxmlformats.org/officeDocument/2006/relationships/hyperlink" Target="http://www.sec.gov/Archives/edgar/data/1227636/000119312520312769/d31454dex101.htm" TargetMode="External"/><Relationship Id="rId149" Type="http://schemas.openxmlformats.org/officeDocument/2006/relationships/hyperlink" Target="http://www.sec.gov/Archives/edgar/data/1227636/000119312520121141/d91990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2021-03-02T16:10:45Z</dcterms:created>
  <dcterms:modified xsi:type="dcterms:W3CDTF">2021-03-02T16:10:45Z</dcterms:modified>
</cp:coreProperties>
</file>