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80232ds8.htm"/>
      <w:bookmarkStart w:id="1" w:name="ksd80232ds8"/>
      <w:bookmarkEnd w:id="0"/>
      <w:bookmarkEnd w:id="1"/>
      <w:r>
        <w:rPr>
          <w:rFonts w:ascii="Times New Roman" w:hAnsi="Times New Roman"/>
          <w:b/>
          <w:sz w:val="20"/>
        </w:rPr>
        <w:t xml:space="preserve">As filed with the Securities and Exchange Commission on August 11,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33-1051425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3222 Phoenixville Pike</w:t>
            </w:r>
          </w:p>
          <w:p>
            <w:pPr>
              <w:pStyle w:val="TableContents"/>
              <w:bidi w:val="0"/>
              <w:spacing w:before="0" w:after="20"/>
              <w:jc w:val="center"/>
              <w:rPr>
                <w:rFonts w:ascii="Times New Roman" w:hAnsi="Times New Roman"/>
                <w:b/>
                <w:sz w:val="20"/>
              </w:rPr>
            </w:pPr>
            <w:r>
              <w:rPr>
                <w:rFonts w:ascii="Times New Roman" w:hAnsi="Times New Roman"/>
                <w:b/>
                <w:sz w:val="20"/>
              </w:rPr>
              <w:t>Malvern, PA</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19355</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RSU Inducement Award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Pat Devine </w:t>
      </w:r>
    </w:p>
    <w:p>
      <w:pPr>
        <w:pStyle w:val="TextBody"/>
        <w:bidi w:val="0"/>
        <w:spacing w:before="0" w:after="0"/>
        <w:jc w:val="center"/>
        <w:rPr>
          <w:rFonts w:ascii="Times New Roman" w:hAnsi="Times New Roman"/>
          <w:b/>
          <w:sz w:val="20"/>
        </w:rPr>
      </w:pPr>
      <w:r>
        <w:rPr>
          <w:rFonts w:ascii="Times New Roman" w:hAnsi="Times New Roman"/>
          <w:b/>
          <w:sz w:val="20"/>
        </w:rPr>
        <w:t xml:space="preserve">Neuronetics, Inc. </w:t>
      </w:r>
    </w:p>
    <w:p>
      <w:pPr>
        <w:pStyle w:val="TextBody"/>
        <w:bidi w:val="0"/>
        <w:spacing w:before="0" w:after="0"/>
        <w:jc w:val="center"/>
        <w:rPr>
          <w:rFonts w:ascii="Times New Roman" w:hAnsi="Times New Roman"/>
          <w:b/>
          <w:sz w:val="20"/>
        </w:rPr>
      </w:pPr>
      <w:r>
        <w:rPr>
          <w:rFonts w:ascii="Times New Roman" w:hAnsi="Times New Roman"/>
          <w:b/>
          <w:sz w:val="20"/>
        </w:rPr>
        <w:t xml:space="preserve">3222 Phoenixville Pike </w:t>
      </w:r>
    </w:p>
    <w:p>
      <w:pPr>
        <w:pStyle w:val="TextBody"/>
        <w:bidi w:val="0"/>
        <w:spacing w:before="0" w:after="0"/>
        <w:jc w:val="center"/>
        <w:rPr>
          <w:rFonts w:ascii="Times New Roman" w:hAnsi="Times New Roman"/>
          <w:b/>
          <w:sz w:val="20"/>
        </w:rPr>
      </w:pPr>
      <w:r>
        <w:rPr>
          <w:rFonts w:ascii="Times New Roman" w:hAnsi="Times New Roman"/>
          <w:b/>
          <w:sz w:val="20"/>
        </w:rPr>
        <w:t xml:space="preserve">Malvern, PA 19355 </w:t>
      </w:r>
    </w:p>
    <w:p>
      <w:pPr>
        <w:pStyle w:val="TextBody"/>
        <w:bidi w:val="0"/>
        <w:spacing w:before="0" w:after="0"/>
        <w:jc w:val="center"/>
        <w:rPr>
          <w:rFonts w:ascii="Times New Roman" w:hAnsi="Times New Roman"/>
          <w:b/>
          <w:sz w:val="20"/>
        </w:rPr>
      </w:pPr>
      <w:r>
        <w:rPr>
          <w:rFonts w:ascii="Times New Roman" w:hAnsi="Times New Roman"/>
          <w:b/>
          <w:sz w:val="20"/>
        </w:rPr>
        <w:t>(877) 600-7555</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Brian Short </w:t>
      </w:r>
    </w:p>
    <w:p>
      <w:pPr>
        <w:pStyle w:val="TextBody"/>
        <w:bidi w:val="0"/>
        <w:spacing w:before="0" w:after="0"/>
        <w:jc w:val="center"/>
        <w:rPr>
          <w:rFonts w:ascii="Times New Roman" w:hAnsi="Times New Roman"/>
          <w:b/>
          <w:sz w:val="20"/>
        </w:rPr>
      </w:pPr>
      <w:r>
        <w:rPr>
          <w:rFonts w:ascii="Times New Roman" w:hAnsi="Times New Roman"/>
          <w:b/>
          <w:sz w:val="20"/>
        </w:rPr>
        <w:t xml:space="preserve">Ballard Spahr LLP </w:t>
      </w:r>
    </w:p>
    <w:p>
      <w:pPr>
        <w:pStyle w:val="TextBody"/>
        <w:bidi w:val="0"/>
        <w:spacing w:before="0" w:after="0"/>
        <w:jc w:val="center"/>
        <w:rPr>
          <w:rFonts w:ascii="Times New Roman" w:hAnsi="Times New Roman"/>
          <w:b/>
          <w:sz w:val="20"/>
        </w:rPr>
      </w:pPr>
      <w:r>
        <w:rPr>
          <w:rFonts w:ascii="Times New Roman" w:hAnsi="Times New Roman"/>
          <w:b/>
          <w:sz w:val="20"/>
        </w:rPr>
        <w:t xml:space="preserve">1735 Market Street, 51st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Philadelphia, PA 19103 </w:t>
      </w:r>
    </w:p>
    <w:p>
      <w:pPr>
        <w:pStyle w:val="TextBody"/>
        <w:bidi w:val="0"/>
        <w:spacing w:before="0" w:after="0"/>
        <w:jc w:val="center"/>
        <w:rPr>
          <w:rFonts w:ascii="Times New Roman" w:hAnsi="Times New Roman"/>
          <w:b/>
          <w:sz w:val="20"/>
        </w:rPr>
      </w:pPr>
      <w:r>
        <w:rPr>
          <w:rFonts w:ascii="Times New Roman" w:hAnsi="Times New Roman"/>
          <w:b/>
          <w:sz w:val="20"/>
        </w:rPr>
        <w:t>(215) 864-8230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Neuronetics, Inc.’s (the “Company” or the “Registrant”) stockholders approved the Neuronetics, Inc. 2026 Equity Incentive Plan (the “2026 Plan”), which was previously approved by the Company’s Board of Directors (the “Board”) on March 18, 2026. This Registration Statement is being filed by the “Company in accordance with General Instruction E to Form S-8 to register 6,022,333 shares of common stock for issuance under the 2026 Plan.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also registers 1,500,000 shares of common stock issuable upon vesting of restricted stock units (“RSUs”) granted to Daniel L. Reuvers on May 23, 2026, pursuant to an inducement equity award to induce Mr. Reuvers to accept employment with the Company. The RSUs are subject to a vesting schedule in three equal annual installments beginning on March 23, 2027, in each case, subject to Mr. Reuvers’ continuous service through such date. The RSUs were recommended by the Compensation Committee of the Board and approved by the Board in compliance with and in reliance on Nasdaq Listing Rule 5635(c)(4). The RSUs and the shares of common stock issuable upon the vesting of the RSUs were granted outside of the 2026 Plan or the Neuronetics, Inc. 2020 Inducement Incentive Plan.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which have been filed by the Company with the Commission, are incorporated in this Registration Statement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pPr>
            <w:r>
              <w:rPr>
                <w:rFonts w:ascii="Times New Roman" w:hAnsi="Times New Roman"/>
                <w:sz w:val="20"/>
              </w:rPr>
              <w:t xml:space="preserve">the Company’s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Commission on March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Company’s Annual Report on Form 10-K from its Definitive Proxy Statement on </w:t>
            </w:r>
            <w:hyperlink r:id="rId3">
              <w:r>
                <w:rPr>
                  <w:rStyle w:val="InternetLink"/>
                  <w:rFonts w:ascii="Times New Roman" w:hAnsi="Times New Roman"/>
                  <w:sz w:val="20"/>
                </w:rPr>
                <w:t>Schedule 14A</w:t>
              </w:r>
            </w:hyperlink>
            <w:r>
              <w:rPr>
                <w:rFonts w:ascii="Times New Roman" w:hAnsi="Times New Roman"/>
                <w:sz w:val="20"/>
              </w:rPr>
              <w:t xml:space="preserve">, filed with the Commission on April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pPr>
            <w:r>
              <w:rPr>
                <w:rFonts w:ascii="Times New Roman" w:hAnsi="Times New Roman"/>
                <w:sz w:val="20"/>
              </w:rPr>
              <w:t xml:space="preserve">the Company’s Quarterly Reports on Form 10-Q for the quarters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filed with the Commission on May 5, 2026 and August 11,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pPr>
            <w:r>
              <w:rPr>
                <w:rFonts w:ascii="Times New Roman" w:hAnsi="Times New Roman"/>
                <w:sz w:val="20"/>
              </w:rPr>
              <w:t xml:space="preserve">the Company’s Current Reports on Form 8-K filed with the Commission on </w:t>
            </w:r>
            <w:hyperlink r:id="rId6">
              <w:r>
                <w:rPr>
                  <w:rStyle w:val="InternetLink"/>
                  <w:rFonts w:ascii="Times New Roman" w:hAnsi="Times New Roman"/>
                  <w:sz w:val="20"/>
                </w:rPr>
                <w:t>April  6, 2026</w:t>
              </w:r>
            </w:hyperlink>
            <w:r>
              <w:rPr>
                <w:rFonts w:ascii="Times New Roman" w:hAnsi="Times New Roman"/>
                <w:sz w:val="20"/>
              </w:rPr>
              <w:t xml:space="preserve">, </w:t>
            </w:r>
            <w:hyperlink r:id="rId7">
              <w:r>
                <w:rPr>
                  <w:rStyle w:val="InternetLink"/>
                  <w:rFonts w:ascii="Times New Roman" w:hAnsi="Times New Roman"/>
                  <w:sz w:val="20"/>
                </w:rPr>
                <w:t>May  5, 2026</w:t>
              </w:r>
            </w:hyperlink>
            <w:r>
              <w:rPr>
                <w:rFonts w:ascii="Times New Roman" w:hAnsi="Times New Roman"/>
                <w:sz w:val="20"/>
              </w:rPr>
              <w:t xml:space="preserve">, </w:t>
            </w:r>
            <w:hyperlink r:id="rId8">
              <w:r>
                <w:rPr>
                  <w:rStyle w:val="InternetLink"/>
                  <w:rFonts w:ascii="Times New Roman" w:hAnsi="Times New Roman"/>
                  <w:sz w:val="20"/>
                </w:rPr>
                <w:t>May  22, 2026</w:t>
              </w:r>
            </w:hyperlink>
            <w:r>
              <w:rPr>
                <w:rFonts w:ascii="Times New Roman" w:hAnsi="Times New Roman"/>
                <w:sz w:val="20"/>
              </w:rPr>
              <w:t xml:space="preserve">, </w:t>
            </w:r>
            <w:hyperlink r:id="rId9">
              <w:r>
                <w:rPr>
                  <w:rStyle w:val="InternetLink"/>
                  <w:rFonts w:ascii="Times New Roman" w:hAnsi="Times New Roman"/>
                  <w:sz w:val="20"/>
                </w:rPr>
                <w:t>May  29, 2026</w:t>
              </w:r>
            </w:hyperlink>
            <w:r>
              <w:rPr>
                <w:rFonts w:ascii="Times New Roman" w:hAnsi="Times New Roman"/>
                <w:sz w:val="20"/>
              </w:rPr>
              <w:t xml:space="preserve">, </w:t>
            </w:r>
            <w:hyperlink r:id="rId10">
              <w:r>
                <w:rPr>
                  <w:rStyle w:val="InternetLink"/>
                  <w:rFonts w:ascii="Times New Roman" w:hAnsi="Times New Roman"/>
                  <w:sz w:val="20"/>
                </w:rPr>
                <w:t>June  23, 2026</w:t>
              </w:r>
            </w:hyperlink>
            <w:r>
              <w:rPr>
                <w:rFonts w:ascii="Times New Roman" w:hAnsi="Times New Roman"/>
                <w:sz w:val="20"/>
              </w:rPr>
              <w:t xml:space="preserve">, </w:t>
            </w:r>
            <w:hyperlink r:id="rId11">
              <w:r>
                <w:rPr>
                  <w:rStyle w:val="InternetLink"/>
                  <w:rFonts w:ascii="Times New Roman" w:hAnsi="Times New Roman"/>
                  <w:sz w:val="20"/>
                </w:rPr>
                <w:t>July  20, 2026</w:t>
              </w:r>
            </w:hyperlink>
            <w:r>
              <w:rPr>
                <w:rFonts w:ascii="Times New Roman" w:hAnsi="Times New Roman"/>
                <w:sz w:val="20"/>
              </w:rPr>
              <w:t xml:space="preserve">, and </w:t>
            </w:r>
            <w:hyperlink r:id="rId12">
              <w:r>
                <w:rPr>
                  <w:rStyle w:val="InternetLink"/>
                  <w:rFonts w:ascii="Times New Roman" w:hAnsi="Times New Roman"/>
                  <w:sz w:val="20"/>
                </w:rPr>
                <w:t>August 11, 2026</w:t>
              </w:r>
            </w:hyperlink>
            <w:r>
              <w:rPr>
                <w:rFonts w:ascii="Times New Roman" w:hAnsi="Times New Roman"/>
                <w:sz w:val="20"/>
              </w:rPr>
              <w:t xml:space="preserve"> (in each case other than any portions thereof deemed furnished and not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pPr>
            <w:r>
              <w:rPr>
                <w:rFonts w:ascii="Times New Roman" w:hAnsi="Times New Roman"/>
                <w:sz w:val="20"/>
              </w:rPr>
              <w:t xml:space="preserve">the description of the Common Stock contained in the Company’s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 No. 001-38546) filed with the Commission on June 19, 2018,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All reports and other documents subsequently filed by the Company pursuant to Sections 13(a), 13(c), 14 and 15(d) of the Exchange Act of 1934, as amended, on or after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 Our Commission File Number is 001-38546.</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Delaware General Corporation Law, our amended and restated certificate of incorporation and amended and restated bylaws provide that: (i) we are 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
        <w:gridCol w:w="424"/>
        <w:gridCol w:w="8883"/>
      </w:tblGrid>
      <w:tr>
        <w:trPr/>
        <w:tc>
          <w:tcPr>
            <w:tcW w:w="898"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8883" w:type="dxa"/>
            <w:tcBorders/>
            <w:vAlign w:val="center"/>
          </w:tcPr>
          <w:p>
            <w:pPr>
              <w:pStyle w:val="TableContents"/>
              <w:bidi w:val="0"/>
              <w:spacing w:before="0" w:after="283"/>
              <w:jc w:val="left"/>
              <w:rPr>
                <w:sz w:val="4"/>
                <w:szCs w:val="4"/>
              </w:rPr>
            </w:pPr>
            <w:r>
              <w:rPr>
                <w:sz w:val="4"/>
                <w:szCs w:val="4"/>
              </w:rPr>
            </w:r>
          </w:p>
        </w:tc>
      </w:tr>
      <w:tr>
        <w:trPr/>
        <w:tc>
          <w:tcPr>
            <w:tcW w:w="89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24" w:type="dxa"/>
            <w:tcBorders/>
            <w:vAlign w:val="bottom"/>
          </w:tcPr>
          <w:p>
            <w:pPr>
              <w:pStyle w:val="TableContents"/>
              <w:bidi w:val="0"/>
              <w:spacing w:before="0" w:after="283"/>
              <w:jc w:val="left"/>
              <w:rPr/>
            </w:pPr>
            <w:r>
              <w:rPr/>
              <w:t>  </w:t>
            </w:r>
          </w:p>
        </w:tc>
        <w:tc>
          <w:tcPr>
            <w:tcW w:w="88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14">
              <w:r>
                <w:rPr>
                  <w:rStyle w:val="InternetLink"/>
                </w:rPr>
                <w:t>Ninth Amended and Restated Certificate of Incorporation of the Company (incorporated by reference to Exhibit 3.1 to the Form 8-K filed July 6, 2018)</w:t>
              </w:r>
            </w:hyperlink>
            <w:r>
              <w:rPr/>
              <w: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15">
              <w:r>
                <w:rPr>
                  <w:rStyle w:val="InternetLink"/>
                </w:rPr>
                <w:t>Certificate of Amendment to the Company’s Ninth Amended and Restated Certificate of Incorporation (incorporated by reference to Exhibit 3.1 to the Form 8-K filed May 30, 2019).</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4.3</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16">
              <w:r>
                <w:rPr>
                  <w:rStyle w:val="InternetLink"/>
                </w:rPr>
                <w:t>Certificate of Amendment to the Company’s Ninth Amended and Restated Certificate of Incorporation (incorporated by reference to Exhibit 3.1 to the Form 8-K filed December 10, 2024).</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4.4</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17">
              <w:r>
                <w:rPr>
                  <w:rStyle w:val="InternetLink"/>
                </w:rPr>
                <w:t>Fourth Amended and Restated Bylaws of the Company (incorporated by reference to Exhibit 3.1 to the Form 8-K filed December 29, 2022).</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4.5</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18">
              <w:r>
                <w:rPr>
                  <w:rStyle w:val="InternetLink"/>
                </w:rPr>
                <w:t>Certificate of Designations of Series A Junior Participating Preferred Stock of the Company (incorporated by reference to Exhibit 3.1 to the Form 8-K filed April 8, 2020).</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4.6</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19">
              <w:r>
                <w:rPr>
                  <w:rStyle w:val="InternetLink"/>
                </w:rPr>
                <w:t xml:space="preserve">Certificate of Elimination of Series A Junior Participating Preferred Stock of the Company (incorporated by reference to Exhibit 3.1 to the Form 8-K filed April 9, 2021).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4.7</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20">
              <w:r>
                <w:rPr>
                  <w:rStyle w:val="InternetLink"/>
                </w:rPr>
                <w:t>Specimen Stock Certificate evidencing shares of common stock of the Company (incorporated by reference to Exhibit 4.1 to the Company’s Registration Statement on Form S-1/A filed June 26, 2018 (File No. 333-225307)).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4.8</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21">
              <w:r>
                <w:rPr>
                  <w:rStyle w:val="InternetLink"/>
                </w:rPr>
                <w:t>Description of the Company’s Securities Registered Pursuant to Section  12 of the Securities Exchange Act of 1934 (incorporated by reference to Exhibit 4.4 to the Company’s Annual Report on Form 10-K filed March 3, 2020).</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5.1*</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w:anchor="d80232dex51.htm">
              <w:r>
                <w:rPr>
                  <w:rStyle w:val="InternetLink"/>
                </w:rPr>
                <w:t xml:space="preserve">Opinion of Ballard Spahr LLP.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10.1</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r:id="rId22">
              <w:r>
                <w:rPr>
                  <w:rStyle w:val="InternetLink"/>
                </w:rPr>
                <w:t xml:space="preserve">2026 Equity Incentive Plan (incorporated by reference to Exhibit 10.9 to the Form 10-Q filed August 11, 2026).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23.1*</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w:anchor="d80232dex231.htm">
              <w:r>
                <w:rPr>
                  <w:rStyle w:val="InternetLink"/>
                </w:rPr>
                <w:t xml:space="preserve">Consent of KPMG LLP, independent registered public accounting firm.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23.2*</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w:anchor="d80232dex51.htm">
              <w:r>
                <w:rPr>
                  <w:rStyle w:val="InternetLink"/>
                </w:rPr>
                <w:t xml:space="preserve">Consent of Ballard Spahr LLP (included in Exhibit 5.1 hereto).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24.1*</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w:anchor="ii80232_sig">
              <w:r>
                <w:rPr>
                  <w:rStyle w:val="InternetLink"/>
                </w:rPr>
                <w:t xml:space="preserve">Power of Attorney (set forth on the signature page of this Registration Statement).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107*</w:t>
            </w:r>
          </w:p>
        </w:tc>
        <w:tc>
          <w:tcPr>
            <w:tcW w:w="424" w:type="dxa"/>
            <w:tcBorders/>
            <w:vAlign w:val="bottom"/>
          </w:tcPr>
          <w:p>
            <w:pPr>
              <w:pStyle w:val="TableContents"/>
              <w:bidi w:val="0"/>
              <w:spacing w:before="0" w:after="283"/>
              <w:jc w:val="left"/>
              <w:rPr/>
            </w:pPr>
            <w:r>
              <w:rPr/>
              <w:t>  </w:t>
            </w:r>
          </w:p>
        </w:tc>
        <w:tc>
          <w:tcPr>
            <w:tcW w:w="8883" w:type="dxa"/>
            <w:tcBorders/>
          </w:tcPr>
          <w:p>
            <w:pPr>
              <w:pStyle w:val="TableContents"/>
              <w:bidi w:val="0"/>
              <w:spacing w:before="0" w:after="283"/>
              <w:jc w:val="left"/>
              <w:rPr/>
            </w:pPr>
            <w:hyperlink w:anchor="d80232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ii80232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Malvern, Commonwealth of Pennsylvania, on August 11,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NEURONETICS,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Francis X. Brown III</w:t>
            </w:r>
          </w:p>
        </w:tc>
      </w:tr>
      <w:tr>
        <w:trPr/>
        <w:tc>
          <w:tcPr>
            <w:tcW w:w="4082" w:type="dxa"/>
            <w:tcBorders/>
          </w:tcPr>
          <w:p>
            <w:pPr>
              <w:pStyle w:val="TableContents"/>
              <w:bidi w:val="0"/>
              <w:spacing w:before="0" w:after="283"/>
              <w:jc w:val="left"/>
              <w:rPr/>
            </w:pPr>
            <w:r>
              <w:rPr/>
              <w:t>Francis X. Brown III</w:t>
            </w:r>
          </w:p>
        </w:tc>
      </w:tr>
      <w:tr>
        <w:trPr/>
        <w:tc>
          <w:tcPr>
            <w:tcW w:w="4082" w:type="dxa"/>
            <w:tcBorders/>
          </w:tcPr>
          <w:p>
            <w:pPr>
              <w:pStyle w:val="TableContents"/>
              <w:bidi w:val="0"/>
              <w:spacing w:before="0" w:after="283"/>
              <w:jc w:val="left"/>
              <w:rPr>
                <w:i/>
              </w:rPr>
            </w:pPr>
            <w:r>
              <w:rPr>
                <w:i/>
              </w:rPr>
              <w:t>Interim Principal Financial and Accounting Officer</w:t>
            </w:r>
          </w:p>
        </w:tc>
      </w:tr>
      <w:tr>
        <w:trPr/>
        <w:tc>
          <w:tcPr>
            <w:tcW w:w="4082" w:type="dxa"/>
            <w:tcBorders/>
          </w:tcPr>
          <w:p>
            <w:pPr>
              <w:pStyle w:val="TableContents"/>
              <w:bidi w:val="0"/>
              <w:spacing w:before="0" w:after="283"/>
              <w:jc w:val="left"/>
              <w:rPr>
                <w:i/>
              </w:rPr>
            </w:pPr>
            <w:r>
              <w:rPr>
                <w:i/>
              </w:rPr>
              <w:t>(Principal Financial and Accounting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Francis X. Brown III, Patrick Devine, Nir Naor, Daniel L. Reuvers, and each of them, as his or her true and lawful attorneys-in-fact and agents,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attorneys-in-fact,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attorneys- in-fact, proxy and agent, or the individual’s substitute, may lawfully do or cause to be done by virtue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7"/>
        <w:gridCol w:w="121"/>
        <w:gridCol w:w="4319"/>
        <w:gridCol w:w="106"/>
        <w:gridCol w:w="1882"/>
      </w:tblGrid>
      <w:tr>
        <w:trPr/>
        <w:tc>
          <w:tcPr>
            <w:tcW w:w="377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1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r>
      <w:tr>
        <w:trPr/>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3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 L. Reuvers</w:t>
            </w:r>
          </w:p>
          <w:p>
            <w:pPr>
              <w:pStyle w:val="TableContents"/>
              <w:bidi w:val="0"/>
              <w:spacing w:before="0" w:after="20"/>
              <w:jc w:val="center"/>
              <w:rPr>
                <w:rFonts w:ascii="Times New Roman" w:hAnsi="Times New Roman"/>
                <w:sz w:val="20"/>
              </w:rPr>
            </w:pPr>
            <w:r>
              <w:rPr>
                <w:rFonts w:ascii="Times New Roman" w:hAnsi="Times New Roman"/>
                <w:sz w:val="20"/>
              </w:rPr>
              <w:t>Daniel L. Reuvers</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Francis X. Brown III</w:t>
            </w:r>
          </w:p>
          <w:p>
            <w:pPr>
              <w:pStyle w:val="TableContents"/>
              <w:bidi w:val="0"/>
              <w:spacing w:before="0" w:after="20"/>
              <w:jc w:val="center"/>
              <w:rPr>
                <w:rFonts w:ascii="Times New Roman" w:hAnsi="Times New Roman"/>
                <w:sz w:val="20"/>
              </w:rPr>
            </w:pPr>
            <w:r>
              <w:rPr>
                <w:rFonts w:ascii="Times New Roman" w:hAnsi="Times New Roman"/>
                <w:sz w:val="20"/>
              </w:rPr>
              <w:t>Francis X. Brown III</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Interim Principal Financial and Accounting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Megan R. Rosengarten</w:t>
            </w:r>
          </w:p>
          <w:p>
            <w:pPr>
              <w:pStyle w:val="TableContents"/>
              <w:bidi w:val="0"/>
              <w:spacing w:before="0" w:after="20"/>
              <w:jc w:val="center"/>
              <w:rPr>
                <w:rFonts w:ascii="Times New Roman" w:hAnsi="Times New Roman"/>
                <w:sz w:val="20"/>
              </w:rPr>
            </w:pPr>
            <w:r>
              <w:rPr>
                <w:rFonts w:ascii="Times New Roman" w:hAnsi="Times New Roman"/>
                <w:sz w:val="20"/>
              </w:rPr>
              <w:t>Megan R. Rosengarten</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Sheryl L. Conley</w:t>
            </w:r>
          </w:p>
          <w:p>
            <w:pPr>
              <w:pStyle w:val="TableContents"/>
              <w:bidi w:val="0"/>
              <w:spacing w:before="0" w:after="20"/>
              <w:jc w:val="center"/>
              <w:rPr>
                <w:rFonts w:ascii="Times New Roman" w:hAnsi="Times New Roman"/>
                <w:sz w:val="20"/>
              </w:rPr>
            </w:pPr>
            <w:r>
              <w:rPr>
                <w:rFonts w:ascii="Times New Roman" w:hAnsi="Times New Roman"/>
                <w:sz w:val="20"/>
              </w:rPr>
              <w:t>Sheryl L. Conley</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Avinash N. Amin, MD</w:t>
            </w:r>
          </w:p>
          <w:p>
            <w:pPr>
              <w:pStyle w:val="TableContents"/>
              <w:bidi w:val="0"/>
              <w:spacing w:before="0" w:after="20"/>
              <w:jc w:val="center"/>
              <w:rPr>
                <w:rFonts w:ascii="Times New Roman" w:hAnsi="Times New Roman"/>
                <w:sz w:val="20"/>
              </w:rPr>
            </w:pPr>
            <w:r>
              <w:rPr>
                <w:rFonts w:ascii="Times New Roman" w:hAnsi="Times New Roman"/>
                <w:sz w:val="20"/>
              </w:rPr>
              <w:t>Avinash N. Amin, MD</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Sasha S. Cucuz</w:t>
            </w:r>
          </w:p>
          <w:p>
            <w:pPr>
              <w:pStyle w:val="TableContents"/>
              <w:bidi w:val="0"/>
              <w:spacing w:before="0" w:after="20"/>
              <w:jc w:val="center"/>
              <w:rPr>
                <w:rFonts w:ascii="Times New Roman" w:hAnsi="Times New Roman"/>
                <w:sz w:val="20"/>
              </w:rPr>
            </w:pPr>
            <w:r>
              <w:rPr>
                <w:rFonts w:ascii="Times New Roman" w:hAnsi="Times New Roman"/>
                <w:sz w:val="20"/>
              </w:rPr>
              <w:t>Sasha S. Cucuz</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Glenn P. Muir</w:t>
            </w:r>
          </w:p>
          <w:p>
            <w:pPr>
              <w:pStyle w:val="TableContents"/>
              <w:bidi w:val="0"/>
              <w:spacing w:before="0" w:after="20"/>
              <w:jc w:val="center"/>
              <w:rPr>
                <w:rFonts w:ascii="Times New Roman" w:hAnsi="Times New Roman"/>
                <w:sz w:val="20"/>
              </w:rPr>
            </w:pPr>
            <w:r>
              <w:rPr>
                <w:rFonts w:ascii="Times New Roman" w:hAnsi="Times New Roman"/>
                <w:sz w:val="20"/>
              </w:rPr>
              <w:t>Glenn P. Muir</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r>
        <w:trPr>
          <w:trHeight w:val="240" w:hRule="atLeast"/>
        </w:trPr>
        <w:tc>
          <w:tcPr>
            <w:tcW w:w="3777" w:type="dxa"/>
            <w:tcBorders/>
            <w:vAlign w:val="center"/>
          </w:tcPr>
          <w:p>
            <w:pPr>
              <w:pStyle w:val="TableContents"/>
              <w:bidi w:val="0"/>
              <w:spacing w:before="0" w:after="283"/>
              <w:jc w:val="left"/>
              <w:rPr>
                <w:sz w:val="4"/>
                <w:szCs w:val="4"/>
              </w:rPr>
            </w:pPr>
            <w:r>
              <w:rPr>
                <w:sz w:val="4"/>
                <w:szCs w:val="4"/>
              </w:rPr>
            </w:r>
          </w:p>
        </w:tc>
        <w:tc>
          <w:tcPr>
            <w:tcW w:w="4440"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37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A. Cascella</w:t>
            </w:r>
          </w:p>
          <w:p>
            <w:pPr>
              <w:pStyle w:val="TableContents"/>
              <w:bidi w:val="0"/>
              <w:spacing w:before="0" w:after="20"/>
              <w:jc w:val="center"/>
              <w:rPr>
                <w:rFonts w:ascii="Times New Roman" w:hAnsi="Times New Roman"/>
                <w:sz w:val="20"/>
              </w:rPr>
            </w:pPr>
            <w:r>
              <w:rPr>
                <w:rFonts w:ascii="Times New Roman" w:hAnsi="Times New Roman"/>
                <w:sz w:val="20"/>
              </w:rPr>
              <w:t>Robert A. Cascella</w:t>
            </w:r>
          </w:p>
        </w:tc>
        <w:tc>
          <w:tcPr>
            <w:tcW w:w="121" w:type="dxa"/>
            <w:tcBorders/>
            <w:vAlign w:val="bottom"/>
          </w:tcPr>
          <w:p>
            <w:pPr>
              <w:pStyle w:val="TableContents"/>
              <w:bidi w:val="0"/>
              <w:spacing w:before="0" w:after="283"/>
              <w:jc w:val="left"/>
              <w:rPr/>
            </w:pPr>
            <w:r>
              <w:rPr/>
              <w:t>  </w:t>
            </w:r>
          </w:p>
        </w:tc>
        <w:tc>
          <w:tcPr>
            <w:tcW w:w="431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82" w:type="dxa"/>
            <w:tcBorders/>
          </w:tcPr>
          <w:p>
            <w:pPr>
              <w:pStyle w:val="TableContents"/>
              <w:bidi w:val="0"/>
              <w:spacing w:before="0" w:after="283"/>
              <w:jc w:val="center"/>
              <w:rPr/>
            </w:pPr>
            <w:r>
              <w:rPr/>
              <w:t>August 11, 2026</w:t>
            </w:r>
          </w:p>
        </w:tc>
      </w:tr>
    </w:tbl>
    <w:p>
      <w:pPr>
        <w:pStyle w:val="TextBody"/>
        <w:bidi w:val="0"/>
        <w:spacing w:before="0" w:after="0"/>
        <w:jc w:val="right"/>
        <w:rPr>
          <w:rFonts w:ascii="Times New Roman" w:hAnsi="Times New Roman"/>
          <w:b/>
          <w:sz w:val="20"/>
        </w:rPr>
      </w:pPr>
      <w:bookmarkStart w:id="3" w:name="d80232dex51.htm"/>
      <w:bookmarkStart w:id="4" w:name="ksd80232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050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3"/>
                    <a:stretch>
                      <a:fillRect/>
                    </a:stretch>
                  </pic:blipFill>
                  <pic:spPr bwMode="auto">
                    <a:xfrm>
                      <a:off x="0" y="0"/>
                      <a:ext cx="1905000" cy="352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125730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257300" cy="7429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Neuronetics, Inc. </w:t>
      </w:r>
    </w:p>
    <w:p>
      <w:pPr>
        <w:pStyle w:val="TextBody"/>
        <w:bidi w:val="0"/>
        <w:spacing w:before="0" w:after="0"/>
        <w:jc w:val="left"/>
        <w:rPr>
          <w:rFonts w:ascii="Times New Roman" w:hAnsi="Times New Roman"/>
          <w:sz w:val="20"/>
        </w:rPr>
      </w:pPr>
      <w:r>
        <w:rPr>
          <w:rFonts w:ascii="Times New Roman" w:hAnsi="Times New Roman"/>
          <w:sz w:val="20"/>
        </w:rPr>
        <w:t xml:space="preserve">3222 Phoenixville Pike </w:t>
      </w:r>
    </w:p>
    <w:p>
      <w:pPr>
        <w:pStyle w:val="TextBody"/>
        <w:bidi w:val="0"/>
        <w:spacing w:before="0" w:after="0"/>
        <w:jc w:val="left"/>
        <w:rPr>
          <w:rFonts w:ascii="Times New Roman" w:hAnsi="Times New Roman"/>
          <w:sz w:val="20"/>
        </w:rPr>
      </w:pPr>
      <w:r>
        <w:rPr>
          <w:rFonts w:ascii="Times New Roman" w:hAnsi="Times New Roman"/>
          <w:sz w:val="20"/>
        </w:rPr>
        <w:t xml:space="preserve">Malvern, Pennsylvania 19355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Registration Statement on Form S-8</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Neuronetics, Inc., a Delaware corporation (the “Company”), in connection with its registration statement on Form S-8 (the “Registration Statement”), filed with the Securities and Exchange Commission under the Securities Act of 1933, as amended (the “Securities Act”), relating to the registration of additional shares of common stock for issuance (i) under the Neuronetics, Inc. 2026 Equity Incentive Plan (the “Equity Incentive Plan”), as adopted by the Company’s Board of Directors as of March 18, 2026, allocating 6,022,333 shares of common stock for issuance under the Equity Incentive Plan (the “EIP Shares”), and (ii) of 1,500,000 shares of common stock (the “Inducement Shares”) upon vesting of 1,500,000 restricted stock units (“RSUs”) granted to Daniel L. Reuvers on May 23, 2027 pursuant to an inducement award to induce such person to accept employment with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EIP Shares and Inducement Shares. In our examination, we have assumed the genuineness of all signatures, the authenticity of all documents submitted to us as originals and the conformity with the originals of all documents submitted to us as copies. For the purpose of the opinion rendered below, we have assumed that in connection with the issuance of the EIP Shares and the Inducement Shares, the Company will receive consideration in an amount not less than the aggregate par value of the EIP Shares and the Inducement Shares covered by each such issuance.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August 11,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following (i) effectiveness of the Registration Statement, and (ii) issuance of the EIP Shares and Inducement Shares pursuant to the terms and conditions of the Equity Incentive Plan and the terms of the RSUs (including, where applicable, the payment of any exercise price, the satisfaction of any vesting or forfeiture restrictions and the achievement of any applicable performance goals), respectively, the RSUs and EIP Shares will be validly issued, fully paid and nonassessable. The opinion expressed herein is limited to the General Corporation Law of the State of Delaware, the Delaware Constitution and reported judicial decisions interpreting those laws,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we consent to the reference of our name wherever appearing in the Registration Statement and any amendments thereto. In giving such consent, we do not thereby admit that we are in the category of persons whose consent is required under Section 7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Ballard Spahr LLP </w:t>
      </w:r>
    </w:p>
    <w:p>
      <w:pPr>
        <w:pStyle w:val="TextBody"/>
        <w:bidi w:val="0"/>
        <w:spacing w:before="0" w:after="0"/>
        <w:jc w:val="right"/>
        <w:rPr>
          <w:rFonts w:ascii="Times New Roman" w:hAnsi="Times New Roman"/>
          <w:b/>
          <w:sz w:val="20"/>
        </w:rPr>
      </w:pPr>
      <w:bookmarkStart w:id="5" w:name="d80232dex231.htm"/>
      <w:bookmarkStart w:id="6" w:name="ksd80232dex231"/>
      <w:bookmarkEnd w:id="5"/>
      <w:bookmarkEnd w:id="6"/>
      <w:r>
        <w:rPr>
          <w:rFonts w:ascii="Times New Roman" w:hAnsi="Times New Roman"/>
          <w:b/>
          <w:sz w:val="20"/>
        </w:rPr>
        <w:t xml:space="preserve">Exhibit 23.1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5"/>
        <w:gridCol w:w="120"/>
        <w:gridCol w:w="3974"/>
        <w:gridCol w:w="120"/>
        <w:gridCol w:w="3856"/>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pPr>
            <w:r>
              <w:rPr/>
              <w:drawing>
                <wp:inline distT="0" distB="0" distL="0" distR="0">
                  <wp:extent cx="97155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971550" cy="4191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97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KPMG LLP</w:t>
            </w:r>
          </w:p>
          <w:p>
            <w:pPr>
              <w:pStyle w:val="TableContents"/>
              <w:bidi w:val="0"/>
              <w:spacing w:before="0" w:after="0"/>
              <w:jc w:val="left"/>
              <w:rPr>
                <w:rFonts w:ascii="Times New Roman" w:hAnsi="Times New Roman"/>
                <w:sz w:val="20"/>
              </w:rPr>
            </w:pPr>
            <w:r>
              <w:rPr>
                <w:rFonts w:ascii="Times New Roman" w:hAnsi="Times New Roman"/>
                <w:sz w:val="20"/>
              </w:rPr>
              <w:t>Suite 4000</w:t>
            </w:r>
          </w:p>
          <w:p>
            <w:pPr>
              <w:pStyle w:val="TableContents"/>
              <w:bidi w:val="0"/>
              <w:spacing w:before="0" w:after="0"/>
              <w:jc w:val="left"/>
              <w:rPr>
                <w:rFonts w:ascii="Times New Roman" w:hAnsi="Times New Roman"/>
                <w:sz w:val="20"/>
              </w:rPr>
            </w:pPr>
            <w:r>
              <w:rPr>
                <w:rFonts w:ascii="Times New Roman" w:hAnsi="Times New Roman"/>
                <w:sz w:val="20"/>
              </w:rPr>
              <w:t>1735 Market Street</w:t>
            </w:r>
          </w:p>
          <w:p>
            <w:pPr>
              <w:pStyle w:val="TableContents"/>
              <w:bidi w:val="0"/>
              <w:spacing w:before="0" w:after="20"/>
              <w:jc w:val="left"/>
              <w:rPr>
                <w:rFonts w:ascii="Times New Roman" w:hAnsi="Times New Roman"/>
                <w:sz w:val="20"/>
              </w:rPr>
            </w:pPr>
            <w:r>
              <w:rPr>
                <w:rFonts w:ascii="Times New Roman" w:hAnsi="Times New Roman"/>
                <w:sz w:val="20"/>
              </w:rPr>
              <w:t>Philadelphia, PA 19103-7501</w:t>
            </w:r>
          </w:p>
        </w:tc>
        <w:tc>
          <w:tcPr>
            <w:tcW w:w="120" w:type="dxa"/>
            <w:tcBorders/>
            <w:vAlign w:val="bottom"/>
          </w:tcPr>
          <w:p>
            <w:pPr>
              <w:pStyle w:val="TableContents"/>
              <w:bidi w:val="0"/>
              <w:spacing w:before="0" w:after="283"/>
              <w:jc w:val="left"/>
              <w:rPr/>
            </w:pPr>
            <w:r>
              <w:rPr/>
              <w:t>  </w:t>
            </w:r>
          </w:p>
        </w:tc>
        <w:tc>
          <w:tcPr>
            <w:tcW w:w="385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17, 2026, with respect to the consolidated financial statements of Neuronetics, Inc. and subsidiaries, incorporated herein by reference.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August 11,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KPMG LLP, a Delaware limited liability partnership, and its subsidiaries are part of </w:t>
      </w:r>
    </w:p>
    <w:p>
      <w:pPr>
        <w:pStyle w:val="TextBody"/>
        <w:bidi w:val="0"/>
        <w:spacing w:before="0" w:after="0"/>
        <w:jc w:val="center"/>
        <w:rPr>
          <w:rFonts w:ascii="Times New Roman" w:hAnsi="Times New Roman"/>
          <w:sz w:val="20"/>
        </w:rPr>
      </w:pPr>
      <w:r>
        <w:rPr>
          <w:rFonts w:ascii="Times New Roman" w:hAnsi="Times New Roman"/>
          <w:sz w:val="20"/>
        </w:rPr>
        <w:t xml:space="preserve">the KPMG global organization of independent member firms affiliated with KPMG </w:t>
      </w:r>
    </w:p>
    <w:p>
      <w:pPr>
        <w:pStyle w:val="TextBody"/>
        <w:bidi w:val="0"/>
        <w:spacing w:before="0" w:after="0"/>
        <w:jc w:val="center"/>
        <w:rPr>
          <w:rFonts w:ascii="Times New Roman" w:hAnsi="Times New Roman"/>
          <w:sz w:val="20"/>
        </w:rPr>
      </w:pPr>
      <w:r>
        <w:rPr>
          <w:rFonts w:ascii="Times New Roman" w:hAnsi="Times New Roman"/>
          <w:sz w:val="20"/>
        </w:rPr>
        <w:t xml:space="preserve">International Limited, a private English company limited by guarantee. </w:t>
      </w:r>
    </w:p>
    <w:p>
      <w:pPr>
        <w:pStyle w:val="Normal"/>
        <w:bidi w:val="0"/>
        <w:spacing w:before="0" w:after="0"/>
        <w:jc w:val="left"/>
        <w:rPr>
          <w:sz w:val="4"/>
          <w:szCs w:val="4"/>
        </w:rPr>
      </w:pPr>
      <w:r>
        <w:rPr>
          <w:sz w:val="4"/>
          <w:szCs w:val="4"/>
        </w:rPr>
      </w:r>
      <w:bookmarkStart w:id="7" w:name="d80232dexfilingfees.htm"/>
      <w:bookmarkStart w:id="8" w:name="ksd80232dexfilingfees"/>
      <w:bookmarkStart w:id="9" w:name="d80232dexfilingfees.htm"/>
      <w:bookmarkStart w:id="10" w:name="ksd80232dexfilingfees"/>
      <w:bookmarkEnd w:id="9"/>
      <w:bookmarkEnd w:id="10"/>
      <w:r>
        <w:br w:type="page"/>
      </w:r>
    </w:p>
    <w:tbl>
      <w:tblPr>
        <w:tblW w:w="3563" w:type="dxa"/>
        <w:jc w:val="left"/>
        <w:tblInd w:w="0" w:type="dxa"/>
        <w:tblLayout w:type="fixed"/>
        <w:tblCellMar>
          <w:top w:w="28" w:type="dxa"/>
          <w:left w:w="28" w:type="dxa"/>
          <w:bottom w:w="28" w:type="dxa"/>
          <w:right w:w="28" w:type="dxa"/>
        </w:tblCellMar>
      </w:tblPr>
      <w:tblGrid>
        <w:gridCol w:w="3409"/>
        <w:gridCol w:w="154"/>
      </w:tblGrid>
      <w:tr>
        <w:trPr/>
        <w:tc>
          <w:tcPr>
            <w:tcW w:w="356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b/>
              </w:rPr>
            </w:pPr>
            <w:r>
              <w:rPr>
                <w:b/>
              </w:rPr>
              <w:t xml:space="preserve">Neuronetics,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99" w:type="dxa"/>
        <w:jc w:val="left"/>
        <w:tblInd w:w="0" w:type="dxa"/>
        <w:tblLayout w:type="fixed"/>
        <w:tblCellMar>
          <w:top w:w="28" w:type="dxa"/>
          <w:left w:w="28" w:type="dxa"/>
          <w:bottom w:w="28" w:type="dxa"/>
          <w:right w:w="28" w:type="dxa"/>
        </w:tblCellMar>
      </w:tblPr>
      <w:tblGrid>
        <w:gridCol w:w="241"/>
        <w:gridCol w:w="946"/>
        <w:gridCol w:w="130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0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Common stock, $0.01 par value per share, to be issued under the Neuronetics, Inc.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6,022,333 </w:t>
            </w:r>
          </w:p>
        </w:tc>
        <w:tc>
          <w:tcPr>
            <w:tcW w:w="1156" w:type="dxa"/>
            <w:tcBorders/>
            <w:shd w:fill="E7E7E2" w:val="clear"/>
            <w:vAlign w:val="center"/>
          </w:tcPr>
          <w:p>
            <w:pPr>
              <w:pStyle w:val="TableContents"/>
              <w:bidi w:val="0"/>
              <w:spacing w:before="0" w:after="283"/>
              <w:jc w:val="right"/>
              <w:rPr/>
            </w:pPr>
            <w:r>
              <w:rPr/>
              <w:t xml:space="preserve">$ 2.17 </w:t>
            </w:r>
          </w:p>
        </w:tc>
        <w:tc>
          <w:tcPr>
            <w:tcW w:w="1666" w:type="dxa"/>
            <w:tcBorders/>
            <w:shd w:fill="E7E7E2" w:val="clear"/>
            <w:vAlign w:val="center"/>
          </w:tcPr>
          <w:p>
            <w:pPr>
              <w:pStyle w:val="TableContents"/>
              <w:bidi w:val="0"/>
              <w:spacing w:before="0" w:after="283"/>
              <w:jc w:val="right"/>
              <w:rPr/>
            </w:pPr>
            <w:r>
              <w:rPr/>
              <w:t xml:space="preserve">$ 13,068,462.61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$ 1,804.76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06" w:type="dxa"/>
            <w:tcBorders/>
            <w:shd w:fill="E7E7E2" w:val="clear"/>
            <w:vAlign w:val="center"/>
          </w:tcPr>
          <w:p>
            <w:pPr>
              <w:pStyle w:val="TableContents"/>
              <w:bidi w:val="0"/>
              <w:spacing w:before="0" w:after="283"/>
              <w:jc w:val="left"/>
              <w:rPr/>
            </w:pPr>
            <w:r>
              <w:rPr/>
              <w:t xml:space="preserve">Common stock, $0.01 par value per share, to be issued under the RSU Inducement Award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1,500,000 </w:t>
            </w:r>
          </w:p>
        </w:tc>
        <w:tc>
          <w:tcPr>
            <w:tcW w:w="1156" w:type="dxa"/>
            <w:tcBorders/>
            <w:shd w:fill="E7E7E2" w:val="clear"/>
            <w:vAlign w:val="center"/>
          </w:tcPr>
          <w:p>
            <w:pPr>
              <w:pStyle w:val="TableContents"/>
              <w:bidi w:val="0"/>
              <w:spacing w:before="0" w:after="283"/>
              <w:jc w:val="right"/>
              <w:rPr/>
            </w:pPr>
            <w:r>
              <w:rPr/>
              <w:t xml:space="preserve">$ 2.17 </w:t>
            </w:r>
          </w:p>
        </w:tc>
        <w:tc>
          <w:tcPr>
            <w:tcW w:w="1666" w:type="dxa"/>
            <w:tcBorders/>
            <w:shd w:fill="E7E7E2" w:val="clear"/>
            <w:vAlign w:val="center"/>
          </w:tcPr>
          <w:p>
            <w:pPr>
              <w:pStyle w:val="TableContents"/>
              <w:bidi w:val="0"/>
              <w:spacing w:before="0" w:after="283"/>
              <w:jc w:val="right"/>
              <w:rPr/>
            </w:pPr>
            <w:r>
              <w:rPr/>
              <w:t xml:space="preserve">$ 3,255,000.00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$ 449.52 </w:t>
            </w:r>
          </w:p>
        </w:tc>
      </w:tr>
      <w:tr>
        <w:trPr/>
        <w:tc>
          <w:tcPr>
            <w:tcW w:w="495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$ 16,323,462.61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$ 2,254.28 </w:t>
            </w:r>
          </w:p>
        </w:tc>
      </w:tr>
      <w:tr>
        <w:trPr/>
        <w:tc>
          <w:tcPr>
            <w:tcW w:w="495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$ 2,098.40 </w:t>
            </w:r>
          </w:p>
        </w:tc>
      </w:tr>
      <w:tr>
        <w:trPr/>
        <w:tc>
          <w:tcPr>
            <w:tcW w:w="495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$ 155.88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the outstanding shares of common stock. (2) Represents shares of common stock reserved for issuance under the Neuronetics, Inc. 2026 Equity Incentive Plan (the "2026 Plan"), which consists of 6,022,333 shares of common stock that rolled into the 2026 Plan from the unallocated share reserve of the 2018 Plan (as defined below). (4) Estimated solely for the purpose of calculating the registration fee in accordance with Rule 457(c) and Rule 457(h) under the Securities Act of 1933, as amended, based upon the average of the high and low sale prices for the common stock on the Nasdaq Global Market on August 10, 2026. (6) Rounded to the nearest cent.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the outstanding shares of common stock. (3) Represents 1,500,000 restricted stock units ("RSUs") granted to Daniel L. Reuvers on May 23, 2026, pursuant to an inducement award to induce such person to accept employment with the Registrant. (4) Estimated solely for the purpose of calculating the registration fee in accordance with Rule 457(c) and Rule 457(h) under the Securities Act of 1933, as amended, based upon the average of the high and low sale prices for the common stock on the Nasdaq Global Market on August 10, 2026. (6) Rounded to the nearest cent.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082" w:type="dxa"/>
        <w:jc w:val="left"/>
        <w:tblInd w:w="0" w:type="dxa"/>
        <w:tblLayout w:type="fixed"/>
        <w:tblCellMar>
          <w:top w:w="28" w:type="dxa"/>
          <w:left w:w="28" w:type="dxa"/>
          <w:bottom w:w="28" w:type="dxa"/>
          <w:right w:w="28" w:type="dxa"/>
        </w:tblCellMar>
      </w:tblPr>
      <w:tblGrid>
        <w:gridCol w:w="871"/>
        <w:gridCol w:w="226"/>
        <w:gridCol w:w="1306"/>
        <w:gridCol w:w="691"/>
        <w:gridCol w:w="961"/>
        <w:gridCol w:w="706"/>
        <w:gridCol w:w="691"/>
        <w:gridCol w:w="1126"/>
        <w:gridCol w:w="1186"/>
        <w:gridCol w:w="1186"/>
        <w:gridCol w:w="1186"/>
        <w:gridCol w:w="1666"/>
        <w:gridCol w:w="112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306"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12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66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12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08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306" w:type="dxa"/>
            <w:tcBorders/>
            <w:shd w:fill="E7E7E2" w:val="clear"/>
            <w:vAlign w:val="center"/>
          </w:tcPr>
          <w:p>
            <w:pPr>
              <w:pStyle w:val="TableContents"/>
              <w:bidi w:val="0"/>
              <w:spacing w:before="0" w:after="283"/>
              <w:jc w:val="left"/>
              <w:rPr/>
            </w:pPr>
            <w:r>
              <w:rPr/>
              <w:t xml:space="preserve">Neuronetics, Inc. </w:t>
            </w:r>
          </w:p>
        </w:tc>
        <w:tc>
          <w:tcPr>
            <w:tcW w:w="691" w:type="dxa"/>
            <w:tcBorders/>
            <w:shd w:fill="E7E7E2" w:val="clear"/>
            <w:vAlign w:val="center"/>
          </w:tcPr>
          <w:p>
            <w:pPr>
              <w:pStyle w:val="TableContents"/>
              <w:bidi w:val="0"/>
              <w:spacing w:before="0" w:after="283"/>
              <w:jc w:val="left"/>
              <w:rPr/>
            </w:pPr>
            <w:r>
              <w:rPr/>
              <w:t xml:space="preserve">S-8 </w:t>
            </w:r>
          </w:p>
        </w:tc>
        <w:tc>
          <w:tcPr>
            <w:tcW w:w="961" w:type="dxa"/>
            <w:tcBorders/>
            <w:shd w:fill="E7E7E2" w:val="clear"/>
            <w:vAlign w:val="center"/>
          </w:tcPr>
          <w:p>
            <w:pPr>
              <w:pStyle w:val="TableContents"/>
              <w:bidi w:val="0"/>
              <w:spacing w:before="0" w:after="283"/>
              <w:jc w:val="left"/>
              <w:rPr/>
            </w:pPr>
            <w:r>
              <w:rPr/>
              <w:t xml:space="preserve">333-284691 </w:t>
            </w:r>
          </w:p>
        </w:tc>
        <w:tc>
          <w:tcPr>
            <w:tcW w:w="706" w:type="dxa"/>
            <w:tcBorders/>
            <w:shd w:fill="E7E7E2" w:val="clear"/>
            <w:vAlign w:val="center"/>
          </w:tcPr>
          <w:p>
            <w:pPr>
              <w:pStyle w:val="TableContents"/>
              <w:bidi w:val="0"/>
              <w:spacing w:before="0" w:after="283"/>
              <w:jc w:val="left"/>
              <w:rPr/>
            </w:pPr>
            <w:r>
              <w:rPr/>
              <w:t xml:space="preserve">02/04/2025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$ 2,098.40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w:t>
            </w:r>
          </w:p>
        </w:tc>
        <w:tc>
          <w:tcPr>
            <w:tcW w:w="1186" w:type="dxa"/>
            <w:tcBorders/>
            <w:shd w:fill="E7E7E2" w:val="clear"/>
            <w:vAlign w:val="center"/>
          </w:tcPr>
          <w:p>
            <w:pPr>
              <w:pStyle w:val="TableContents"/>
              <w:bidi w:val="0"/>
              <w:spacing w:before="0" w:after="283"/>
              <w:jc w:val="right"/>
              <w:rPr/>
            </w:pPr>
            <w:r>
              <w:rPr/>
              <w:t xml:space="preserve">4,210,766 </w:t>
            </w:r>
          </w:p>
        </w:tc>
        <w:tc>
          <w:tcPr>
            <w:tcW w:w="1666" w:type="dxa"/>
            <w:tcBorders/>
            <w:shd w:fill="E7E7E2" w:val="clear"/>
            <w:vAlign w:val="center"/>
          </w:tcPr>
          <w:p>
            <w:pPr>
              <w:pStyle w:val="TableContents"/>
              <w:bidi w:val="0"/>
              <w:spacing w:before="0" w:after="283"/>
              <w:jc w:val="right"/>
              <w:rPr/>
            </w:pPr>
            <w:r>
              <w:rPr/>
              <w:t xml:space="preserve">$ 13,706,043.33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pPr>
            <w:r>
              <w:rPr/>
              <w:t xml:space="preserve">Neuronetics, Inc. </w:t>
            </w:r>
          </w:p>
        </w:tc>
        <w:tc>
          <w:tcPr>
            <w:tcW w:w="691" w:type="dxa"/>
            <w:tcBorders/>
            <w:shd w:fill="E7E7E2" w:val="clear"/>
            <w:vAlign w:val="center"/>
          </w:tcPr>
          <w:p>
            <w:pPr>
              <w:pStyle w:val="TableContents"/>
              <w:bidi w:val="0"/>
              <w:spacing w:before="0" w:after="283"/>
              <w:jc w:val="left"/>
              <w:rPr/>
            </w:pPr>
            <w:r>
              <w:rPr/>
              <w:t xml:space="preserve">S-8 </w:t>
            </w:r>
          </w:p>
        </w:tc>
        <w:tc>
          <w:tcPr>
            <w:tcW w:w="961" w:type="dxa"/>
            <w:tcBorders/>
            <w:shd w:fill="E7E7E2" w:val="clear"/>
            <w:vAlign w:val="center"/>
          </w:tcPr>
          <w:p>
            <w:pPr>
              <w:pStyle w:val="TableContents"/>
              <w:bidi w:val="0"/>
              <w:spacing w:before="0" w:after="283"/>
              <w:jc w:val="left"/>
              <w:rPr/>
            </w:pPr>
            <w:r>
              <w:rPr/>
              <w:t xml:space="preserve">333-284691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02/04/2025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$ 2,098.40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5"/>
        <w:gridCol w:w="8705"/>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(5) The Registrant previously paid $2,098.40 for the registration of 4,210,766 shares of common stock under the Neuronetics, Inc. 2018 Equity Incentive Plan (the "2018 Plan"), as adopted by the Company's Board of Directors as of December 9, 2024, pursuant to the Registration Statement on Form S-8 (No. No. 333-284691) filed on February 4, 2025. The Registrant has terminated any offering under the 2018 Plan. The registration fee due hereunder is offset by such previously paid amount with respect to the unsold shares of common stock under the 2018 Plan.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227636/000110465926029004/stim-20251231x10k.htm" TargetMode="External"/><Relationship Id="rId3" Type="http://schemas.openxmlformats.org/officeDocument/2006/relationships/hyperlink" Target="http://www.sec.gov/Archives/edgar/data/../../../ix?doc=/Archives/edgar/data/0001227636/000114036126013997/ny20063283x1_def14a.htm" TargetMode="External"/><Relationship Id="rId4" Type="http://schemas.openxmlformats.org/officeDocument/2006/relationships/hyperlink" Target="http://www.sec.gov/Archives/edgar/data/../../../ix?doc=/Archives/edgar/data/0001227636/000110465926055322/stim-20260331x10q.htm" TargetMode="External"/><Relationship Id="rId5" Type="http://schemas.openxmlformats.org/officeDocument/2006/relationships/hyperlink" Target="http://www.sec.gov/Archives/edgar/data/../../../ix?doc=/Archives/edgar/data/0001227636/000110465926094078/stim-20260630x10q.htm" TargetMode="External"/><Relationship Id="rId6" Type="http://schemas.openxmlformats.org/officeDocument/2006/relationships/hyperlink" Target="http://www.sec.gov/Archives/edgar/data/../../../ix?doc=/Archives/edgar/data/0001227636/000119312526143876/d107138d8k.htm" TargetMode="External"/><Relationship Id="rId7" Type="http://schemas.openxmlformats.org/officeDocument/2006/relationships/hyperlink" Target="http://www.sec.gov/Archives/edgar/data/../../../ix?doc=/Archives/edgar/data/0001227636/000119312526205117/d139145d8k.htm" TargetMode="External"/><Relationship Id="rId8" Type="http://schemas.openxmlformats.org/officeDocument/2006/relationships/hyperlink" Target="http://www.sec.gov/Archives/edgar/data/../../../ix?doc=/Archives/edgar/data/0001227636/000119312526235481/d138318d8k.htm" TargetMode="External"/><Relationship Id="rId9" Type="http://schemas.openxmlformats.org/officeDocument/2006/relationships/hyperlink" Target="http://www.sec.gov/Archives/edgar/data/../../../ix?doc=/Archives/edgar/data/0001227636/000119312526248525/d160701d8k.htm" TargetMode="External"/><Relationship Id="rId10" Type="http://schemas.openxmlformats.org/officeDocument/2006/relationships/hyperlink" Target="http://www.sec.gov/Archives/edgar/data/../../../ix?doc=/Archives/edgar/data/0001227636/000119312526279601/d134186d8k.htm" TargetMode="External"/><Relationship Id="rId11" Type="http://schemas.openxmlformats.org/officeDocument/2006/relationships/hyperlink" Target="http://www.sec.gov/Archives/edgar/data/../../../ix?doc=/Archives/edgar/data/0001227636/000119312526308921/d226320d8k.htm" TargetMode="External"/><Relationship Id="rId12" Type="http://schemas.openxmlformats.org/officeDocument/2006/relationships/hyperlink" Target="http://www.sec.gov/Archives/edgar/data/../../../ix?doc=/Archives/edgar/data/0001227636/000119312526343474/d78613d8k.htm" TargetMode="External"/><Relationship Id="rId13" Type="http://schemas.openxmlformats.org/officeDocument/2006/relationships/hyperlink" Target="http://www.sec.gov/Archives/edgar/data/1227636/000119312518196648/d615529d8a12b.htm" TargetMode="External"/><Relationship Id="rId14" Type="http://schemas.openxmlformats.org/officeDocument/2006/relationships/hyperlink" Target="http://www.sec.gov/Archives/edgar/data/1227636/000119312518213686/d860069dex31.htm" TargetMode="External"/><Relationship Id="rId15" Type="http://schemas.openxmlformats.org/officeDocument/2006/relationships/hyperlink" Target="http://www.sec.gov/Archives/edgar/data/1227636/000119312519161336/d664443dex31.htm" TargetMode="External"/><Relationship Id="rId16" Type="http://schemas.openxmlformats.org/officeDocument/2006/relationships/hyperlink" Target="http://www.sec.gov/Archives/edgar/data/1227636/000119312524274383/d897369dex31.htm" TargetMode="External"/><Relationship Id="rId17" Type="http://schemas.openxmlformats.org/officeDocument/2006/relationships/hyperlink" Target="http://www.sec.gov/Archives/edgar/data/1227636/000119312522314767/d439589dex31.htm" TargetMode="External"/><Relationship Id="rId18" Type="http://schemas.openxmlformats.org/officeDocument/2006/relationships/hyperlink" Target="http://www.sec.gov/Archives/edgar/data/1227636/000156459020015935/stim-ex31_6.htm" TargetMode="External"/><Relationship Id="rId19" Type="http://schemas.openxmlformats.org/officeDocument/2006/relationships/hyperlink" Target="http://www.sec.gov/Archives/edgar/data/1227636/000119312521111678/d152659dex31.htm" TargetMode="External"/><Relationship Id="rId20" Type="http://schemas.openxmlformats.org/officeDocument/2006/relationships/hyperlink" Target="http://www.sec.gov/Archives/edgar/data/1227636/000119312518193489/d542432dex41.htm" TargetMode="External"/><Relationship Id="rId21" Type="http://schemas.openxmlformats.org/officeDocument/2006/relationships/hyperlink" Target="http://www.sec.gov/Archives/edgar/data/1227636/000156459020008464/stim-ex44_309.htm" TargetMode="External"/><Relationship Id="rId22" Type="http://schemas.openxmlformats.org/officeDocument/2006/relationships/hyperlink" Target="http://www.sec.gov/Archives/edgar/data/1227636/000110465926094078/stim-20260630xex10d9.htm" TargetMode="External"/><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4078</Words>
  <Characters>21769</Characters>
  <CharactersWithSpaces>25893</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